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72F6F" w14:textId="629802E6" w:rsidR="003C4798" w:rsidRDefault="000E17AC" w:rsidP="000E17AC">
      <w:pPr>
        <w:pStyle w:val="Pagedecouverture"/>
        <w:rPr>
          <w:noProof/>
        </w:rPr>
      </w:pPr>
      <w:bookmarkStart w:id="0" w:name="LW_BM_COVERPAGE"/>
      <w:r>
        <w:rPr>
          <w:noProof/>
        </w:rPr>
        <w:pict w14:anchorId="1B0F9A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B28FB65-3DCB-4768-870A-A5C116B5154A" style="width:455.25pt;height:387pt">
            <v:imagedata r:id="rId11" o:title=""/>
          </v:shape>
        </w:pict>
      </w:r>
    </w:p>
    <w:bookmarkEnd w:id="0"/>
    <w:p w14:paraId="447777D9" w14:textId="77777777" w:rsidR="003C4798" w:rsidRDefault="003C4798">
      <w:pPr>
        <w:rPr>
          <w:noProof/>
        </w:rPr>
        <w:sectPr w:rsidR="003C4798" w:rsidSect="000E17AC">
          <w:headerReference w:type="even" r:id="rId12"/>
          <w:headerReference w:type="default" r:id="rId13"/>
          <w:footerReference w:type="even" r:id="rId14"/>
          <w:footerReference w:type="default" r:id="rId15"/>
          <w:headerReference w:type="first" r:id="rId16"/>
          <w:footerReference w:type="first" r:id="rId17"/>
          <w:pgSz w:w="11907" w:h="16839" w:code="9"/>
          <w:pgMar w:top="1134" w:right="1417" w:bottom="1134" w:left="1417" w:header="709" w:footer="709" w:gutter="0"/>
          <w:pgNumType w:start="0"/>
          <w:cols w:space="720"/>
          <w:docGrid w:linePitch="299"/>
        </w:sectPr>
      </w:pPr>
    </w:p>
    <w:p w14:paraId="1216B246" w14:textId="5CDC6E40" w:rsidR="003C4798" w:rsidRDefault="00417595">
      <w:pPr>
        <w:keepNext/>
        <w:pBdr>
          <w:top w:val="nil"/>
          <w:left w:val="nil"/>
          <w:bottom w:val="nil"/>
          <w:right w:val="nil"/>
          <w:between w:val="nil"/>
        </w:pBdr>
        <w:tabs>
          <w:tab w:val="left" w:pos="850"/>
        </w:tabs>
        <w:spacing w:before="360" w:after="120" w:line="240" w:lineRule="auto"/>
        <w:ind w:left="850" w:hanging="850"/>
        <w:jc w:val="center"/>
        <w:rPr>
          <w:rFonts w:ascii="Times New Roman" w:eastAsia="Times New Roman" w:hAnsi="Times New Roman" w:cs="Times New Roman"/>
          <w:b/>
          <w:bCs/>
          <w:noProof/>
          <w:color w:val="000000"/>
          <w:sz w:val="24"/>
          <w:szCs w:val="24"/>
        </w:rPr>
      </w:pPr>
      <w:bookmarkStart w:id="1" w:name="_GoBack"/>
      <w:bookmarkEnd w:id="1"/>
      <w:r>
        <w:rPr>
          <w:rFonts w:ascii="Times New Roman" w:hAnsi="Times New Roman"/>
          <w:b/>
          <w:noProof/>
          <w:color w:val="000000" w:themeColor="text1"/>
          <w:sz w:val="24"/>
          <w:szCs w:val="24"/>
        </w:rPr>
        <w:lastRenderedPageBreak/>
        <w:t>ANNEXE</w:t>
      </w:r>
      <w:r>
        <w:rPr>
          <w:noProof/>
        </w:rPr>
        <w:br/>
      </w:r>
      <w:r>
        <w:rPr>
          <w:rFonts w:ascii="Times New Roman" w:hAnsi="Times New Roman"/>
          <w:b/>
          <w:noProof/>
          <w:color w:val="000000" w:themeColor="text1"/>
          <w:sz w:val="24"/>
          <w:szCs w:val="24"/>
        </w:rPr>
        <w:t>SECTION 1 : RÉFORMES ET INVESTISSEMENTS DANS LE CADRE DU PLAN DE RÉCUPÉRATION ET DE RESILIENCE</w:t>
      </w:r>
    </w:p>
    <w:p w14:paraId="1216B247" w14:textId="77777777" w:rsidR="003C4798" w:rsidRDefault="003C4798">
      <w:pPr>
        <w:rPr>
          <w:rFonts w:ascii="Times New Roman" w:eastAsia="Times New Roman" w:hAnsi="Times New Roman" w:cs="Times New Roman"/>
          <w:noProof/>
          <w:color w:val="000000"/>
          <w:sz w:val="24"/>
          <w:szCs w:val="24"/>
        </w:rPr>
      </w:pPr>
    </w:p>
    <w:p w14:paraId="1216B248" w14:textId="77777777" w:rsidR="003C4798" w:rsidRDefault="00417595">
      <w:pPr>
        <w:rPr>
          <w:rFonts w:ascii="Times New Roman" w:eastAsia="Times New Roman" w:hAnsi="Times New Roman" w:cs="Times New Roman"/>
          <w:b/>
          <w:bCs/>
          <w:noProof/>
          <w:color w:val="000000"/>
          <w:sz w:val="24"/>
          <w:szCs w:val="24"/>
        </w:rPr>
      </w:pPr>
      <w:r>
        <w:rPr>
          <w:rFonts w:ascii="Times New Roman" w:hAnsi="Times New Roman"/>
          <w:b/>
          <w:noProof/>
          <w:color w:val="000000" w:themeColor="text1"/>
          <w:sz w:val="24"/>
          <w:szCs w:val="24"/>
        </w:rPr>
        <w:t>1.</w:t>
      </w:r>
      <w:r>
        <w:rPr>
          <w:noProof/>
        </w:rPr>
        <w:tab/>
      </w:r>
      <w:r>
        <w:rPr>
          <w:rFonts w:ascii="Times New Roman" w:hAnsi="Times New Roman"/>
          <w:b/>
          <w:noProof/>
          <w:color w:val="000000" w:themeColor="text1"/>
          <w:sz w:val="24"/>
          <w:szCs w:val="24"/>
        </w:rPr>
        <w:t xml:space="preserve">Description des réformes et des investissements </w:t>
      </w:r>
    </w:p>
    <w:p w14:paraId="1216B249" w14:textId="77777777" w:rsidR="003C4798" w:rsidRDefault="00417595">
      <w:pPr>
        <w:pStyle w:val="P68B1DB1-Text11"/>
        <w:ind w:left="0"/>
        <w:rPr>
          <w:rFonts w:eastAsia="Times New Roman"/>
          <w:bCs/>
          <w:noProof/>
          <w:color w:val="000000"/>
        </w:rPr>
      </w:pPr>
      <w:r>
        <w:rPr>
          <w:noProof/>
        </w:rPr>
        <w:t>A. Élément A: «RESILIENCE ET COMPÉTITIVITÉ DE L’ÉCONOMIE»</w:t>
      </w:r>
    </w:p>
    <w:p w14:paraId="1216B24A" w14:textId="391E660A" w:rsidR="003C4798" w:rsidRDefault="00417595">
      <w:pPr>
        <w:pStyle w:val="Text1"/>
        <w:ind w:left="0"/>
        <w:rPr>
          <w:noProof/>
          <w:color w:val="000000"/>
        </w:rPr>
      </w:pPr>
      <w:bookmarkStart w:id="2" w:name="_heading=h.30j0zll"/>
      <w:bookmarkEnd w:id="2"/>
      <w:r>
        <w:rPr>
          <w:noProof/>
        </w:rPr>
        <w:t>Ce volet du plan polonais pour la reprise et la résilience contribue à relever plusieurs défis liés à la résilience et à la compétitivité de l’économie polonaise. Le premier défi majeur est lié au climat d’investissement et à l’environnement des entreprises, qui ont été entravés ces dernières années par des lacunes réglementaires, des exigences et des procédures administratives lourdes et des modifications fréquentes des lois clés. Deuxièmement, la Pologne n'a pas encore accru sa capacité d'innovation pour mettre à niveau son modèle de croissance, qui passe de la compétitivité-coûts à la durabilité et à des activités à plus forte valeur ajoutée. Les dépenses totales de recherche et développement (R&amp;D) restent faibles, à 1,4 % du PIB contre 2,3 % dans l’UE en 2020. Bien que les dépenses des entreprises en matière de R&amp;D aient plus que quadruplé au cours des dix dernières années, elles restent inférieures à la moyenne de l'UE. Troisièmement, la transformation numérique et d’autres transitions économiques nécessitent des efforts pour améliorer l’adéquation des compétences au marché du travail et la modernisation de l’enseignement et de la formation professionnels. Quatrièmement, les femmes, les personnes âgées, les personnes handicapées et les personnes peu qualifiées participent beaucoup moins au marché du travail que dans de nombreux autres pays de l’UE. Cela résulte de plusieurs facteurs, notamment un accès limité aux services de garde d’enfants et aux soins de longue durée, ainsi qu’un âge légal et effectif de départ à la retraite peu élevé. En outre, la flexibilité du marché du travail est limitée par des régimes de retraite spéciaux et un manque de flexibilité dans les dispositions relatives au temps de travail. Enfin, la part des contrats de travail temporaire reste élevée, même si elle n'a cessé de diminuer.</w:t>
      </w:r>
    </w:p>
    <w:p w14:paraId="1216B24B" w14:textId="77777777" w:rsidR="003C4798" w:rsidRDefault="00417595">
      <w:pPr>
        <w:pStyle w:val="P68B1DB1-Text12"/>
        <w:ind w:left="0"/>
        <w:rPr>
          <w:rFonts w:eastAsia="Times New Roman"/>
          <w:noProof/>
        </w:rPr>
      </w:pPr>
      <w:r>
        <w:rPr>
          <w:noProof/>
        </w:rPr>
        <w:t>L’objectif principal de ce volet est de stimuler l’investissement, d’accroître la productivité et de renforcer la compétitivité et la résilience de l’économie polonaise. À cette fin, le volet vise les objectifs suivants: i) renforcer la viabilité et l'adéquation du cadre budgétaire; ii) réduire la charge réglementaire et administrative pesant sur les entreprises et les entrepreneurs; iii) soutenir la transition numérique et écologique et la résilience des secteurs clés de l’économie, y compris le secteur agroalimentaire; iv) améliorer l'écosystème de l'innovation; v) favoriser l'adéquation des compétences au marché du travail et améliorer l'apprentissage tout au long de la vie; vi) accroître la participation au marché du travail et relever l'âge effectif de départ à la retraite; vii) améliorer l'accès et la qualité des services de garde d'enfants pour les enfants de moins de 3 ans et viii) accroître l'efficacité des services publics de l'emploi.</w:t>
      </w:r>
    </w:p>
    <w:p w14:paraId="1216B24C" w14:textId="77777777" w:rsidR="003C4798" w:rsidRDefault="00417595">
      <w:pPr>
        <w:pStyle w:val="P68B1DB1-Text12"/>
        <w:ind w:left="0"/>
        <w:rPr>
          <w:noProof/>
        </w:rPr>
      </w:pPr>
      <w:r>
        <w:rPr>
          <w:noProof/>
        </w:rPr>
        <w:t>Ce volet répond aux recommandations par pays suivantes adressées à la Pologne dans le cadre du Semestre européen en 2019 et 2020, notamment: Les recommandations par pays 3, 2019 et 4, 2020 concernaient l’amélioration du climat d’investissement et de l’environnement réglementaire, notamment en renforçant le rôle des consultations publiques dans le processus législatif. Le volet aborde en outre les points suivants: les recommandations par pays 1, 2019 et 1, 2020 concernant l’amélioration de l’efficacité des dépenses publiques et du processus budgétaire, ainsi que le soutien, par des mesures publiques, à la reprise économique; la recommandation par pays no 2 de 2019 relative à l’adéquation des futures prestations de retraite et à la viabilité du système de retraite, en particulier en prenant des mesures pour relever l’âge effectif de départ à la retraite, ainsi qu’en prenant des mesures pour accroître la participation au marché du travail, y compris en améliorant l’accès aux services de garde d’enfants et aux soins de longue durée, et en supprimant les obstacles qui subsistent à des types d’emploi plus permanents, et enfin en prenant des mesures pour accroître l’adéquation des compétences au marché du travail et améliorer l’apprentissage tout au long de la vie; Recommandation par pays no 3, 2019 en renforçant la capacité d’innovation de l’économie, notamment en soutenant les instituts de recherche et leur collaboration plus étroite avec les entreprises.</w:t>
      </w:r>
    </w:p>
    <w:p w14:paraId="1216B24D" w14:textId="77777777" w:rsidR="003C4798" w:rsidRDefault="00417595">
      <w:pPr>
        <w:pStyle w:val="P68B1DB1-Text12"/>
        <w:ind w:left="0"/>
        <w:rPr>
          <w:rFonts w:eastAsia="Times New Roman"/>
          <w:noProof/>
          <w:color w:val="000000"/>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 58/01).</w:t>
      </w:r>
    </w:p>
    <w:p w14:paraId="1216B24E"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4F" w14:textId="77777777" w:rsidR="003C4798" w:rsidRDefault="00417595">
      <w:pPr>
        <w:pStyle w:val="Text1"/>
        <w:ind w:left="0"/>
        <w:rPr>
          <w:rFonts w:eastAsia="Times New Roman"/>
          <w:b/>
          <w:bCs/>
          <w:noProof/>
          <w:color w:val="000000"/>
        </w:rPr>
      </w:pPr>
      <w:r>
        <w:rPr>
          <w:b/>
          <w:noProof/>
          <w:color w:val="000000" w:themeColor="text1"/>
        </w:rPr>
        <w:t xml:space="preserve">A.1. </w:t>
      </w:r>
      <w:r>
        <w:rPr>
          <w:noProof/>
        </w:rPr>
        <w:t xml:space="preserve"> </w:t>
      </w:r>
      <w:r>
        <w:rPr>
          <w:b/>
          <w:noProof/>
          <w:color w:val="000000" w:themeColor="text1"/>
        </w:rPr>
        <w:t>Description des réformes et des investissements pour le soutien financier non remboursable</w:t>
      </w:r>
    </w:p>
    <w:p w14:paraId="1216B250"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rPr>
      </w:pPr>
    </w:p>
    <w:p w14:paraId="1216B251" w14:textId="77777777" w:rsidR="003C4798" w:rsidRDefault="00417595">
      <w:pPr>
        <w:pStyle w:val="P68B1DB1-Text13"/>
        <w:ind w:left="0"/>
        <w:rPr>
          <w:rFonts w:eastAsia="Times New Roman"/>
          <w:bCs/>
          <w:noProof/>
          <w:color w:val="000000"/>
        </w:rPr>
      </w:pPr>
      <w:r>
        <w:rPr>
          <w:noProof/>
        </w:rPr>
        <w:t>Sous-composante</w:t>
      </w:r>
      <w:r>
        <w:rPr>
          <w:noProof/>
          <w:color w:val="000000" w:themeColor="text1"/>
        </w:rPr>
        <w:t xml:space="preserve"> A1 – Réduire l’incidence de la COVID-19 sur les entreprises</w:t>
      </w:r>
    </w:p>
    <w:p w14:paraId="1216B252"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53" w14:textId="7EF5E249" w:rsidR="003C4798" w:rsidRDefault="00417595">
      <w:pPr>
        <w:pStyle w:val="P68B1DB1-Text14"/>
        <w:ind w:left="0"/>
        <w:rPr>
          <w:rFonts w:eastAsia="Times New Roman"/>
          <w:bCs/>
          <w:noProof/>
          <w:color w:val="000000"/>
        </w:rPr>
      </w:pPr>
      <w:r>
        <w:rPr>
          <w:noProof/>
        </w:rPr>
        <w:t>A1.1 Réforme du cadre budgétaire</w:t>
      </w:r>
    </w:p>
    <w:p w14:paraId="1216B254" w14:textId="77777777" w:rsidR="003C4798" w:rsidRDefault="00417595">
      <w:pPr>
        <w:pStyle w:val="P68B1DB1-Text12"/>
        <w:ind w:left="0"/>
        <w:rPr>
          <w:noProof/>
        </w:rPr>
      </w:pPr>
      <w:r>
        <w:rPr>
          <w:noProof/>
        </w:rPr>
        <w:t>L'objectif de la réforme est d'accroître la transparence et l'efficacité des dépenses publiques.</w:t>
      </w:r>
    </w:p>
    <w:p w14:paraId="1216B255" w14:textId="67FE433F" w:rsidR="003C4798" w:rsidRDefault="00417595">
      <w:pPr>
        <w:pStyle w:val="P68B1DB1-Text12"/>
        <w:ind w:left="0"/>
        <w:rPr>
          <w:noProof/>
        </w:rPr>
      </w:pPr>
      <w:r>
        <w:rPr>
          <w:noProof/>
        </w:rPr>
        <w:t>Cette mesure consiste en l’adoption d’un ou de plusieurs actes juridiques révisant la règle de stabilisation des dépenses, le système de classification budgétaire, le cadre budgétaire à moyen terme et le cadre de réexamen des dépenses, ainsi qu’en l’introduction d’exigences pour l’évaluation des investissements publics.</w:t>
      </w:r>
    </w:p>
    <w:p w14:paraId="1216B256"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p>
    <w:p w14:paraId="1216B257" w14:textId="77777777" w:rsidR="003C4798" w:rsidRDefault="00417595">
      <w:pPr>
        <w:pStyle w:val="P68B1DB1-Text14"/>
        <w:ind w:left="0"/>
        <w:rPr>
          <w:rFonts w:eastAsia="Times New Roman"/>
          <w:bCs/>
          <w:noProof/>
          <w:color w:val="000000"/>
        </w:rPr>
      </w:pPr>
      <w:r>
        <w:rPr>
          <w:noProof/>
        </w:rPr>
        <w:t>A1.2 Réduire davantage la charge réglementaire et administrative</w:t>
      </w:r>
    </w:p>
    <w:p w14:paraId="1216B258" w14:textId="77777777" w:rsidR="003C4798" w:rsidRDefault="00417595">
      <w:pPr>
        <w:pStyle w:val="P68B1DB1-Text12"/>
        <w:ind w:left="0"/>
        <w:rPr>
          <w:rFonts w:eastAsia="Times New Roman"/>
          <w:noProof/>
          <w:color w:val="000000"/>
        </w:rPr>
      </w:pPr>
      <w:r>
        <w:rPr>
          <w:noProof/>
        </w:rPr>
        <w:t xml:space="preserve">L’objectif général de la réforme est de réduire la charge administrative et réglementaire pesant sur les entreprises en Pologne, ainsi que d’encourager l’investissement privé, en particulier dans les PME. À cette fin, la réforme vise i) à simplifier les procédures administratives et juridiques, ii) à réduire au minimum les exigences légales pour les entreprises et les entrepreneurs, iii) à accélérer la prise de décision. </w:t>
      </w:r>
    </w:p>
    <w:p w14:paraId="1216B259" w14:textId="2066C65E" w:rsidR="003C4798" w:rsidRDefault="00417595">
      <w:pPr>
        <w:pStyle w:val="P68B1DB1-Text12"/>
        <w:ind w:left="0"/>
        <w:rPr>
          <w:rFonts w:eastAsia="Times New Roman"/>
          <w:noProof/>
          <w:color w:val="000000"/>
        </w:rPr>
      </w:pPr>
      <w:r>
        <w:rPr>
          <w:noProof/>
        </w:rPr>
        <w:t>La réforme consiste en un paquet législatif. Le «bouclier juridique» (</w:t>
      </w:r>
      <w:r>
        <w:rPr>
          <w:i/>
          <w:noProof/>
        </w:rPr>
        <w:t>Tarcza prawna</w:t>
      </w:r>
      <w:r>
        <w:rPr>
          <w:noProof/>
        </w:rPr>
        <w:t>) introduit les dispositions légales suivantes: i) faire des procédures électroniques le principal moyen de traiter au moins huit procédures administratives et juridiques, y compris la présentation de déclarations par les opérateurs touristiques et les entrepreneurs au Fonds de garantie des assurances; ii) simplifier les procédures administratives, notamment en ce qui concerne les professions des gens de mer et le commerce des boissons alcooliques; iii) réduire le recours à la procédure à deux instances dans au moins dix procédures liées en particulier aux ressources géologiques; iv) limiter le nombre de documents et de formalités requis dans les procédures administratives, par exemple dans les processus d'aménagement du territoire et de construction; et v) de prolonger les délais de certaines procédures administratives, par exemple pour immatriculer une voiture achetée dans un autre État membre.</w:t>
      </w:r>
    </w:p>
    <w:p w14:paraId="1216B25A" w14:textId="77777777" w:rsidR="003C4798" w:rsidRDefault="00417595">
      <w:pPr>
        <w:pStyle w:val="P68B1DB1-Text12"/>
        <w:ind w:left="0"/>
        <w:rPr>
          <w:noProof/>
        </w:rPr>
      </w:pPr>
      <w:r>
        <w:rPr>
          <w:noProof/>
        </w:rPr>
        <w:t>La mise en œuvre de la réforme est achevée au plus tard le 30 juin 2023.</w:t>
      </w:r>
    </w:p>
    <w:p w14:paraId="1216B25B" w14:textId="77777777" w:rsidR="003C4798" w:rsidRDefault="003C4798">
      <w:pPr>
        <w:pStyle w:val="Normal0"/>
        <w:spacing w:before="120" w:after="120" w:line="240" w:lineRule="auto"/>
        <w:rPr>
          <w:noProof/>
          <w:color w:val="000000"/>
        </w:rPr>
      </w:pPr>
    </w:p>
    <w:p w14:paraId="1216B25C" w14:textId="1E095515" w:rsidR="003C4798" w:rsidRDefault="00417595">
      <w:pPr>
        <w:pStyle w:val="P68B1DB1-Text14"/>
        <w:keepNext/>
        <w:ind w:left="0"/>
        <w:rPr>
          <w:bCs/>
          <w:noProof/>
        </w:rPr>
      </w:pPr>
      <w:r>
        <w:rPr>
          <w:noProof/>
        </w:rPr>
        <w:t>A1.2.1 Projets visant à diversifier ou à développer les activités commerciales</w:t>
      </w:r>
    </w:p>
    <w:p w14:paraId="1216B25D" w14:textId="77777777" w:rsidR="003C4798" w:rsidRDefault="00417595">
      <w:pPr>
        <w:pStyle w:val="P68B1DB1-Text12"/>
        <w:ind w:left="0"/>
        <w:rPr>
          <w:rFonts w:eastAsia="Times New Roman"/>
          <w:noProof/>
        </w:rPr>
      </w:pPr>
      <w:r>
        <w:rPr>
          <w:noProof/>
        </w:rPr>
        <w:t xml:space="preserve">Cet investissement vise à soutenir les entreprises des secteurs de la HoReCa, du tourisme ou de la culture. </w:t>
      </w:r>
    </w:p>
    <w:p w14:paraId="1216B25E" w14:textId="12475146" w:rsidR="003C4798" w:rsidRDefault="00417595">
      <w:pPr>
        <w:pStyle w:val="P68B1DB1-Text12"/>
        <w:ind w:left="0"/>
        <w:rPr>
          <w:rFonts w:eastAsia="Times New Roman"/>
          <w:b/>
          <w:bCs/>
          <w:noProof/>
          <w:color w:val="000000"/>
          <w:u w:val="single"/>
        </w:rPr>
      </w:pPr>
      <w:r>
        <w:rPr>
          <w:noProof/>
        </w:rPr>
        <w:t>Cette mesure consiste à soutenir des projets visant à diversifier ou à développer les activités des entreprises de ces secteurs.</w:t>
      </w:r>
    </w:p>
    <w:p w14:paraId="1216B25F" w14:textId="77777777" w:rsidR="003C4798" w:rsidRDefault="003C4798">
      <w:pPr>
        <w:pStyle w:val="Text1"/>
        <w:ind w:left="0"/>
        <w:rPr>
          <w:b/>
          <w:bCs/>
          <w:noProof/>
          <w:color w:val="000000" w:themeColor="text1"/>
          <w:u w:val="single"/>
        </w:rPr>
      </w:pPr>
    </w:p>
    <w:p w14:paraId="1216B260" w14:textId="77777777" w:rsidR="003C4798" w:rsidRDefault="00417595">
      <w:pPr>
        <w:pStyle w:val="P68B1DB1-Text14"/>
        <w:ind w:left="0"/>
        <w:rPr>
          <w:rFonts w:eastAsia="Times New Roman"/>
          <w:bCs/>
          <w:noProof/>
          <w:color w:val="000000"/>
        </w:rPr>
      </w:pPr>
      <w:r>
        <w:rPr>
          <w:noProof/>
        </w:rPr>
        <w:t>A1.3 Réforme de l'aménagement du territoire</w:t>
      </w:r>
    </w:p>
    <w:p w14:paraId="1216B261" w14:textId="77777777" w:rsidR="003C4798" w:rsidRDefault="00417595">
      <w:pPr>
        <w:pStyle w:val="P68B1DB1-Text12"/>
        <w:ind w:left="0"/>
        <w:rPr>
          <w:rFonts w:eastAsia="Times New Roman"/>
          <w:noProof/>
          <w:color w:val="000000"/>
        </w:rPr>
      </w:pPr>
      <w:r>
        <w:rPr>
          <w:noProof/>
        </w:rPr>
        <w:t>L’objectif général de la réforme est de créer un climat d’investissement stable et prévisible pour le secteur de la construction, ainsi que de lutter contre la propagation incontrôlée des bâtiments dans les zones périurbaines, en particulier dans les plus grandes villes. À cette fin, l’objectif de la réforme est i) de rationaliser la législation existante et d’améliorer le cadre juridique de l’aménagement du territoire au niveau municipal; ii) établir des règles transparentes et claires pour l’aménagement du territoire au niveau municipal, notamment en donnant accès à des informations claires, numériques et fiables sur l’aménagement du territoire dans les municipalités; iii) renforcer la participation des parties prenantes et des partenaires sociaux à l’élaboration des plans généraux municipaux.</w:t>
      </w:r>
    </w:p>
    <w:p w14:paraId="1216B262" w14:textId="77777777" w:rsidR="003C4798" w:rsidRDefault="00417595">
      <w:pPr>
        <w:pStyle w:val="P68B1DB1-Text12"/>
        <w:ind w:left="0"/>
        <w:rPr>
          <w:rFonts w:eastAsia="Times New Roman"/>
          <w:noProof/>
          <w:color w:val="000000"/>
        </w:rPr>
      </w:pPr>
      <w:r>
        <w:rPr>
          <w:noProof/>
        </w:rPr>
        <w:t>La réforme consiste en l'adoption d'une nouvelle loi sur l'aménagement du territoire. La loi: i) introduire l’obligation pour toutes les municipalités d’élaborer et d’adopter des plans généraux d’aménagement du territoire, à convertir en législation locale, qui fixent les règles générales applicables à la construction dans la zone municipale; ii) introduire une exigence qui oblige les investisseurs à réaliser des projets supplémentaires au profit de la municipalité lors de la construction de nouveaux projets de développement, en vue, entre autres, de réduire le développement de logements sans prestation de services suffisante; iii) définir le processus dans lequel les intervenants peuvent participer à l'élaboration des stratégies et des plans généraux dans les municipalités.</w:t>
      </w:r>
    </w:p>
    <w:p w14:paraId="1216B263" w14:textId="77777777" w:rsidR="003C4798" w:rsidRDefault="00417595">
      <w:pPr>
        <w:pStyle w:val="P68B1DB1-Text12"/>
        <w:ind w:left="0"/>
        <w:rPr>
          <w:rFonts w:eastAsia="Times New Roman"/>
          <w:noProof/>
        </w:rPr>
      </w:pPr>
      <w:r>
        <w:rPr>
          <w:noProof/>
        </w:rPr>
        <w:t>La mise en œuvre de la réforme est achevée au plus tard le 31 mars 2023.</w:t>
      </w:r>
    </w:p>
    <w:p w14:paraId="1216B264" w14:textId="77777777" w:rsidR="003C4798" w:rsidRDefault="003C4798">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p>
    <w:p w14:paraId="1216B265" w14:textId="77777777" w:rsidR="003C4798" w:rsidRDefault="00417595">
      <w:pPr>
        <w:pStyle w:val="P68B1DB1-Text14"/>
        <w:ind w:left="0"/>
        <w:rPr>
          <w:rFonts w:eastAsia="Times New Roman"/>
          <w:bCs/>
          <w:noProof/>
          <w:color w:val="000000"/>
        </w:rPr>
      </w:pPr>
      <w:r>
        <w:rPr>
          <w:noProof/>
        </w:rPr>
        <w:t>A1.3.1 Mise en œuvre de la réforme de l'aménagement du territoire</w:t>
      </w:r>
    </w:p>
    <w:p w14:paraId="1216B266" w14:textId="77777777" w:rsidR="003C4798" w:rsidRDefault="00417595">
      <w:pPr>
        <w:pStyle w:val="P68B1DB1-Text12"/>
        <w:ind w:left="0"/>
        <w:rPr>
          <w:noProof/>
        </w:rPr>
      </w:pPr>
      <w:r>
        <w:rPr>
          <w:noProof/>
        </w:rPr>
        <w:t>L’objectif de l’investissement est de soutenir la préparation de la nouvelle réforme de l’aménagement du territoire définie dans la mesure A.1.3 du volet A.</w:t>
      </w:r>
    </w:p>
    <w:p w14:paraId="1216B267" w14:textId="14548CAD" w:rsidR="003C4798" w:rsidRDefault="00417595">
      <w:pPr>
        <w:pStyle w:val="Text1"/>
        <w:ind w:left="0"/>
        <w:rPr>
          <w:noProof/>
        </w:rPr>
      </w:pPr>
      <w:r>
        <w:rPr>
          <w:noProof/>
          <w:color w:val="000000" w:themeColor="text1"/>
        </w:rPr>
        <w:t>Cette mesure</w:t>
      </w:r>
      <w:r>
        <w:rPr>
          <w:noProof/>
        </w:rPr>
        <w:t xml:space="preserve"> consiste à: i) l’adoption de plans généraux d’aménagement du territoire par au moins 744 municipalités en Pologne; ii) un soutien technique à l’élaboration de plans généraux d’aménagement du territoire en mettant du matériel éducatif à la disposition des municipalités; iii) l'organisation de cours sur la nouvelle loi relative à l'aménagement du territoire.</w:t>
      </w:r>
    </w:p>
    <w:p w14:paraId="1216B268"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69" w14:textId="77777777" w:rsidR="003C4798" w:rsidRDefault="00417595">
      <w:pPr>
        <w:pStyle w:val="P68B1DB1-Text14"/>
        <w:ind w:left="0"/>
        <w:rPr>
          <w:rFonts w:eastAsia="Times New Roman"/>
          <w:bCs/>
          <w:noProof/>
          <w:color w:val="000000"/>
        </w:rPr>
      </w:pPr>
      <w:r>
        <w:rPr>
          <w:noProof/>
        </w:rPr>
        <w:t>A1.4 Réforme visant à améliorer la compétitivité et la protection des producteurs/consommateurs dans le secteur agricole</w:t>
      </w:r>
    </w:p>
    <w:p w14:paraId="1216B26A" w14:textId="21D4CF01" w:rsidR="003C4798" w:rsidRDefault="00417595">
      <w:pPr>
        <w:pStyle w:val="P68B1DB1-Normal05"/>
        <w:pBdr>
          <w:top w:val="nil"/>
          <w:left w:val="nil"/>
          <w:bottom w:val="nil"/>
          <w:right w:val="nil"/>
          <w:between w:val="nil"/>
        </w:pBdr>
        <w:spacing w:before="120" w:after="120" w:line="240" w:lineRule="auto"/>
        <w:jc w:val="both"/>
        <w:rPr>
          <w:noProof/>
        </w:rPr>
      </w:pPr>
      <w:r>
        <w:rPr>
          <w:noProof/>
        </w:rPr>
        <w:t>L’objectif général de la réforme est de renforcer la position des consommateurs et des producteurs dans la chaîne d’approvisionnement agroalimentaire en vue d’accroître les investissements et la résilience de tous les acteurs du secteur agroalimentaire, en particulier les PME et les petits producteurs. À cette fin, la réforme vise à: i) la création d’un ensemble de principes et de bonnes pratiques dans les relations verticales au sein de la chaîne d’approvisionnement agroalimentaire; ii) améliorer le système d’exécution des contrats dans le secteur agroalimentaire afin d’empêcher l’exploitation des avantages contractuels; et iii) le renforcement de la transparence du marché.</w:t>
      </w:r>
    </w:p>
    <w:p w14:paraId="1216B26B" w14:textId="77777777" w:rsidR="003C4798" w:rsidRDefault="00417595">
      <w:pPr>
        <w:pStyle w:val="P68B1DB1-Normal05"/>
        <w:pBdr>
          <w:top w:val="nil"/>
          <w:left w:val="nil"/>
          <w:bottom w:val="nil"/>
          <w:right w:val="nil"/>
          <w:between w:val="nil"/>
        </w:pBdr>
        <w:spacing w:before="120" w:after="120" w:line="240" w:lineRule="auto"/>
        <w:jc w:val="both"/>
        <w:rPr>
          <w:noProof/>
        </w:rPr>
      </w:pPr>
      <w:r>
        <w:rPr>
          <w:noProof/>
        </w:rPr>
        <w:t>La réforme consiste en une nouvelle loi visant à lutter contre le recours abusif aux avantages contractuels dans le secteur agroalimentaire, qui va au-delà de la directive (UE) 2019/633 sur les pratiques commerciales déloyales. La réforme comprend:</w:t>
      </w:r>
    </w:p>
    <w:p w14:paraId="1216B26C" w14:textId="7C161E72" w:rsidR="003C4798" w:rsidRDefault="00417595">
      <w:pPr>
        <w:pStyle w:val="P68B1DB1-Normal05"/>
        <w:numPr>
          <w:ilvl w:val="0"/>
          <w:numId w:val="2"/>
        </w:numPr>
        <w:pBdr>
          <w:top w:val="nil"/>
          <w:left w:val="nil"/>
          <w:bottom w:val="nil"/>
          <w:right w:val="nil"/>
          <w:between w:val="nil"/>
        </w:pBdr>
        <w:spacing w:before="120" w:after="120" w:line="240" w:lineRule="auto"/>
        <w:jc w:val="both"/>
        <w:rPr>
          <w:noProof/>
        </w:rPr>
      </w:pPr>
      <w:r>
        <w:rPr>
          <w:noProof/>
        </w:rPr>
        <w:t>Outre la liste des pratiques commerciales déloyales figurant dans la directive (UE) 2019/633, la réforme introduit une définition ouverte des pratiques commerciales déloyales. En particulier, ces pratiques commerciales supplémentaires sont considérées comme déloyales par l’Office de la concurrence et de la protection des consommateurs (UOKiK) si i) elles sont contraires aux exigences de bonne conduite commerciale; ii) et ils faussent ou sont susceptibles de fausser substantiellement les intérêts des autres parties au contrat.</w:t>
      </w:r>
    </w:p>
    <w:p w14:paraId="1216B26D" w14:textId="77777777" w:rsidR="003C4798" w:rsidRDefault="00417595">
      <w:pPr>
        <w:pStyle w:val="P68B1DB1-Normal05"/>
        <w:numPr>
          <w:ilvl w:val="0"/>
          <w:numId w:val="2"/>
        </w:numPr>
        <w:pBdr>
          <w:top w:val="nil"/>
          <w:left w:val="nil"/>
          <w:bottom w:val="nil"/>
          <w:right w:val="nil"/>
          <w:between w:val="nil"/>
        </w:pBdr>
        <w:spacing w:before="120" w:after="120" w:line="240" w:lineRule="auto"/>
        <w:jc w:val="both"/>
        <w:rPr>
          <w:noProof/>
        </w:rPr>
      </w:pPr>
      <w:r>
        <w:rPr>
          <w:noProof/>
        </w:rPr>
        <w:t>La réforme protège tous les opérateurs commerciaux, y compris les acheteurs de produits agricoles et alimentaires.</w:t>
      </w:r>
    </w:p>
    <w:p w14:paraId="1216B26E" w14:textId="3885DA73" w:rsidR="003C4798" w:rsidRDefault="00417595">
      <w:pPr>
        <w:pStyle w:val="P68B1DB1-Normal05"/>
        <w:pBdr>
          <w:top w:val="nil"/>
          <w:left w:val="nil"/>
          <w:bottom w:val="nil"/>
          <w:right w:val="nil"/>
          <w:between w:val="nil"/>
        </w:pBdr>
        <w:spacing w:before="120" w:after="120" w:line="240" w:lineRule="auto"/>
        <w:jc w:val="both"/>
        <w:rPr>
          <w:noProof/>
        </w:rPr>
      </w:pPr>
      <w:r>
        <w:rPr>
          <w:noProof/>
        </w:rPr>
        <w:t>La réforme comprend également l'élaboration d'une révision à mi-parcours de la nouvelle loi, qui comprend une évaluation visant à déterminer si les objectifs ont été atteints et à définir des pistes d'action pour résoudre d'éventuels problèmes de mise en œuvre.</w:t>
      </w:r>
    </w:p>
    <w:p w14:paraId="1216B26F" w14:textId="77777777" w:rsidR="003C4798" w:rsidRDefault="00417595">
      <w:pPr>
        <w:pStyle w:val="P68B1DB1-Normal05"/>
        <w:pBdr>
          <w:top w:val="nil"/>
          <w:left w:val="nil"/>
          <w:bottom w:val="nil"/>
          <w:right w:val="nil"/>
          <w:between w:val="nil"/>
        </w:pBdr>
        <w:spacing w:before="120" w:after="120" w:line="240" w:lineRule="auto"/>
        <w:jc w:val="both"/>
        <w:rPr>
          <w:rFonts w:eastAsia="Times New Roman"/>
          <w:noProof/>
          <w:color w:val="000000"/>
        </w:rPr>
      </w:pPr>
      <w:r>
        <w:rPr>
          <w:noProof/>
        </w:rPr>
        <w:t>La mise en œuvre de la réforme est achevée au plus tard le 30 juin 2025.</w:t>
      </w:r>
    </w:p>
    <w:p w14:paraId="1216B270" w14:textId="77777777" w:rsidR="003C4798" w:rsidRDefault="00417595">
      <w:pPr>
        <w:pStyle w:val="P68B1DB1-Text14"/>
        <w:ind w:left="0"/>
        <w:rPr>
          <w:bCs/>
          <w:noProof/>
        </w:rPr>
      </w:pPr>
      <w:r>
        <w:rPr>
          <w:noProof/>
        </w:rPr>
        <w:t>A1.4.1 Modernisation des infrastructures ou des équipements dans le secteur agricole</w:t>
      </w:r>
    </w:p>
    <w:p w14:paraId="1216B271" w14:textId="779AE762" w:rsidR="003C4798" w:rsidRDefault="00417595">
      <w:pPr>
        <w:pStyle w:val="P68B1DB1-Text12"/>
        <w:ind w:left="0"/>
        <w:rPr>
          <w:rFonts w:eastAsia="Times New Roman"/>
          <w:noProof/>
        </w:rPr>
      </w:pPr>
      <w:r>
        <w:rPr>
          <w:noProof/>
        </w:rPr>
        <w:t>L’objectif de cet investissement est d’accroître la compétitivité et la résilience du secteur agricole en Pologne.</w:t>
      </w:r>
    </w:p>
    <w:p w14:paraId="1216B272" w14:textId="1A796EFC" w:rsidR="003C4798" w:rsidRDefault="00417595">
      <w:pPr>
        <w:pStyle w:val="Text1"/>
        <w:ind w:left="0"/>
        <w:rPr>
          <w:rFonts w:eastAsia="Times New Roman"/>
          <w:noProof/>
          <w:color w:val="000000" w:themeColor="text1"/>
        </w:rPr>
      </w:pPr>
      <w:r>
        <w:rPr>
          <w:noProof/>
          <w:color w:val="000000" w:themeColor="text1"/>
        </w:rPr>
        <w:t xml:space="preserve">L’investissement consiste à financer la construction ou la modernisation d’infrastructures ou d’équipements d’acteurs du secteur, ainsi qu’à financer des projets visant à remplacer les matériaux nocifs pour l’environnement et la santé dans les bâtiments utilisés pour la production agricole. </w:t>
      </w:r>
      <w:r>
        <w:rPr>
          <w:noProof/>
        </w:rPr>
        <w:br w:type="page"/>
      </w:r>
    </w:p>
    <w:p w14:paraId="1216B273" w14:textId="77777777" w:rsidR="003C4798" w:rsidRDefault="00417595">
      <w:pPr>
        <w:pStyle w:val="P68B1DB1-Text16"/>
        <w:ind w:left="0"/>
        <w:rPr>
          <w:rFonts w:eastAsia="Times New Roman"/>
          <w:bCs/>
          <w:noProof/>
        </w:rPr>
      </w:pPr>
      <w:r>
        <w:rPr>
          <w:noProof/>
        </w:rPr>
        <w:t>Sous-composante A2 – Développement du système national d’innovation: renforcer la coordination, stimuler la capacité d'innovation et la coopération entre les entreprises et les organismes de recherche, y compris dans le domaine des écotechnologies;</w:t>
      </w:r>
    </w:p>
    <w:p w14:paraId="1216B274"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rPr>
      </w:pPr>
    </w:p>
    <w:p w14:paraId="1216B275" w14:textId="77777777" w:rsidR="003C4798" w:rsidRDefault="00417595">
      <w:pPr>
        <w:pStyle w:val="P68B1DB1-Text14"/>
        <w:ind w:left="0"/>
        <w:rPr>
          <w:rFonts w:eastAsia="Times New Roman"/>
          <w:bCs/>
          <w:noProof/>
          <w:color w:val="000000"/>
        </w:rPr>
      </w:pPr>
      <w:r>
        <w:rPr>
          <w:noProof/>
        </w:rPr>
        <w:t>A2.1 Accélérer la robotisation, la numérisation et les processus d’innovation</w:t>
      </w:r>
    </w:p>
    <w:p w14:paraId="1216B276" w14:textId="2CE8F366" w:rsidR="003C4798" w:rsidRDefault="00417595">
      <w:pPr>
        <w:pStyle w:val="P68B1DB1-Text12"/>
        <w:ind w:left="0"/>
        <w:rPr>
          <w:rFonts w:eastAsia="Times New Roman"/>
          <w:noProof/>
          <w:color w:val="000000"/>
        </w:rPr>
      </w:pPr>
      <w:r>
        <w:rPr>
          <w:noProof/>
        </w:rPr>
        <w:t>La réforme vise à renforcer la demande de connaissances et d’innovation et leur déploiement effectif dans les entreprises, dans l’économie numérique.</w:t>
      </w:r>
    </w:p>
    <w:p w14:paraId="1216B277" w14:textId="7FCE48B2" w:rsidR="003C4798" w:rsidRDefault="00417595">
      <w:pPr>
        <w:pStyle w:val="P68B1DB1-Text12"/>
        <w:ind w:left="0"/>
        <w:rPr>
          <w:noProof/>
        </w:rPr>
      </w:pPr>
      <w:r>
        <w:rPr>
          <w:noProof/>
        </w:rPr>
        <w:t>La réforme consiste en l’introduction de préférences fiscales pour les entreprises menant le processus de numérisation au moyen d’investissements dans la robotisation et la numérisation. L'allégement fiscal prend la forme d'une déduction des coûts fiscaux supplémentaires pour soutenir l'achat de robots.</w:t>
      </w:r>
    </w:p>
    <w:p w14:paraId="1216B278" w14:textId="77777777" w:rsidR="003C4798" w:rsidRDefault="00417595">
      <w:pPr>
        <w:pStyle w:val="P68B1DB1-Text12"/>
        <w:ind w:left="0"/>
        <w:rPr>
          <w:rFonts w:eastAsia="Times New Roman"/>
          <w:noProof/>
          <w:color w:val="000000"/>
        </w:rPr>
      </w:pPr>
      <w:r>
        <w:rPr>
          <w:noProof/>
        </w:rPr>
        <w:t>La mise en œuvre de la réforme est achevée au plus tard le 30 juin 2022.</w:t>
      </w:r>
    </w:p>
    <w:p w14:paraId="1216B279"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7A" w14:textId="0CAB9111" w:rsidR="003C4798" w:rsidRDefault="00417595">
      <w:pPr>
        <w:pStyle w:val="P68B1DB1-Text14"/>
        <w:ind w:left="0"/>
        <w:rPr>
          <w:rFonts w:eastAsia="Times New Roman"/>
          <w:bCs/>
          <w:noProof/>
        </w:rPr>
      </w:pPr>
      <w:r>
        <w:rPr>
          <w:noProof/>
        </w:rPr>
        <w:t>A2.1.1 Investissements dans la robotisation ou la numérisation dans les entreprises</w:t>
      </w:r>
    </w:p>
    <w:p w14:paraId="1216B27B" w14:textId="08AF2C28" w:rsidR="003C4798" w:rsidRDefault="00417595">
      <w:pPr>
        <w:pStyle w:val="P68B1DB1-Text12"/>
        <w:ind w:left="0"/>
        <w:rPr>
          <w:noProof/>
        </w:rPr>
      </w:pPr>
      <w:r>
        <w:rPr>
          <w:noProof/>
        </w:rPr>
        <w:t>L’investissement vise à promouvoir la robotisation et la numérisation des entreprises.</w:t>
      </w:r>
    </w:p>
    <w:p w14:paraId="1216B27C" w14:textId="39DDC745" w:rsidR="003C4798" w:rsidRDefault="00417595">
      <w:pPr>
        <w:pStyle w:val="Text1"/>
        <w:ind w:left="0"/>
        <w:rPr>
          <w:rFonts w:eastAsia="Times New Roman"/>
          <w:noProof/>
          <w:color w:val="000000" w:themeColor="text1"/>
        </w:rPr>
      </w:pPr>
      <w:r>
        <w:rPr>
          <w:noProof/>
          <w:color w:val="000000" w:themeColor="text1"/>
        </w:rPr>
        <w:t xml:space="preserve">Cette mesure consiste en des projets </w:t>
      </w:r>
      <w:r>
        <w:rPr>
          <w:noProof/>
        </w:rPr>
        <w:t>liés à la robotisation, à l’intelligence artificielle ou à la numérisation de processus, de technologies, de produits ou de services dans les entreprises.</w:t>
      </w:r>
    </w:p>
    <w:p w14:paraId="1216B27D"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rPr>
      </w:pPr>
    </w:p>
    <w:p w14:paraId="1216B27E" w14:textId="77777777" w:rsidR="003C4798" w:rsidRDefault="00417595">
      <w:pPr>
        <w:pStyle w:val="P68B1DB1-Text14"/>
        <w:ind w:left="0"/>
        <w:rPr>
          <w:rFonts w:eastAsia="Times New Roman"/>
          <w:bCs/>
          <w:noProof/>
          <w:color w:val="000000"/>
        </w:rPr>
      </w:pPr>
      <w:r>
        <w:rPr>
          <w:noProof/>
        </w:rPr>
        <w:t>A2.2 Créer les conditions de la transition vers un modèle d'économie circulaire</w:t>
      </w:r>
    </w:p>
    <w:p w14:paraId="1216B27F" w14:textId="0AA57A61" w:rsidR="003C4798" w:rsidRDefault="00417595">
      <w:pPr>
        <w:pStyle w:val="P68B1DB1-Text12"/>
        <w:ind w:left="0"/>
        <w:rPr>
          <w:rFonts w:eastAsia="Times New Roman"/>
          <w:noProof/>
          <w:color w:val="000000"/>
        </w:rPr>
      </w:pPr>
      <w:r>
        <w:rPr>
          <w:noProof/>
        </w:rPr>
        <w:t>La réforme vise à créer un cadre juridique approprié pour le fonctionnement des échanges de matières premières secondaires. La réforme introduit des réglementations relatives à la fin du statut de déchet pour les principaux déchets industriels, qui comprennent des définitions du statut de fin du statut de déchet pour ces matières et facilitent leur circulation et leur utilisation en tant que matières premières secondaires.</w:t>
      </w:r>
    </w:p>
    <w:p w14:paraId="1216B280" w14:textId="77777777" w:rsidR="003C4798" w:rsidRDefault="00417595">
      <w:pPr>
        <w:pStyle w:val="P68B1DB1-Text12"/>
        <w:ind w:left="0"/>
        <w:rPr>
          <w:rFonts w:eastAsia="Times New Roman"/>
          <w:noProof/>
          <w:color w:val="000000"/>
        </w:rPr>
      </w:pPr>
      <w:r>
        <w:rPr>
          <w:noProof/>
        </w:rPr>
        <w:t>La mise en œuvre de la réforme est achevée au plus tard le 30 juin 2024.</w:t>
      </w:r>
    </w:p>
    <w:p w14:paraId="1216B281"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82" w14:textId="77777777" w:rsidR="003C4798" w:rsidRDefault="00417595">
      <w:pPr>
        <w:pStyle w:val="P68B1DB1-Text14"/>
        <w:ind w:left="0"/>
        <w:rPr>
          <w:rFonts w:eastAsia="Times New Roman"/>
          <w:bCs/>
          <w:noProof/>
          <w:color w:val="000000"/>
        </w:rPr>
      </w:pPr>
      <w:r>
        <w:rPr>
          <w:noProof/>
        </w:rPr>
        <w:t>A2.2.1 Investissements dans les technologies environnementales et les innovations liées à l'économie circulaire</w:t>
      </w:r>
    </w:p>
    <w:p w14:paraId="1216B283" w14:textId="77777777" w:rsidR="003C4798" w:rsidRDefault="00417595">
      <w:pPr>
        <w:pStyle w:val="P68B1DB1-Text12"/>
        <w:ind w:left="0"/>
        <w:rPr>
          <w:rFonts w:eastAsia="Times New Roman"/>
          <w:noProof/>
          <w:color w:val="000000"/>
        </w:rPr>
      </w:pPr>
      <w:r>
        <w:rPr>
          <w:noProof/>
        </w:rPr>
        <w:t>L’objectif de cette mesure est de financer les technologies environnementales et les innovations liées à l’économie circulaire, de faciliter la transition des PME vers l’économie circulaire et d’utiliser les déchets comme matières premières secondaires.</w:t>
      </w:r>
    </w:p>
    <w:p w14:paraId="1216B284" w14:textId="09549131" w:rsidR="003C4798" w:rsidRDefault="00417595">
      <w:pPr>
        <w:pStyle w:val="P68B1DB1-Text12"/>
        <w:ind w:left="0"/>
        <w:rPr>
          <w:rFonts w:eastAsia="Times New Roman"/>
          <w:noProof/>
        </w:rPr>
      </w:pPr>
      <w:r>
        <w:rPr>
          <w:noProof/>
        </w:rPr>
        <w:t>Cette mesure consiste en la signature: i) des conventions de subvention pour des projets sur les écotechnologies et les innovations liées à l’économie circulaire qui contribuent à la transformation des PME vers l’économie circulaire; ii) une convention de subvention pour des projets relatifs aux écotechnologies et aux innovations liées à l’économie circulaire ou à la création d’un marché des matières premières secondaires.</w:t>
      </w:r>
    </w:p>
    <w:p w14:paraId="1216B285"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86" w14:textId="27C7E128" w:rsidR="003C4798" w:rsidRDefault="00417595">
      <w:pPr>
        <w:pStyle w:val="P68B1DB1-Text14"/>
        <w:ind w:left="0"/>
        <w:rPr>
          <w:bCs/>
          <w:noProof/>
          <w:color w:val="000000"/>
        </w:rPr>
      </w:pPr>
      <w:r>
        <w:rPr>
          <w:noProof/>
        </w:rPr>
        <w:t>A2.3 Fournir la base institutionnelle et juridique pour le développement des véhicules aériens sans pilote (UAV)</w:t>
      </w:r>
    </w:p>
    <w:p w14:paraId="1216B287" w14:textId="77777777" w:rsidR="003C4798" w:rsidRDefault="00417595">
      <w:pPr>
        <w:pStyle w:val="P68B1DB1-Text12"/>
        <w:ind w:left="0"/>
        <w:rPr>
          <w:rFonts w:eastAsia="Times New Roman"/>
          <w:noProof/>
          <w:color w:val="000000"/>
        </w:rPr>
      </w:pPr>
      <w:r>
        <w:rPr>
          <w:noProof/>
        </w:rPr>
        <w:t>L’objectif de la réforme est de créer une entité chargée de soutenir les essais et la mise en œuvre de nouvelles solutions basées sur les drones, en particulier dans les zones urbanisées.</w:t>
      </w:r>
    </w:p>
    <w:p w14:paraId="1216B288" w14:textId="77777777" w:rsidR="003C4798" w:rsidRDefault="00417595">
      <w:pPr>
        <w:pStyle w:val="P68B1DB1-Text12"/>
        <w:ind w:left="0"/>
        <w:rPr>
          <w:rFonts w:eastAsia="Times New Roman"/>
          <w:noProof/>
        </w:rPr>
      </w:pPr>
      <w:r>
        <w:rPr>
          <w:noProof/>
        </w:rPr>
        <w:t>La réforme confère à l'Agence polonaise des services de navigation aérienne le droit de détenir des participations dans des sociétés commerciales et l'autorise, elle-même ou ses filiales, à mener des projets pilotes à l'appui de la mise en œuvre de modèles commerciaux et de services fondés sur les drones. L’Agence polonaise des services de navigation aérienne agit également en tant que prestataire de services spécialisés pour les UAV au sein du réseau de centres de compétence prévu.</w:t>
      </w:r>
    </w:p>
    <w:p w14:paraId="1216B289" w14:textId="77777777" w:rsidR="003C4798" w:rsidRDefault="00417595">
      <w:pPr>
        <w:pStyle w:val="P68B1DB1-Text12"/>
        <w:ind w:left="0"/>
        <w:rPr>
          <w:rFonts w:eastAsia="Times New Roman"/>
          <w:noProof/>
          <w:color w:val="000000"/>
        </w:rPr>
      </w:pPr>
      <w:r>
        <w:rPr>
          <w:noProof/>
        </w:rPr>
        <w:t>La mise en œuvre de cette réforme est achevée au plus tard le 30 juin 2023.</w:t>
      </w:r>
    </w:p>
    <w:p w14:paraId="1216B28A" w14:textId="77777777" w:rsidR="003C4798" w:rsidRDefault="003C4798">
      <w:pPr>
        <w:pStyle w:val="Normal0"/>
        <w:spacing w:before="120" w:after="120" w:line="240" w:lineRule="auto"/>
        <w:jc w:val="both"/>
        <w:rPr>
          <w:rFonts w:ascii="Times New Roman" w:eastAsia="Times New Roman" w:hAnsi="Times New Roman" w:cs="Times New Roman"/>
          <w:b/>
          <w:bCs/>
          <w:noProof/>
          <w:color w:val="000000" w:themeColor="text1"/>
          <w:sz w:val="24"/>
          <w:szCs w:val="24"/>
          <w:u w:val="single"/>
        </w:rPr>
      </w:pPr>
    </w:p>
    <w:p w14:paraId="1216B28B" w14:textId="77777777" w:rsidR="003C4798" w:rsidRDefault="00417595">
      <w:pPr>
        <w:pStyle w:val="P68B1DB1-Text14"/>
        <w:ind w:left="0"/>
        <w:rPr>
          <w:bCs/>
          <w:noProof/>
        </w:rPr>
      </w:pPr>
      <w:r>
        <w:rPr>
          <w:noProof/>
        </w:rPr>
        <w:t>A2.3.1 Centres de compétence locaux pour véhicules aériens sans pilote</w:t>
      </w:r>
    </w:p>
    <w:p w14:paraId="1216B28C" w14:textId="77777777" w:rsidR="003C4798" w:rsidRDefault="00417595">
      <w:pPr>
        <w:pStyle w:val="P68B1DB1-Text12"/>
        <w:ind w:left="0"/>
        <w:rPr>
          <w:rFonts w:eastAsia="Times New Roman"/>
          <w:noProof/>
          <w:color w:val="000000"/>
        </w:rPr>
      </w:pPr>
      <w:r>
        <w:rPr>
          <w:noProof/>
        </w:rPr>
        <w:t>L’objectif de cet investissement est d’établir des centres de compétence locaux pour les véhicules aériens sans pilote dans le but de permettre les vols avancés de véhicules aériens sans pilote dans la zone attribuée à chaque centre de compétence.</w:t>
      </w:r>
    </w:p>
    <w:p w14:paraId="1216B28D" w14:textId="0C52AFE3" w:rsidR="003C4798" w:rsidRDefault="00417595">
      <w:pPr>
        <w:pStyle w:val="P68B1DB1-Text12"/>
        <w:ind w:left="0"/>
        <w:rPr>
          <w:rFonts w:eastAsia="Times New Roman"/>
          <w:noProof/>
        </w:rPr>
      </w:pPr>
      <w:r>
        <w:rPr>
          <w:noProof/>
        </w:rPr>
        <w:t>L'investissement consiste en la mise en place de dix centres locaux fournissant des infrastructures numériques, des champs d'atterrissage et des infrastructures de suivi pour les véhicules sans pilote.</w:t>
      </w:r>
    </w:p>
    <w:p w14:paraId="1216B28E" w14:textId="77777777" w:rsidR="003C4798" w:rsidRDefault="003C4798">
      <w:pPr>
        <w:pStyle w:val="Text1"/>
        <w:ind w:left="0"/>
        <w:rPr>
          <w:rFonts w:eastAsia="Times New Roman"/>
          <w:noProof/>
          <w:color w:val="000000"/>
        </w:rPr>
      </w:pPr>
    </w:p>
    <w:p w14:paraId="1216B28F" w14:textId="77777777" w:rsidR="003C4798" w:rsidRDefault="00417595">
      <w:pPr>
        <w:pStyle w:val="P68B1DB1-Text14"/>
        <w:ind w:left="0"/>
        <w:rPr>
          <w:rFonts w:eastAsia="Times New Roman"/>
          <w:bCs/>
          <w:noProof/>
          <w:color w:val="000000"/>
        </w:rPr>
      </w:pPr>
      <w:r>
        <w:rPr>
          <w:noProof/>
        </w:rPr>
        <w:t>A2.4 Renforcement des mécanismes de coopération entre la science et l'industrie</w:t>
      </w:r>
    </w:p>
    <w:p w14:paraId="1216B290" w14:textId="5B325BF3" w:rsidR="003C4798" w:rsidRDefault="00417595">
      <w:pPr>
        <w:pStyle w:val="P68B1DB1-Text12"/>
        <w:ind w:left="0"/>
        <w:rPr>
          <w:rFonts w:eastAsia="Times New Roman"/>
          <w:noProof/>
          <w:color w:val="000000"/>
        </w:rPr>
      </w:pPr>
      <w:r>
        <w:rPr>
          <w:noProof/>
        </w:rPr>
        <w:t>La réforme comporte deux actions. L'objectif de la première action est de permettre aux universités et aux instituts de recherche de devenir actionnaires d'entreprises. L'objectif est d'accroître l'interdisciplinarité et la flexibilité du transfert de technologie.</w:t>
      </w:r>
    </w:p>
    <w:p w14:paraId="1216B291" w14:textId="77777777" w:rsidR="003C4798" w:rsidRDefault="00417595">
      <w:pPr>
        <w:pStyle w:val="P68B1DB1-Text12"/>
        <w:ind w:left="0"/>
        <w:rPr>
          <w:rFonts w:eastAsia="Times New Roman"/>
          <w:noProof/>
          <w:color w:val="000000"/>
        </w:rPr>
      </w:pPr>
      <w:r>
        <w:rPr>
          <w:noProof/>
        </w:rPr>
        <w:t>La première action au titre de cette réforme consistera à élargir les catégories d'entités avec lesquelles les universités seront en mesure de créer des entités ad hoc. Il s'agit d'instituts de recherche, d'instituts de l'Académie polonaise des sciences et d'instituts du réseau de recherche de Łukasiewicz. La réforme doit permettre la création de véhicules spéciaux conçus spécifiquement pour la commercialisation des résultats de la R&amp;D.</w:t>
      </w:r>
    </w:p>
    <w:p w14:paraId="1216B292" w14:textId="77777777" w:rsidR="003C4798" w:rsidRDefault="00417595">
      <w:pPr>
        <w:pStyle w:val="P68B1DB1-Text12"/>
        <w:ind w:left="0"/>
        <w:rPr>
          <w:rFonts w:eastAsia="Times New Roman"/>
          <w:noProof/>
          <w:color w:val="000000"/>
        </w:rPr>
      </w:pPr>
      <w:r>
        <w:rPr>
          <w:noProof/>
        </w:rPr>
        <w:t>La mise en œuvre de cette réforme devait être achevée au plus tard le 31 mars 2022.</w:t>
      </w:r>
    </w:p>
    <w:p w14:paraId="1216B293" w14:textId="77777777" w:rsidR="003C4798" w:rsidRDefault="00417595">
      <w:pPr>
        <w:pStyle w:val="P68B1DB1-Text12"/>
        <w:ind w:left="0"/>
        <w:rPr>
          <w:rFonts w:eastAsia="Times New Roman"/>
          <w:noProof/>
          <w:color w:val="000000"/>
        </w:rPr>
      </w:pPr>
      <w:r>
        <w:rPr>
          <w:noProof/>
        </w:rPr>
        <w:t>La deuxième action au titre de cette réforme établit, pour les instituts de recherche et les unités subordonnées sous la supervision du ministère de l'agriculture et du développement rural, des règles pour l'utilisation des laboratoires, des infrastructures de recherche et du transfert de connaissances dans le cadre de la coopération science-science et science-entreprise. Les règles d'octroi des aides respectent les principes de non-discrimination et de transparence.</w:t>
      </w:r>
    </w:p>
    <w:p w14:paraId="1216B294" w14:textId="77777777" w:rsidR="003C4798" w:rsidRDefault="00417595">
      <w:pPr>
        <w:pStyle w:val="P68B1DB1-Text12"/>
        <w:ind w:left="0"/>
        <w:rPr>
          <w:rFonts w:eastAsia="Times New Roman"/>
          <w:noProof/>
          <w:color w:val="000000"/>
        </w:rPr>
      </w:pPr>
      <w:r>
        <w:rPr>
          <w:noProof/>
        </w:rPr>
        <w:t>La mise en œuvre de cette réforme devait être achevée au plus tard le 31 mars 2022.</w:t>
      </w:r>
    </w:p>
    <w:p w14:paraId="1216B295"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p>
    <w:p w14:paraId="1216B296" w14:textId="77777777" w:rsidR="003C4798" w:rsidRDefault="00417595">
      <w:pPr>
        <w:pStyle w:val="P68B1DB1-Text14"/>
        <w:ind w:left="0"/>
        <w:rPr>
          <w:rFonts w:eastAsia="Times New Roman"/>
          <w:bCs/>
          <w:noProof/>
          <w:color w:val="000000"/>
        </w:rPr>
      </w:pPr>
      <w:r>
        <w:rPr>
          <w:noProof/>
        </w:rPr>
        <w:t>A2.4.1 Investissements dans les capacités de recherche</w:t>
      </w:r>
    </w:p>
    <w:p w14:paraId="1216B297" w14:textId="3A158530" w:rsidR="003C4798" w:rsidRDefault="00417595">
      <w:pPr>
        <w:pStyle w:val="P68B1DB1-Text12"/>
        <w:ind w:left="0"/>
        <w:rPr>
          <w:rFonts w:eastAsia="Times New Roman"/>
          <w:noProof/>
          <w:color w:val="000000"/>
        </w:rPr>
      </w:pPr>
      <w:r>
        <w:rPr>
          <w:noProof/>
        </w:rPr>
        <w:t>L'objectif de cet investissement est de doter les établissements de recherche d'une infrastructure de recherche ou d'analyse.</w:t>
      </w:r>
    </w:p>
    <w:p w14:paraId="1216B298" w14:textId="66A34B1E" w:rsidR="003C4798" w:rsidRDefault="00417595">
      <w:pPr>
        <w:pStyle w:val="P68B1DB1-Text12"/>
        <w:ind w:left="0"/>
        <w:rPr>
          <w:rFonts w:eastAsia="Times New Roman"/>
          <w:noProof/>
        </w:rPr>
      </w:pPr>
      <w:r>
        <w:rPr>
          <w:noProof/>
        </w:rPr>
        <w:t>Cette mesure consiste en des projets pour des laboratoires dotés d'une infrastructure de recherche ou d'analyse.</w:t>
      </w:r>
    </w:p>
    <w:p w14:paraId="1216B299" w14:textId="77777777" w:rsidR="003C4798" w:rsidRDefault="003C4798">
      <w:pPr>
        <w:pStyle w:val="Text1"/>
        <w:rPr>
          <w:rFonts w:eastAsia="Times New Roman"/>
          <w:noProof/>
          <w:color w:val="000000" w:themeColor="text1"/>
        </w:rPr>
      </w:pPr>
    </w:p>
    <w:p w14:paraId="1216B29A" w14:textId="77777777" w:rsidR="003C4798" w:rsidRDefault="00417595">
      <w:pPr>
        <w:pStyle w:val="P68B1DB1-Text16"/>
        <w:ind w:left="0"/>
        <w:rPr>
          <w:rFonts w:eastAsia="Times New Roman"/>
          <w:bCs/>
          <w:noProof/>
        </w:rPr>
      </w:pPr>
      <w:r>
        <w:rPr>
          <w:noProof/>
        </w:rPr>
        <w:t>Sous-composante A3 – Éducation pour l’économie moderne</w:t>
      </w:r>
    </w:p>
    <w:p w14:paraId="1216B29B"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9C" w14:textId="77777777" w:rsidR="003C4798" w:rsidRDefault="00417595">
      <w:pPr>
        <w:pStyle w:val="P68B1DB1-Text14"/>
        <w:ind w:left="0"/>
        <w:rPr>
          <w:bCs/>
          <w:noProof/>
        </w:rPr>
      </w:pPr>
      <w:r>
        <w:rPr>
          <w:noProof/>
        </w:rPr>
        <w:t>A3.1 Main-d'œuvre pour l'économie moderne: améliorer la mise en adéquation des compétences et des qualifications avec les exigences du marché du travail</w:t>
      </w:r>
    </w:p>
    <w:p w14:paraId="1216B29D" w14:textId="21859F15" w:rsidR="003C4798" w:rsidRDefault="00417595">
      <w:pPr>
        <w:pStyle w:val="P68B1DB1-Text12"/>
        <w:ind w:left="0"/>
        <w:rPr>
          <w:rFonts w:eastAsia="Times New Roman"/>
          <w:noProof/>
        </w:rPr>
      </w:pPr>
      <w:r>
        <w:rPr>
          <w:noProof/>
        </w:rPr>
        <w:t>L’objectif de la réforme est de préparer la main-d’œuvre à l’économie moderne et d’améliorer l’adéquation des compétences et des qualifications avec les exigences du marché du travail.</w:t>
      </w:r>
    </w:p>
    <w:p w14:paraId="1216B29E" w14:textId="77777777" w:rsidR="003C4798" w:rsidRDefault="00417595">
      <w:pPr>
        <w:pStyle w:val="P68B1DB1-Text12"/>
        <w:ind w:left="0"/>
        <w:rPr>
          <w:rFonts w:eastAsia="Times New Roman"/>
          <w:noProof/>
          <w:color w:val="000000"/>
        </w:rPr>
      </w:pPr>
      <w:r>
        <w:rPr>
          <w:noProof/>
        </w:rPr>
        <w:t>Cette mesure consiste en l’entrée en vigueur d’un ou de plusieurs actes juridiques visant à établir le cadre juridique des centres sectoriels de compétences.</w:t>
      </w:r>
    </w:p>
    <w:p w14:paraId="1216B29F" w14:textId="77777777" w:rsidR="003C4798" w:rsidRDefault="003C4798">
      <w:pPr>
        <w:pStyle w:val="Text1"/>
        <w:ind w:left="0"/>
        <w:rPr>
          <w:rFonts w:eastAsia="Times New Roman"/>
          <w:noProof/>
          <w:color w:val="000000" w:themeColor="text1"/>
        </w:rPr>
      </w:pPr>
    </w:p>
    <w:p w14:paraId="1216B2A0" w14:textId="77777777" w:rsidR="003C4798" w:rsidRDefault="00417595">
      <w:pPr>
        <w:pStyle w:val="P68B1DB1-Text14"/>
        <w:ind w:left="0"/>
        <w:rPr>
          <w:rFonts w:eastAsia="Times New Roman"/>
          <w:bCs/>
          <w:noProof/>
          <w:color w:val="000000"/>
        </w:rPr>
      </w:pPr>
      <w:r>
        <w:rPr>
          <w:noProof/>
        </w:rPr>
        <w:t>A3.1.1 Investissements dans la formation professionnelle moderne, l'enseignement supérieur et l'apprentissage tout au long de la vie</w:t>
      </w:r>
    </w:p>
    <w:p w14:paraId="1216B2A1" w14:textId="0B79D8CB" w:rsidR="003C4798" w:rsidRDefault="00417595">
      <w:pPr>
        <w:pStyle w:val="P68B1DB1-Text17"/>
        <w:ind w:left="0"/>
        <w:rPr>
          <w:noProof/>
        </w:rPr>
      </w:pPr>
      <w:r>
        <w:rPr>
          <w:noProof/>
        </w:rPr>
        <w:t>L’objectif de l’investissement est de créer des centres sectoriels de compétences.</w:t>
      </w:r>
    </w:p>
    <w:p w14:paraId="1216B2A2" w14:textId="77777777" w:rsidR="003C4798" w:rsidRDefault="00417595">
      <w:pPr>
        <w:pStyle w:val="P68B1DB1-Normal08"/>
        <w:pBdr>
          <w:top w:val="nil"/>
          <w:left w:val="nil"/>
          <w:bottom w:val="nil"/>
          <w:right w:val="nil"/>
          <w:between w:val="nil"/>
        </w:pBdr>
        <w:spacing w:before="120" w:after="120" w:line="240" w:lineRule="auto"/>
        <w:jc w:val="both"/>
        <w:rPr>
          <w:noProof/>
        </w:rPr>
      </w:pPr>
      <w:r>
        <w:rPr>
          <w:noProof/>
        </w:rPr>
        <w:t>Cette mesure consiste en i) la mise en place et le développement d’équipes de coordination régionale et ii) l’achat de travaux de construction et d’équipements pour les centres sectoriels de compétences.</w:t>
      </w:r>
    </w:p>
    <w:p w14:paraId="1216B2A3"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p>
    <w:p w14:paraId="1216B2A4" w14:textId="77777777" w:rsidR="003C4798" w:rsidRDefault="00417595">
      <w:pPr>
        <w:pStyle w:val="P68B1DB1-Text16"/>
        <w:ind w:left="0"/>
        <w:rPr>
          <w:rFonts w:eastAsia="Times New Roman"/>
          <w:bCs/>
          <w:noProof/>
          <w:color w:val="000000"/>
        </w:rPr>
      </w:pPr>
      <w:r>
        <w:rPr>
          <w:noProof/>
        </w:rPr>
        <w:t>Sous-composante A4 – Accroître l’adéquation structurelle, l’efficacité et la résilience du marché du travail face aux crises</w:t>
      </w:r>
    </w:p>
    <w:p w14:paraId="1216B2A5" w14:textId="77777777" w:rsidR="003C4798" w:rsidRDefault="003C4798">
      <w:pPr>
        <w:spacing w:after="0"/>
        <w:rPr>
          <w:rFonts w:ascii="Times New Roman" w:eastAsia="Times New Roman" w:hAnsi="Times New Roman" w:cs="Times New Roman"/>
          <w:b/>
          <w:bCs/>
          <w:noProof/>
          <w:color w:val="000000"/>
          <w:sz w:val="24"/>
          <w:szCs w:val="24"/>
        </w:rPr>
      </w:pPr>
    </w:p>
    <w:p w14:paraId="1216B2A6" w14:textId="77777777" w:rsidR="003C4798" w:rsidRDefault="00417595">
      <w:pPr>
        <w:pStyle w:val="P68B1DB1-Text14"/>
        <w:ind w:left="0"/>
        <w:rPr>
          <w:rFonts w:eastAsia="Times New Roman"/>
          <w:bCs/>
          <w:noProof/>
          <w:color w:val="000000"/>
        </w:rPr>
      </w:pPr>
      <w:r>
        <w:rPr>
          <w:noProof/>
        </w:rPr>
        <w:t>A4.1 Réformes structurelles des institutions du marché du travail</w:t>
      </w:r>
    </w:p>
    <w:p w14:paraId="1216B2A7" w14:textId="35FE53DE" w:rsidR="003C4798" w:rsidRDefault="00417595">
      <w:pPr>
        <w:pStyle w:val="P68B1DB1-Text12"/>
        <w:ind w:left="0"/>
        <w:rPr>
          <w:rFonts w:eastAsia="Times New Roman"/>
          <w:noProof/>
          <w:color w:val="000000"/>
        </w:rPr>
      </w:pPr>
      <w:r>
        <w:rPr>
          <w:noProof/>
        </w:rPr>
        <w:t>L'objectif de la réforme est d'accroître la participation au marché du travail et d'apporter flexibilité et sécurité sur le marché du travail polonais.</w:t>
      </w:r>
    </w:p>
    <w:p w14:paraId="1216B2A8" w14:textId="77777777" w:rsidR="003C4798" w:rsidRDefault="00417595">
      <w:pPr>
        <w:pStyle w:val="P68B1DB1-Text12"/>
        <w:ind w:left="0"/>
        <w:rPr>
          <w:rFonts w:eastAsia="Times New Roman"/>
          <w:noProof/>
          <w:color w:val="000000"/>
        </w:rPr>
      </w:pPr>
      <w:r>
        <w:rPr>
          <w:noProof/>
        </w:rPr>
        <w:t>Cette mesure consiste à: i) l’entrée en vigueur d’une nouvelle législation sur les services publics de l’emploi, sur l’emploi des ressortissants de pays tiers et sur la conclusion électronique de certains contrats de travail; ii) la publication du plan de développement des services publics de l’emploi 2025-2027; iii) une consultation des partenaires sociaux sur le potentiel des conventions collectives et une étude sur le rôle potentiel d’un contrat de travail unique; iv) suivie de l’adoption d’une ou de plusieurs lois tenant compte des priorités de réforme recensées.</w:t>
      </w:r>
    </w:p>
    <w:p w14:paraId="1216B2A9" w14:textId="77777777" w:rsidR="003C4798" w:rsidRDefault="003C4798">
      <w:pPr>
        <w:pStyle w:val="Text1"/>
        <w:ind w:left="0"/>
        <w:rPr>
          <w:rFonts w:eastAsia="Times New Roman"/>
          <w:noProof/>
          <w:color w:val="000000"/>
        </w:rPr>
      </w:pPr>
    </w:p>
    <w:p w14:paraId="1216B2AA" w14:textId="5C7E98A5" w:rsidR="003C4798" w:rsidRDefault="00417595">
      <w:pPr>
        <w:pStyle w:val="P68B1DB1-Text14"/>
        <w:ind w:left="0"/>
        <w:rPr>
          <w:rFonts w:eastAsia="Times New Roman"/>
          <w:bCs/>
          <w:noProof/>
          <w:color w:val="000000"/>
        </w:rPr>
      </w:pPr>
      <w:r>
        <w:rPr>
          <w:noProof/>
        </w:rPr>
        <w:t>A4.1.1 Investissements à l'appui de la réforme des institutions du marché du travail</w:t>
      </w:r>
    </w:p>
    <w:p w14:paraId="1216B2AB" w14:textId="7FB2D4EB" w:rsidR="003C4798" w:rsidRDefault="00417595">
      <w:pPr>
        <w:pStyle w:val="P68B1DB1-Text12"/>
        <w:ind w:left="0"/>
        <w:rPr>
          <w:noProof/>
        </w:rPr>
      </w:pPr>
      <w:r>
        <w:rPr>
          <w:noProof/>
        </w:rPr>
        <w:t>L’objectif de cet investissement est d’accroître la capacité des services publics de l’emploi à soutenir le fonctionnement du marché du travail.</w:t>
      </w:r>
    </w:p>
    <w:p w14:paraId="1216B2AC" w14:textId="0A9F398E" w:rsidR="003C4798" w:rsidRDefault="00417595">
      <w:pPr>
        <w:pStyle w:val="P68B1DB1-Text12"/>
        <w:ind w:left="0"/>
        <w:rPr>
          <w:rFonts w:eastAsia="Times New Roman"/>
          <w:noProof/>
          <w:color w:val="000000"/>
        </w:rPr>
      </w:pPr>
      <w:r>
        <w:rPr>
          <w:noProof/>
        </w:rPr>
        <w:t>Cette mesure consiste en i) la numérisation des services publics de l’emploi et ii) la formation à l’application de nouvelles procédures.</w:t>
      </w:r>
    </w:p>
    <w:p w14:paraId="1216B2AD" w14:textId="77777777" w:rsidR="003C4798" w:rsidRDefault="003C4798">
      <w:pPr>
        <w:pStyle w:val="Text1"/>
        <w:ind w:left="0"/>
        <w:rPr>
          <w:rFonts w:eastAsia="Times New Roman"/>
          <w:noProof/>
          <w:color w:val="000000"/>
        </w:rPr>
      </w:pPr>
    </w:p>
    <w:p w14:paraId="1216B2AE" w14:textId="77777777" w:rsidR="003C4798" w:rsidRDefault="00417595">
      <w:pPr>
        <w:pStyle w:val="P68B1DB1-Text14"/>
        <w:ind w:left="0"/>
        <w:rPr>
          <w:rFonts w:eastAsia="Times New Roman"/>
          <w:bCs/>
          <w:noProof/>
          <w:color w:val="000000"/>
        </w:rPr>
      </w:pPr>
      <w:r>
        <w:rPr>
          <w:noProof/>
        </w:rPr>
        <w:t>A4.2 Réforme visant à améliorer la situation des parents sur le marché du travail en améliorant l'accès à des structures d'accueil de qualité pour les enfants jusqu'à l'âge de trois ans</w:t>
      </w:r>
    </w:p>
    <w:p w14:paraId="1216B2AF" w14:textId="77777777" w:rsidR="003C4798" w:rsidRDefault="00417595">
      <w:pPr>
        <w:pStyle w:val="P68B1DB1-Text12"/>
        <w:ind w:left="0"/>
        <w:rPr>
          <w:rFonts w:eastAsia="Times New Roman"/>
          <w:noProof/>
          <w:color w:val="000000"/>
        </w:rPr>
      </w:pPr>
      <w:r>
        <w:rPr>
          <w:noProof/>
        </w:rPr>
        <w:t>L’objectif général de la réforme est de faciliter l’accès des enfants jusqu’à l’âge de trois ans aux structures de garde d’enfants et de garantir un niveau élevé d’éducation et des normes de qualité pour les services de garde d’enfants. À cette fin, l’objectif de la réforme est i) de rationaliser la gestion des fonds nationaux et externes pour la création et le fonctionnement des structures d’accueil des enfants; ii) mettre en œuvre un financement national à long terme des services de garde d’enfants pour les enfants jusqu’à l’âge de trois ans; ainsi que iii) mettre en œuvre un ensemble de normes minimales contraignantes en matière d’éducation et de qualité pour les structures d’accueil des enfants.</w:t>
      </w:r>
    </w:p>
    <w:p w14:paraId="1216B2B0" w14:textId="196FAB92" w:rsidR="003C4798" w:rsidRDefault="00417595">
      <w:pPr>
        <w:pStyle w:val="Text1"/>
        <w:ind w:left="0"/>
        <w:rPr>
          <w:rFonts w:eastAsia="Times New Roman"/>
          <w:noProof/>
          <w:color w:val="000000"/>
        </w:rPr>
      </w:pPr>
      <w:r>
        <w:rPr>
          <w:noProof/>
          <w:color w:val="000000" w:themeColor="text1"/>
        </w:rPr>
        <w:t>La réforme consiste en l’adoption d’une modification de la loi sur la prise en charge des enfants jusqu’à l’âge de trois ans et en la mise en place d’un programme pluriannuel spécifique pour la création et le fonctionnement des structures d’accueil des enfants. L'amendement vise notamment à regrouper la gestion de trois sources de financement distinctes pour la création et le fonctionnement des structures d'accueil des enfants: le financement national, le Fonds social européen+ et la facilité pour la reprise et la résilience. La réforme garantira également un financement national à long terme des services de garde d'enfants jusqu'à l'âge de trois ans. Enfin, la réforme consistera à réaliser une analyse indépendante des normes existantes en matière de soins et d’éducation pour les enfants de moins de trois ans, à élaborer des normes pertinentes en matière de soins et de qualité de l’éducation pour les services de garde d’enfants qui tiennent compte de l’analyse et à mettre en œuvre les modifications juridiques pertinentes pour rendre les normes minimales contraignantes pour les prestataires de services de garde d’enfants afin de soutenir la qualité élevée de l’éducation et de l’accueil dès le plus jeune âge.</w:t>
      </w:r>
    </w:p>
    <w:p w14:paraId="1216B2B1" w14:textId="77777777" w:rsidR="003C4798" w:rsidRDefault="00417595">
      <w:pPr>
        <w:pStyle w:val="P68B1DB1-Text12"/>
        <w:ind w:left="0"/>
        <w:rPr>
          <w:rFonts w:eastAsia="Times New Roman"/>
          <w:noProof/>
          <w:color w:val="000000"/>
        </w:rPr>
      </w:pPr>
      <w:r>
        <w:rPr>
          <w:noProof/>
        </w:rPr>
        <w:t>La mise en œuvre de la réforme est achevée au plus tard le 30 juin 2024.</w:t>
      </w:r>
    </w:p>
    <w:p w14:paraId="4724257A"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B3" w14:textId="77777777" w:rsidR="003C4798" w:rsidRDefault="00417595">
      <w:pPr>
        <w:pStyle w:val="P68B1DB1-Text14"/>
        <w:ind w:left="0"/>
        <w:rPr>
          <w:rFonts w:eastAsia="Times New Roman"/>
          <w:bCs/>
          <w:noProof/>
          <w:color w:val="000000"/>
        </w:rPr>
      </w:pPr>
      <w:r>
        <w:rPr>
          <w:noProof/>
        </w:rPr>
        <w:t>A4.2.1 Soutien aux structures de garde d’enfants pour les enfants de moins de trois ans relevant de la catégorie «Enfants en bas âge actifs» (ancien Maluch+)</w:t>
      </w:r>
    </w:p>
    <w:p w14:paraId="1216B2B4" w14:textId="77777777" w:rsidR="003C4798" w:rsidRDefault="00417595">
      <w:pPr>
        <w:pStyle w:val="P68B1DB1-Text12"/>
        <w:ind w:left="0"/>
        <w:rPr>
          <w:rFonts w:eastAsia="Times New Roman"/>
          <w:noProof/>
        </w:rPr>
      </w:pPr>
      <w:r>
        <w:rPr>
          <w:noProof/>
        </w:rPr>
        <w:t>L'objectif de cet investissement est d'accroître la disponibilité de structures d'accueil pour les enfants jusqu'à l'âge de trois ans.</w:t>
      </w:r>
    </w:p>
    <w:p w14:paraId="1216B2B5" w14:textId="77777777" w:rsidR="003C4798" w:rsidRDefault="00417595">
      <w:pPr>
        <w:pStyle w:val="P68B1DB1-Text12"/>
        <w:ind w:left="0"/>
        <w:rPr>
          <w:noProof/>
        </w:rPr>
      </w:pPr>
      <w:r>
        <w:rPr>
          <w:noProof/>
        </w:rPr>
        <w:t>Cette mesure consiste en i) la création d’un système informatique pour gérer le financement et la création de structures d’accueil des enfants et ii) la construction, la rénovation ou l’adaptation de structures d’accueil pour les enfants de moins de trois ans.</w:t>
      </w:r>
    </w:p>
    <w:p w14:paraId="1216B2B6" w14:textId="77777777" w:rsidR="003C4798" w:rsidRDefault="003C4798">
      <w:pPr>
        <w:pStyle w:val="Text1"/>
        <w:ind w:left="0"/>
        <w:rPr>
          <w:noProof/>
          <w:color w:val="000000" w:themeColor="text1"/>
        </w:rPr>
      </w:pPr>
    </w:p>
    <w:p w14:paraId="1216B2B7" w14:textId="77777777" w:rsidR="003C4798" w:rsidRDefault="00417595">
      <w:pPr>
        <w:pStyle w:val="P68B1DB1-Text14"/>
        <w:ind w:left="0"/>
        <w:rPr>
          <w:bCs/>
          <w:noProof/>
        </w:rPr>
      </w:pPr>
      <w:r>
        <w:rPr>
          <w:noProof/>
        </w:rPr>
        <w:t>A4.3 Mise en œuvre du cadre juridique pour le développement de l'économie sociale</w:t>
      </w:r>
    </w:p>
    <w:p w14:paraId="1216B2B8" w14:textId="77777777" w:rsidR="003C4798" w:rsidRDefault="00417595">
      <w:pPr>
        <w:pStyle w:val="P68B1DB1-Text12"/>
        <w:ind w:left="0"/>
        <w:rPr>
          <w:rFonts w:eastAsia="Times New Roman"/>
          <w:noProof/>
          <w:color w:val="000000"/>
        </w:rPr>
      </w:pPr>
      <w:r>
        <w:rPr>
          <w:noProof/>
        </w:rPr>
        <w:t>L’objectif général de la réforme est d’augmenter le taux d’activité professionnelle des personnes exposées au risque d’exclusion sociale et de soutenir la désinstitutionnalisation des services sociaux. À cette fin, l’objectif de la réforme est de définir dans la législation un cadre pour le fonctionnement des acteurs de l’économie sociale.</w:t>
      </w:r>
    </w:p>
    <w:p w14:paraId="1216B2B9" w14:textId="77777777" w:rsidR="003C4798" w:rsidRDefault="00417595">
      <w:pPr>
        <w:pStyle w:val="P68B1DB1-Text12"/>
        <w:ind w:left="0"/>
        <w:rPr>
          <w:rFonts w:eastAsia="Times New Roman"/>
          <w:noProof/>
          <w:color w:val="000000"/>
        </w:rPr>
      </w:pPr>
      <w:r>
        <w:rPr>
          <w:noProof/>
        </w:rPr>
        <w:t>La réforme consiste en l'adoption d'une loi sur l'économie sociale. La loi définit les règles de base relatives à ce secteur, notamment les principes de fonctionnement et de soutien d’une entreprise sociale, les nouveaux modes de coopération entre les entités de l’économie sociale et le gouvernement local dans la mise en œuvre des services sociaux, ainsi que les principes de coordination des politiques dans le domaine du développement de l’économie sociale.</w:t>
      </w:r>
    </w:p>
    <w:p w14:paraId="1216B2BA" w14:textId="77777777" w:rsidR="003C4798" w:rsidRDefault="00417595">
      <w:pPr>
        <w:pStyle w:val="P68B1DB1-Text12"/>
        <w:ind w:left="0"/>
        <w:rPr>
          <w:rFonts w:eastAsia="Times New Roman"/>
          <w:noProof/>
        </w:rPr>
      </w:pPr>
      <w:r>
        <w:rPr>
          <w:noProof/>
        </w:rPr>
        <w:t>La mise en œuvre de la réforme est achevée au plus tard le 30 juin 2022.</w:t>
      </w:r>
    </w:p>
    <w:p w14:paraId="1216B2BB" w14:textId="77777777" w:rsidR="003C4798" w:rsidRDefault="003C4798">
      <w:pPr>
        <w:pStyle w:val="Text1"/>
        <w:ind w:left="0"/>
        <w:rPr>
          <w:rFonts w:eastAsia="Times New Roman"/>
          <w:noProof/>
          <w:color w:val="000000" w:themeColor="text1"/>
        </w:rPr>
      </w:pPr>
    </w:p>
    <w:p w14:paraId="1216B2BC" w14:textId="616B3721" w:rsidR="003C4798" w:rsidRDefault="00417595">
      <w:pPr>
        <w:pStyle w:val="P68B1DB1-Text14"/>
        <w:ind w:left="0"/>
        <w:rPr>
          <w:rFonts w:eastAsia="Times New Roman"/>
          <w:bCs/>
          <w:noProof/>
          <w:color w:val="000000"/>
        </w:rPr>
      </w:pPr>
      <w:r>
        <w:rPr>
          <w:noProof/>
        </w:rPr>
        <w:t>A4.3.1 Investissements dans les entités de l’économie sociale</w:t>
      </w:r>
    </w:p>
    <w:p w14:paraId="1216B2BD" w14:textId="6C15AF3E" w:rsidR="003C4798" w:rsidRDefault="00417595">
      <w:pPr>
        <w:pStyle w:val="P68B1DB1-Text12"/>
        <w:ind w:left="0"/>
        <w:rPr>
          <w:noProof/>
        </w:rPr>
      </w:pPr>
      <w:r>
        <w:rPr>
          <w:noProof/>
        </w:rPr>
        <w:t>L’objectif de cet investissement est de maximiser l’impact des entités de l’économie sociale en termes de réintégration sociale et professionnelle des personnes exposées au risque d’exclusion sociale et de soutenir la désinstitutionnalisation des services sociaux.</w:t>
      </w:r>
    </w:p>
    <w:p w14:paraId="1216B2BE" w14:textId="082440D2" w:rsidR="003C4798" w:rsidRDefault="00417595">
      <w:pPr>
        <w:pStyle w:val="P68B1DB1-Text12"/>
        <w:ind w:left="0"/>
        <w:rPr>
          <w:rFonts w:eastAsia="Times New Roman"/>
          <w:noProof/>
          <w:color w:val="000000"/>
        </w:rPr>
      </w:pPr>
      <w:r>
        <w:rPr>
          <w:noProof/>
        </w:rPr>
        <w:t>Cette mesure consiste en des décisions octroyant le statut d’entreprise sociale et la signature de conventions de subvention pour soutenir les entités de l’économie sociale qui s’engagent à maintenir l’emploi pendant au moins 12 mois à compter de la date de la convention.</w:t>
      </w:r>
    </w:p>
    <w:p w14:paraId="1216B2BF" w14:textId="77777777" w:rsidR="003C4798" w:rsidRDefault="003C4798">
      <w:pPr>
        <w:pStyle w:val="Text1"/>
        <w:ind w:left="0"/>
        <w:rPr>
          <w:noProof/>
          <w:color w:val="000000" w:themeColor="text1"/>
        </w:rPr>
      </w:pPr>
    </w:p>
    <w:p w14:paraId="1216B2C0" w14:textId="77777777" w:rsidR="003C4798" w:rsidRDefault="00417595">
      <w:pPr>
        <w:pStyle w:val="P68B1DB1-Text14"/>
        <w:ind w:left="0"/>
        <w:rPr>
          <w:rFonts w:eastAsia="Times New Roman"/>
          <w:bCs/>
          <w:noProof/>
          <w:color w:val="000000"/>
        </w:rPr>
      </w:pPr>
      <w:r>
        <w:rPr>
          <w:noProof/>
        </w:rPr>
        <w:t>A4.4 Assouplir les formes d'emploi et introduire le travail à distance</w:t>
      </w:r>
    </w:p>
    <w:p w14:paraId="1216B2C1" w14:textId="77777777" w:rsidR="003C4798" w:rsidRDefault="00417595">
      <w:pPr>
        <w:pStyle w:val="P68B1DB1-Text12"/>
        <w:ind w:left="0"/>
        <w:rPr>
          <w:rFonts w:eastAsia="Times New Roman"/>
          <w:noProof/>
          <w:color w:val="000000"/>
        </w:rPr>
      </w:pPr>
      <w:r>
        <w:rPr>
          <w:noProof/>
        </w:rPr>
        <w:t>L’objectif général de la réforme est de faciliter la conciliation des responsabilités familiales et professionnelles et d’aider les personnes appartenant à des groupes dont le taux de participation au marché du travail est plus faible à trouver un emploi régulier. À cette fin, le travail à distance et les formes flexibles d’aménagement du temps de travail sont inscrits dans le code du travail.</w:t>
      </w:r>
    </w:p>
    <w:p w14:paraId="0C505D5C" w14:textId="77777777" w:rsidR="003C4798" w:rsidRDefault="00417595">
      <w:pPr>
        <w:pStyle w:val="P68B1DB1-Normal9"/>
        <w:rPr>
          <w:rFonts w:ascii="Times New Roman" w:hAnsi="Times New Roman" w:cs="Times New Roman"/>
          <w:noProof/>
          <w:sz w:val="24"/>
          <w:szCs w:val="24"/>
        </w:rPr>
      </w:pPr>
      <w:r>
        <w:rPr>
          <w:noProof/>
        </w:rPr>
        <w:br w:type="page"/>
      </w:r>
    </w:p>
    <w:p w14:paraId="1216B2C2" w14:textId="6551C06F" w:rsidR="003C4798" w:rsidRDefault="00417595">
      <w:pPr>
        <w:pStyle w:val="P68B1DB1-Text12"/>
        <w:ind w:left="0"/>
        <w:rPr>
          <w:rFonts w:eastAsia="Times New Roman"/>
          <w:noProof/>
          <w:color w:val="000000"/>
        </w:rPr>
      </w:pPr>
      <w:r>
        <w:rPr>
          <w:noProof/>
        </w:rPr>
        <w:t>La réforme consiste en l'adoption d'un amendement au Code du travail. L'amendement autorise le travail à distance à tout moment, et pas seulement dans des circonstances extraordinaires, et met en œuvre des formes flexibles d'aménagement du temps de travail. La modification définit également plusieurs modalités opérationnelles du travail à distance et flexible, notamment: (i) la possibilité de travailler à distance en dehors du lieu d’affectation, sur la base d’arrangements entre le travailleur et l’employeur, (ii) une définition des règles relatives aux outils de travail à fournir par l’employeur, et (iii) la création d’un cadre pour les principes de santé et de sécurité applicables au travail à distance.</w:t>
      </w:r>
    </w:p>
    <w:p w14:paraId="1216B2C3" w14:textId="77777777" w:rsidR="003C4798" w:rsidRDefault="00417595">
      <w:pPr>
        <w:pStyle w:val="P68B1DB1-Text12"/>
        <w:ind w:left="0"/>
        <w:rPr>
          <w:rFonts w:eastAsia="Times New Roman"/>
          <w:noProof/>
        </w:rPr>
      </w:pPr>
      <w:r>
        <w:rPr>
          <w:noProof/>
        </w:rPr>
        <w:t>La mise en œuvre de la réforme est achevée au plus tard le 30 septembre 2022.</w:t>
      </w:r>
    </w:p>
    <w:p w14:paraId="1216B2C4" w14:textId="77777777" w:rsidR="003C4798" w:rsidRDefault="003C4798">
      <w:pPr>
        <w:pStyle w:val="Text1"/>
        <w:ind w:left="0"/>
        <w:rPr>
          <w:noProof/>
          <w:color w:val="000000" w:themeColor="text1"/>
        </w:rPr>
      </w:pPr>
    </w:p>
    <w:p w14:paraId="1216B2C5" w14:textId="77777777" w:rsidR="003C4798" w:rsidRDefault="00417595">
      <w:pPr>
        <w:pStyle w:val="P68B1DB1-Text14"/>
        <w:ind w:left="0"/>
        <w:rPr>
          <w:rFonts w:eastAsia="Times New Roman"/>
          <w:bCs/>
          <w:noProof/>
          <w:color w:val="000000"/>
        </w:rPr>
      </w:pPr>
      <w:r>
        <w:rPr>
          <w:noProof/>
        </w:rPr>
        <w:t>A4.5 Prolonger les carrières et promouvoir le travail au-delà de l'âge légal de la retraite</w:t>
      </w:r>
    </w:p>
    <w:p w14:paraId="1216B2C6" w14:textId="16F0C800" w:rsidR="003C4798" w:rsidRDefault="00417595">
      <w:pPr>
        <w:pStyle w:val="P68B1DB1-Text12"/>
        <w:ind w:left="0"/>
        <w:rPr>
          <w:rFonts w:eastAsia="Times New Roman"/>
          <w:noProof/>
          <w:color w:val="000000"/>
        </w:rPr>
      </w:pPr>
      <w:r>
        <w:rPr>
          <w:noProof/>
        </w:rPr>
        <w:t>L’objectif général de la réforme est d’accroître la capacité et la motivation des travailleurs à rester sur le marché du travail au-delà de l’âge de la retraite. À cette fin, une incitation fiscale est mise en œuvre pour les personnes qui ont atteint l’âge légal de la retraite mais préfèrent ne pas prendre leur retraite et continuer à travailler. Deux ans après la mise en œuvre de l'incitation fiscale, un rapport destiné à évaluer son effet sur l'âge effectif de départ à la retraite est publié.</w:t>
      </w:r>
    </w:p>
    <w:p w14:paraId="1216B2C7" w14:textId="77777777" w:rsidR="003C4798" w:rsidRDefault="00417595">
      <w:pPr>
        <w:pStyle w:val="Text1"/>
        <w:ind w:left="0"/>
        <w:rPr>
          <w:rFonts w:eastAsia="Times New Roman"/>
          <w:noProof/>
          <w:color w:val="000000"/>
        </w:rPr>
      </w:pPr>
      <w:r>
        <w:rPr>
          <w:noProof/>
          <w:color w:val="000000" w:themeColor="text1"/>
        </w:rPr>
        <w:t>La réforme consiste en l'adoption d'une modification de la loi relative à l'impôt sur le revenu des personnes physiques et en une évaluation de cette mesure. La modification réduit à partir de 2023 l’impôt sur le revenu des personnes physiques pour celles qui ont atteint l’âge légal de la retraite mais ne souhaitent pas prendre leur retraite et continuer à travailler. Les travailleurs relevant de la première tranche d’imposition sur le revenu (85</w:t>
      </w:r>
      <w:r>
        <w:rPr>
          <w:rFonts w:eastAsia="Times New Roman"/>
          <w:noProof/>
        </w:rPr>
        <w:t>  </w:t>
      </w:r>
      <w:r>
        <w:rPr>
          <w:noProof/>
          <w:color w:val="000000" w:themeColor="text1"/>
        </w:rPr>
        <w:t>528 PLN en 2021) et ne gagnant pas plus que le salaire brut moyen dans l’économie nationale polonaise sont exonérés de l’impôt sur le revenu. Le taux de l'impôt sur le revenu des personnes physiques est réduit pour les autres travailleurs ayant des revenus plus élevés qui ont atteint l'âge légal de la retraite mais ne prennent pas leur retraite et continuent à travailler. Grâce à cette incitation fiscale, les contribuables gagnent des montants supplémentaires correspondant au montant de l’impôt sur le revenu impayé qui vise à les inciter à prolonger leur carrière. Deux ans après l'introduction de la mesure susmentionnée, un rapport est établi pour évaluer l'effet des modifications apportées à l'impôt sur le revenu des personnes physiques sur l'âge effectif de départ à la retraite. Elle analyse l’incidence sur la participation au marché du travail, sur la viabilité du système de retraite, sur les finances publiques et sur l’égalité entre les hommes et les femmes.</w:t>
      </w:r>
    </w:p>
    <w:p w14:paraId="1216B2C8" w14:textId="77777777" w:rsidR="003C4798" w:rsidRDefault="00417595">
      <w:pPr>
        <w:pStyle w:val="P68B1DB1-Text12"/>
        <w:ind w:left="0"/>
        <w:rPr>
          <w:rFonts w:eastAsia="Times New Roman"/>
          <w:noProof/>
          <w:color w:val="000000"/>
        </w:rPr>
      </w:pPr>
      <w:r>
        <w:rPr>
          <w:noProof/>
        </w:rPr>
        <w:t>La mise en œuvre de la réforme est achevée au plus tard le 31 décembre 2024.</w:t>
      </w:r>
    </w:p>
    <w:p w14:paraId="1216B2C9"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2CA" w14:textId="77777777" w:rsidR="003C4798" w:rsidRDefault="00417595">
      <w:pPr>
        <w:pStyle w:val="P68B1DB1-Text14"/>
        <w:ind w:left="0"/>
        <w:rPr>
          <w:rFonts w:eastAsia="Times New Roman"/>
          <w:bCs/>
          <w:noProof/>
          <w:color w:val="000000"/>
        </w:rPr>
      </w:pPr>
      <w:r>
        <w:rPr>
          <w:noProof/>
        </w:rPr>
        <w:t>A4.6 Accroître la participation de certains groupes au marché du travail en développant les soins de longue durée</w:t>
      </w:r>
    </w:p>
    <w:p w14:paraId="1216B2CB" w14:textId="6DB8ED9E" w:rsidR="003C4798" w:rsidRDefault="00417595">
      <w:pPr>
        <w:pStyle w:val="Text1"/>
        <w:ind w:left="0"/>
        <w:rPr>
          <w:rFonts w:eastAsia="Times New Roman"/>
          <w:noProof/>
          <w:color w:val="000000"/>
        </w:rPr>
      </w:pPr>
      <w:r>
        <w:rPr>
          <w:noProof/>
          <w:color w:val="000000" w:themeColor="text1"/>
        </w:rPr>
        <w:t>L'objectif de la réforme est d'accroître la participation au marché du travail de certains groupes, en particulier les femmes, en améliorant l'accès et l'efficacité du système de soins de longue durée en Pologne. La mesure consiste à: i) la publication d’un examen stratégique du système de soins de longue durée en Pologne; ii) l'entrée en vigueur de lois ou la modification de lois couvrant: 1) définition des soins de longue durée, 2) définition du soignant informel et des soins informels,</w:t>
      </w:r>
      <w:r>
        <w:rPr>
          <w:noProof/>
        </w:rPr>
        <w:t xml:space="preserve"> 3) </w:t>
      </w:r>
      <w:r>
        <w:rPr>
          <w:noProof/>
          <w:color w:val="000000" w:themeColor="text1"/>
        </w:rPr>
        <w:t>adoption des dispositions juridiques relatives aux normes organisationnelles applicables aux soins de longue durée dans le système de soins de santé et adoption de nouvelles dispositions juridiques relatives aux normes applicables aux services de soins fournis sur le lieu de résidence, 4)</w:t>
      </w:r>
      <w:r>
        <w:rPr>
          <w:rFonts w:cs="Calibri"/>
          <w:noProof/>
          <w:color w:val="000000" w:themeColor="text1"/>
          <w:sz w:val="18"/>
          <w:szCs w:val="18"/>
        </w:rPr>
        <w:t xml:space="preserve"> </w:t>
      </w:r>
      <w:r>
        <w:rPr>
          <w:noProof/>
          <w:color w:val="000000" w:themeColor="text1"/>
        </w:rPr>
        <w:t>désignation des organismes chargés de la coordination du système de soins de longue durée, du suivi, de l'évaluation et des activités d'information; iii) la publication des services et avantages des soins de longue durée fournis dans le cadre de la politique de santé et d'aide sociale dans le bulletin public; iv) la publication de l’examen des dépenses publiques; ainsi que v) la publication d’un document proposant une définition harmonisée de la qualité des soins de longue durée dans les systèmes sociaux et de soins de santé et un système de suivi et de collecte de données et son utilisation pour l’évaluation de la qualité des soins de longue durée.</w:t>
      </w:r>
    </w:p>
    <w:p w14:paraId="1216B2CC" w14:textId="021A4FA4" w:rsidR="003C4798" w:rsidRDefault="00417595">
      <w:pPr>
        <w:pStyle w:val="P68B1DB1-Normal10"/>
        <w:rPr>
          <w:noProof/>
          <w:color w:val="000000"/>
        </w:rPr>
      </w:pPr>
      <w:r>
        <w:rPr>
          <w:noProof/>
        </w:rPr>
        <w:br w:type="page"/>
      </w:r>
    </w:p>
    <w:p w14:paraId="1216B2CD" w14:textId="77777777" w:rsidR="003C4798" w:rsidRDefault="00417595">
      <w:pPr>
        <w:pStyle w:val="P68B1DB1-Text14"/>
        <w:ind w:left="0"/>
        <w:rPr>
          <w:rFonts w:eastAsia="Times New Roman"/>
          <w:bCs/>
          <w:noProof/>
          <w:color w:val="000000"/>
        </w:rPr>
      </w:pPr>
      <w:r>
        <w:rPr>
          <w:noProof/>
        </w:rPr>
        <w:t>A4.7 Limiter la segmentation du marché du travail</w:t>
      </w:r>
    </w:p>
    <w:p w14:paraId="1216B2CE" w14:textId="77777777" w:rsidR="003C4798" w:rsidRDefault="00417595">
      <w:pPr>
        <w:pStyle w:val="P68B1DB1-Text12"/>
        <w:ind w:left="0"/>
        <w:rPr>
          <w:noProof/>
        </w:rPr>
      </w:pPr>
      <w:r>
        <w:rPr>
          <w:noProof/>
        </w:rPr>
        <w:t xml:space="preserve">L'objectif de la réforme est de limiter la segmentation du marché du travail et de renforcer l'inspection nationale du travail dans son rôle de contrôle du respect des dispositions du droit du travail. </w:t>
      </w:r>
    </w:p>
    <w:p w14:paraId="1216B2CF" w14:textId="77777777" w:rsidR="003C4798" w:rsidRDefault="00417595">
      <w:pPr>
        <w:pStyle w:val="P68B1DB1-Text12"/>
        <w:ind w:left="0"/>
        <w:rPr>
          <w:noProof/>
        </w:rPr>
      </w:pPr>
      <w:r>
        <w:rPr>
          <w:noProof/>
        </w:rPr>
        <w:t>Cette mesure consiste en l’entrée en vigueur d’un acte législatif qui habilite l’inspection du travail de l’État à prendre des décisions administratives convertissant les contrats de droit civil en contrat de travail et à adopter un ensemble d’actions visant à accroître la capacité de l’inspection du travail de l’État.</w:t>
      </w:r>
    </w:p>
    <w:p w14:paraId="1216B2D0" w14:textId="77777777" w:rsidR="003C4798" w:rsidRDefault="003C4798">
      <w:pPr>
        <w:pStyle w:val="Text1"/>
        <w:ind w:left="0"/>
        <w:rPr>
          <w:noProof/>
          <w:color w:val="000000" w:themeColor="text1"/>
        </w:rPr>
      </w:pPr>
    </w:p>
    <w:p w14:paraId="1216B2D1" w14:textId="77777777" w:rsidR="003C4798" w:rsidRDefault="00417595">
      <w:pPr>
        <w:pStyle w:val="P68B1DB1-Text16"/>
        <w:ind w:left="0"/>
        <w:rPr>
          <w:bCs/>
          <w:noProof/>
        </w:rPr>
      </w:pPr>
      <w:r>
        <w:rPr>
          <w:noProof/>
        </w:rPr>
        <w:t>Sous-composante A5 – Instruments financiers pour le secteur privé</w:t>
      </w:r>
    </w:p>
    <w:p w14:paraId="1216B2D2" w14:textId="77777777" w:rsidR="003C4798" w:rsidRDefault="003C4798">
      <w:pPr>
        <w:pStyle w:val="Text1"/>
        <w:ind w:left="0"/>
        <w:rPr>
          <w:b/>
          <w:bCs/>
          <w:noProof/>
          <w:color w:val="000000" w:themeColor="text1"/>
        </w:rPr>
      </w:pPr>
    </w:p>
    <w:p w14:paraId="1216B2D3" w14:textId="77777777" w:rsidR="003C4798" w:rsidRDefault="00417595">
      <w:pPr>
        <w:pStyle w:val="P68B1DB1-Normal011"/>
        <w:pBdr>
          <w:top w:val="nil"/>
          <w:left w:val="nil"/>
          <w:bottom w:val="nil"/>
          <w:right w:val="nil"/>
          <w:between w:val="nil"/>
        </w:pBdr>
        <w:spacing w:before="120" w:after="120" w:line="240" w:lineRule="auto"/>
        <w:jc w:val="both"/>
        <w:rPr>
          <w:bCs/>
          <w:noProof/>
        </w:rPr>
      </w:pPr>
      <w:r>
        <w:rPr>
          <w:noProof/>
        </w:rPr>
        <w:t>A5.1 Contribution au compartiment «États membres» au titre du programme InvestEU</w:t>
      </w:r>
    </w:p>
    <w:p w14:paraId="1216B2D4" w14:textId="77777777" w:rsidR="003C4798" w:rsidRDefault="00417595">
      <w:pPr>
        <w:pStyle w:val="P68B1DB1-Normal10"/>
        <w:pBdr>
          <w:top w:val="nil"/>
          <w:left w:val="nil"/>
          <w:bottom w:val="nil"/>
          <w:right w:val="nil"/>
          <w:between w:val="nil"/>
        </w:pBdr>
        <w:spacing w:before="120" w:after="120" w:line="240" w:lineRule="auto"/>
        <w:jc w:val="both"/>
        <w:rPr>
          <w:noProof/>
        </w:rPr>
      </w:pPr>
      <w:r>
        <w:rPr>
          <w:noProof/>
        </w:rPr>
        <w:t>Cette mesure consiste en un investissement public dans le compartiment «États membres» d’InvestEU afin d’encourager l’investissement privé et d’améliorer l’accès au financement pour les PME polonaises. La contribution au compartiment «États membres» d’InvestEU est utilisée pour les garanties. Ce produit financier fonctionne en fournissant des garanties au secteur privé par l'intermédiaire d'intermédiaires financiers.</w:t>
      </w:r>
    </w:p>
    <w:p w14:paraId="1216B2D5" w14:textId="0D7285C1" w:rsidR="003C4798" w:rsidRDefault="00417595">
      <w:pPr>
        <w:pStyle w:val="P68B1DB1-Normal10"/>
        <w:pBdr>
          <w:top w:val="nil"/>
          <w:left w:val="nil"/>
          <w:bottom w:val="nil"/>
          <w:right w:val="nil"/>
          <w:between w:val="nil"/>
        </w:pBdr>
        <w:spacing w:before="120" w:after="120" w:line="240" w:lineRule="auto"/>
        <w:jc w:val="both"/>
        <w:rPr>
          <w:noProof/>
        </w:rPr>
      </w:pPr>
      <w:r>
        <w:rPr>
          <w:noProof/>
        </w:rPr>
        <w:t>Un accord de garantie entre la Commission et le partenaire chargé de la mise en œuvre, sélectionné conformément aux dispositions pertinentes du règlement (UE) 2021/523 du Parlement européen et du Conseil du 24 mars 2021 établissant le programme InvestEU et modifiant le règlement (UE) 2015/1017, entre en vigueur.</w:t>
      </w:r>
    </w:p>
    <w:p w14:paraId="1216B2D6" w14:textId="77777777" w:rsidR="003C4798" w:rsidRDefault="00417595">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La Pologne signe avec la Commission européenne une convention de contribution qui comprend: </w:t>
      </w:r>
      <w:r>
        <w:rPr>
          <w:noProof/>
        </w:rPr>
        <w:br/>
      </w:r>
    </w:p>
    <w:p w14:paraId="1216B2D7" w14:textId="77777777" w:rsidR="003C4798" w:rsidRDefault="00417595">
      <w:pPr>
        <w:pStyle w:val="P68B1DB1-ListParagraph12"/>
        <w:numPr>
          <w:ilvl w:val="0"/>
          <w:numId w:val="3"/>
        </w:numPr>
        <w:spacing w:line="240" w:lineRule="auto"/>
        <w:jc w:val="both"/>
        <w:rPr>
          <w:noProof/>
        </w:rPr>
      </w:pPr>
      <w:r>
        <w:rPr>
          <w:noProof/>
        </w:rPr>
        <w:t>Le partenaire de mise en œuvre proposé.</w:t>
      </w:r>
    </w:p>
    <w:p w14:paraId="1216B2D8" w14:textId="77777777" w:rsidR="003C4798" w:rsidRDefault="00417595">
      <w:pPr>
        <w:pStyle w:val="ListParagraph"/>
        <w:numPr>
          <w:ilvl w:val="0"/>
          <w:numId w:val="3"/>
        </w:numPr>
        <w:spacing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L’exigence de conformité avec les orientations techniques révisées relatives au principe consistant à «ne pas causer de préjudice important» [(2023)</w:t>
      </w:r>
      <w:r>
        <w:rPr>
          <w:rFonts w:ascii="Times New Roman" w:hAnsi="Times New Roman" w:cs="Times New Roman"/>
          <w:noProof/>
          <w:sz w:val="24"/>
          <w:szCs w:val="24"/>
        </w:rPr>
        <w:t xml:space="preserve"> 6454 final].</w:t>
      </w:r>
      <w:r>
        <w:rPr>
          <w:rFonts w:ascii="Times New Roman" w:eastAsia="Times New Roman" w:hAnsi="Times New Roman" w:cs="Times New Roman"/>
          <w:noProof/>
          <w:color w:val="000000" w:themeColor="text1"/>
          <w:sz w:val="24"/>
          <w:szCs w:val="24"/>
        </w:rPr>
        <w:t xml:space="preserve"> Si nécessaire, l'accord de garantie exclut de l'éligibilité la liste suivante d'activités et d'actifs: i) les activités et les actifs liés aux combustibles fossiles, y compris leur utilisation en aval;</w:t>
      </w:r>
      <w:r>
        <w:rPr>
          <w:rStyle w:val="FootnoteReference"/>
          <w:rFonts w:ascii="Times New Roman" w:eastAsia="Times New Roman" w:hAnsi="Times New Roman" w:cs="Times New Roman"/>
          <w:noProof/>
          <w:color w:val="000000" w:themeColor="text1"/>
          <w:sz w:val="24"/>
          <w:szCs w:val="24"/>
        </w:rPr>
        <w:footnoteReference w:id="2"/>
      </w:r>
      <w:r>
        <w:rPr>
          <w:rFonts w:ascii="Times New Roman" w:eastAsia="Times New Roman" w:hAnsi="Times New Roman" w:cs="Times New Roman"/>
          <w:noProof/>
          <w:color w:val="000000" w:themeColor="text1"/>
          <w:sz w:val="24"/>
          <w:szCs w:val="24"/>
        </w:rPr>
        <w:t xml:space="preserve">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eastAsia="Times New Roman" w:hAnsi="Times New Roman" w:cs="Times New Roman"/>
          <w:noProof/>
          <w:color w:val="000000" w:themeColor="text1"/>
          <w:sz w:val="24"/>
          <w:szCs w:val="24"/>
        </w:rPr>
        <w:footnoteReference w:id="3"/>
      </w:r>
      <w:r>
        <w:rPr>
          <w:rFonts w:ascii="Times New Roman" w:eastAsia="Times New Roman" w:hAnsi="Times New Roman" w:cs="Times New Roman"/>
          <w:noProof/>
          <w:color w:val="000000" w:themeColor="text1"/>
          <w:sz w:val="24"/>
          <w:szCs w:val="24"/>
        </w:rPr>
        <w:t xml:space="preserve"> iii) les activités et les actifs liés aux décharges de déchets, aux incinérateurs</w:t>
      </w:r>
      <w:r>
        <w:rPr>
          <w:rStyle w:val="FootnoteReference"/>
          <w:rFonts w:ascii="Times New Roman" w:eastAsia="Times New Roman" w:hAnsi="Times New Roman" w:cs="Times New Roman"/>
          <w:noProof/>
          <w:color w:val="000000" w:themeColor="text1"/>
          <w:sz w:val="24"/>
          <w:szCs w:val="24"/>
        </w:rPr>
        <w:footnoteReference w:id="4"/>
      </w:r>
      <w:r>
        <w:rPr>
          <w:rFonts w:ascii="Times New Roman" w:eastAsia="Times New Roman" w:hAnsi="Times New Roman" w:cs="Times New Roman"/>
          <w:noProof/>
          <w:color w:val="000000" w:themeColor="text1"/>
          <w:sz w:val="24"/>
          <w:szCs w:val="24"/>
        </w:rPr>
        <w:t xml:space="preserve"> et aux usines de traitement biologique mécanique</w:t>
      </w:r>
      <w:r>
        <w:rPr>
          <w:rStyle w:val="FootnoteReference"/>
          <w:rFonts w:ascii="Times New Roman" w:eastAsia="Times New Roman" w:hAnsi="Times New Roman" w:cs="Times New Roman"/>
          <w:noProof/>
          <w:color w:val="000000" w:themeColor="text1"/>
          <w:sz w:val="24"/>
          <w:szCs w:val="24"/>
        </w:rPr>
        <w:footnoteReference w:id="5"/>
      </w:r>
      <w:r>
        <w:rPr>
          <w:rFonts w:ascii="Times New Roman" w:eastAsia="Times New Roman" w:hAnsi="Times New Roman" w:cs="Times New Roman"/>
          <w:noProof/>
          <w:color w:val="000000" w:themeColor="text1"/>
          <w:sz w:val="24"/>
          <w:szCs w:val="24"/>
        </w:rPr>
        <w:t>.</w:t>
      </w:r>
    </w:p>
    <w:p w14:paraId="1216B2D9" w14:textId="77777777" w:rsidR="003C4798" w:rsidRDefault="00417595">
      <w:pPr>
        <w:pStyle w:val="P68B1DB1-ListParagraph12"/>
        <w:numPr>
          <w:ilvl w:val="0"/>
          <w:numId w:val="3"/>
        </w:numPr>
        <w:spacing w:line="240" w:lineRule="auto"/>
        <w:jc w:val="both"/>
        <w:rPr>
          <w:noProof/>
        </w:rPr>
      </w:pPr>
      <w:r>
        <w:rPr>
          <w:noProof/>
        </w:rPr>
        <w:t xml:space="preserve">Description du système de suivi à utiliser pour rendre compte des fonds mobilisés. </w:t>
      </w:r>
    </w:p>
    <w:p w14:paraId="1216B2DA" w14:textId="77777777" w:rsidR="003C4798" w:rsidRDefault="003C4798">
      <w:pPr>
        <w:pStyle w:val="Normal00"/>
        <w:rPr>
          <w:rFonts w:ascii="Times New Roman" w:eastAsia="Times New Roman" w:hAnsi="Times New Roman" w:cs="Times New Roman"/>
          <w:noProof/>
          <w:color w:val="000000" w:themeColor="text1"/>
          <w:sz w:val="24"/>
          <w:szCs w:val="24"/>
        </w:rPr>
      </w:pPr>
    </w:p>
    <w:p w14:paraId="1216B2DB" w14:textId="77777777" w:rsidR="003C4798" w:rsidRDefault="00417595">
      <w:pPr>
        <w:pStyle w:val="P68B1DB1-Normal13"/>
        <w:spacing w:after="160" w:line="257" w:lineRule="auto"/>
        <w:rPr>
          <w:bCs/>
          <w:noProof/>
        </w:rPr>
      </w:pPr>
      <w:r>
        <w:rPr>
          <w:noProof/>
        </w:rPr>
        <w:t xml:space="preserve">Sous-composante A6 – Contribution aux programmes satellites de l’UE </w:t>
      </w:r>
    </w:p>
    <w:p w14:paraId="1216B2DC" w14:textId="77777777" w:rsidR="003C4798" w:rsidRDefault="00417595">
      <w:pPr>
        <w:pStyle w:val="P68B1DB1-Normal14"/>
        <w:spacing w:after="160" w:line="257" w:lineRule="auto"/>
        <w:rPr>
          <w:bCs/>
          <w:noProof/>
        </w:rPr>
      </w:pPr>
      <w:r>
        <w:rPr>
          <w:noProof/>
          <w:sz w:val="24"/>
          <w:szCs w:val="24"/>
        </w:rPr>
        <w:t>A6.1 : Contribution volontaire au programme de l’UE pour une connectivité sécurisée (IRIS</w:t>
      </w:r>
      <w:r>
        <w:rPr>
          <w:noProof/>
          <w:vertAlign w:val="superscript"/>
        </w:rPr>
        <w:t xml:space="preserve"> 2)</w:t>
      </w:r>
    </w:p>
    <w:p w14:paraId="1216B2DD" w14:textId="77777777" w:rsidR="003C4798" w:rsidRDefault="00417595">
      <w:pPr>
        <w:pStyle w:val="P68B1DB1-Normal15"/>
        <w:spacing w:after="160"/>
        <w:jc w:val="both"/>
        <w:rPr>
          <w:noProof/>
        </w:rPr>
      </w:pPr>
      <w:r>
        <w:rPr>
          <w:noProof/>
        </w:rPr>
        <w:t>Cette mesure vise à soutenir les capacités de communication sécurisées de la Pologne.</w:t>
      </w:r>
    </w:p>
    <w:p w14:paraId="1216B2DE" w14:textId="3B795F0D" w:rsidR="003C4798" w:rsidRDefault="00417595">
      <w:pPr>
        <w:spacing w:after="160"/>
        <w:jc w:val="both"/>
        <w:rPr>
          <w:rFonts w:ascii="Times New Roman" w:hAnsi="Times New Roman"/>
          <w:noProof/>
          <w:sz w:val="24"/>
          <w:szCs w:val="24"/>
        </w:rPr>
      </w:pPr>
      <w:r>
        <w:rPr>
          <w:rFonts w:ascii="Times New Roman" w:eastAsia="Times New Roman" w:hAnsi="Times New Roman" w:cs="Times New Roman"/>
          <w:noProof/>
          <w:sz w:val="24"/>
          <w:szCs w:val="24"/>
        </w:rPr>
        <w:t>La mesure consiste en une contribution volontaire de 656 326 691 EUR au programme de l’UE pour une connectivité sécurisée (IRIS</w:t>
      </w:r>
      <w:r>
        <w:rPr>
          <w:rFonts w:ascii="Times New Roman" w:eastAsia="Times New Roman" w:hAnsi="Times New Roman" w:cs="Times New Roman"/>
          <w:noProof/>
          <w:vertAlign w:val="superscript"/>
        </w:rPr>
        <w:t xml:space="preserve"> 2).</w:t>
      </w:r>
      <w:r>
        <w:rPr>
          <w:rFonts w:ascii="Times New Roman" w:hAnsi="Times New Roman"/>
          <w:noProof/>
          <w:sz w:val="24"/>
          <w:szCs w:val="24"/>
        </w:rPr>
        <w:t xml:space="preserve"> La contribution soutiendra l’achat de satellites MEO et LEO supplémentaires, l’infrastructure au sol avec passerelle et point de présence situés en Pologne, la capacité de communication par satellite et/ou le développement d’activités de connectivité auxiliaires.</w:t>
      </w:r>
    </w:p>
    <w:p w14:paraId="1216B2DF" w14:textId="77777777" w:rsidR="003C4798" w:rsidRDefault="003C4798">
      <w:pPr>
        <w:pStyle w:val="Normal00"/>
        <w:rPr>
          <w:rFonts w:ascii="Times New Roman" w:eastAsia="Times New Roman" w:hAnsi="Times New Roman" w:cs="Times New Roman"/>
          <w:noProof/>
          <w:color w:val="000000" w:themeColor="text1"/>
          <w:sz w:val="24"/>
          <w:szCs w:val="24"/>
        </w:rPr>
      </w:pPr>
    </w:p>
    <w:p w14:paraId="1216B2E0" w14:textId="77777777" w:rsidR="003C4798" w:rsidRDefault="003C4798">
      <w:pPr>
        <w:pStyle w:val="Normal00"/>
        <w:rPr>
          <w:rFonts w:ascii="Times New Roman" w:hAnsi="Times New Roman"/>
          <w:b/>
          <w:bCs/>
          <w:noProof/>
          <w:color w:val="000000" w:themeColor="text1"/>
          <w:sz w:val="24"/>
          <w:szCs w:val="24"/>
        </w:rPr>
      </w:pPr>
    </w:p>
    <w:p w14:paraId="1216B2E1" w14:textId="77777777" w:rsidR="003C4798" w:rsidRDefault="003C4798">
      <w:pPr>
        <w:pStyle w:val="Normal00"/>
        <w:rPr>
          <w:rFonts w:ascii="Times New Roman" w:hAnsi="Times New Roman"/>
          <w:b/>
          <w:bCs/>
          <w:noProof/>
          <w:color w:val="000000" w:themeColor="text1"/>
          <w:sz w:val="24"/>
          <w:szCs w:val="24"/>
        </w:rPr>
        <w:sectPr w:rsidR="003C4798" w:rsidSect="00FC0801">
          <w:headerReference w:type="even" r:id="rId18"/>
          <w:headerReference w:type="default" r:id="rId19"/>
          <w:footerReference w:type="even" r:id="rId20"/>
          <w:footerReference w:type="default" r:id="rId21"/>
          <w:headerReference w:type="first" r:id="rId22"/>
          <w:footerReference w:type="first" r:id="rId23"/>
          <w:pgSz w:w="11907" w:h="16839" w:code="9"/>
          <w:pgMar w:top="1134" w:right="1134" w:bottom="1134" w:left="1134" w:header="567" w:footer="567" w:gutter="0"/>
          <w:cols w:space="720"/>
          <w:docGrid w:linePitch="299"/>
        </w:sectPr>
      </w:pPr>
    </w:p>
    <w:p w14:paraId="1216B2E2" w14:textId="77777777" w:rsidR="003C4798" w:rsidRDefault="00417595">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A.2. </w:t>
      </w:r>
      <w:r>
        <w:rPr>
          <w:noProof/>
        </w:rPr>
        <w:t xml:space="preserve"> </w:t>
      </w:r>
      <w:r>
        <w:rPr>
          <w:rFonts w:ascii="Times New Roman" w:hAnsi="Times New Roman"/>
          <w:b/>
          <w:noProof/>
          <w:color w:val="000000"/>
          <w:sz w:val="24"/>
        </w:rPr>
        <w:t>Étapes, cibles, indicateurs et calendrier pour le suivi et la mise en œuvre du soutien financier non remboursable</w:t>
      </w:r>
    </w:p>
    <w:p w14:paraId="1216B2E3" w14:textId="77777777" w:rsidR="003C4798" w:rsidRDefault="00417595">
      <w:pPr>
        <w:pStyle w:val="P68B1DB1-Normal016"/>
        <w:pBdr>
          <w:top w:val="nil"/>
          <w:left w:val="nil"/>
          <w:bottom w:val="nil"/>
          <w:right w:val="nil"/>
          <w:between w:val="nil"/>
        </w:pBdr>
        <w:spacing w:before="120" w:after="120" w:line="240" w:lineRule="auto"/>
        <w:jc w:val="both"/>
        <w:rPr>
          <w:rFonts w:eastAsia="Times New Roman" w:cs="Times New Roman"/>
          <w:noProof/>
          <w:szCs w:val="24"/>
        </w:rPr>
      </w:pPr>
      <w:r>
        <w:rPr>
          <w:noProof/>
        </w:rPr>
        <w:t>A1 – ENVIRONNEMENT DES ENTREPRISES</w:t>
      </w:r>
    </w:p>
    <w:tbl>
      <w:tblPr>
        <w:tblStyle w:val="NormalTable0"/>
        <w:tblW w:w="15309" w:type="dxa"/>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707"/>
        <w:gridCol w:w="2130"/>
        <w:gridCol w:w="1133"/>
        <w:gridCol w:w="1979"/>
        <w:gridCol w:w="1559"/>
        <w:gridCol w:w="1139"/>
        <w:gridCol w:w="992"/>
        <w:gridCol w:w="846"/>
        <w:gridCol w:w="855"/>
        <w:gridCol w:w="645"/>
        <w:gridCol w:w="3324"/>
      </w:tblGrid>
      <w:tr w:rsidR="003C4798" w14:paraId="1216B2EC" w14:textId="77777777">
        <w:trPr>
          <w:trHeight w:val="807"/>
          <w:tblHeader/>
          <w:jc w:val="center"/>
        </w:trPr>
        <w:tc>
          <w:tcPr>
            <w:tcW w:w="70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4"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21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5"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Mesure connexe (réforme ou investissement)</w:t>
            </w:r>
          </w:p>
        </w:tc>
        <w:tc>
          <w:tcPr>
            <w:tcW w:w="113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6"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197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7"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8" w14:textId="678F67DD"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qualitatifs</w:t>
            </w:r>
            <w:r>
              <w:rPr>
                <w:noProof/>
              </w:rPr>
              <w:br/>
            </w:r>
            <w:r>
              <w:rPr>
                <w:rFonts w:ascii="Times New Roman" w:hAnsi="Times New Roman"/>
                <w:b/>
                <w:noProof/>
                <w:color w:val="000000"/>
                <w:sz w:val="18"/>
              </w:rPr>
              <w:t>(pour les jalons)</w:t>
            </w:r>
          </w:p>
        </w:tc>
        <w:tc>
          <w:tcPr>
            <w:tcW w:w="2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9" w14:textId="5A8CF6DE"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quantitatifs</w:t>
            </w:r>
            <w:r>
              <w:rPr>
                <w:noProof/>
              </w:rPr>
              <w:br/>
            </w:r>
            <w:r>
              <w:rPr>
                <w:rFonts w:ascii="Times New Roman" w:hAnsi="Times New Roman"/>
                <w:b/>
                <w:noProof/>
                <w:color w:val="000000"/>
                <w:sz w:val="18"/>
              </w:rPr>
              <w:t>(pour les objectifs)</w:t>
            </w:r>
          </w:p>
        </w:tc>
        <w:tc>
          <w:tcPr>
            <w:tcW w:w="15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A"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Calendrier indicatif d'achèvement</w:t>
            </w:r>
          </w:p>
        </w:tc>
        <w:tc>
          <w:tcPr>
            <w:tcW w:w="332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B"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3C4798" w14:paraId="1216B2F8" w14:textId="77777777">
        <w:trPr>
          <w:trHeight w:val="365"/>
          <w:jc w:val="center"/>
        </w:trPr>
        <w:tc>
          <w:tcPr>
            <w:tcW w:w="707" w:type="dxa"/>
            <w:vMerge/>
            <w:vAlign w:val="center"/>
          </w:tcPr>
          <w:p w14:paraId="1216B2ED"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2130" w:type="dxa"/>
            <w:vMerge/>
            <w:vAlign w:val="center"/>
          </w:tcPr>
          <w:p w14:paraId="1216B2EE"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3" w:type="dxa"/>
            <w:vMerge/>
            <w:vAlign w:val="center"/>
          </w:tcPr>
          <w:p w14:paraId="1216B2EF"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79" w:type="dxa"/>
            <w:vMerge/>
            <w:vAlign w:val="center"/>
          </w:tcPr>
          <w:p w14:paraId="1216B2F0"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59" w:type="dxa"/>
            <w:vMerge/>
            <w:vAlign w:val="center"/>
          </w:tcPr>
          <w:p w14:paraId="1216B2F1"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2"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3"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4"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5"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6"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3324" w:type="dxa"/>
            <w:vMerge/>
            <w:vAlign w:val="center"/>
          </w:tcPr>
          <w:p w14:paraId="1216B2F7"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C4798" w14:paraId="1216B304" w14:textId="77777777">
        <w:trPr>
          <w:trHeight w:val="1365"/>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9"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A1G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A1.1 Réforme du cadre budgétaire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C" w14:textId="77777777" w:rsidR="003C4798" w:rsidRDefault="00417595">
            <w:pPr>
              <w:pStyle w:val="P68B1DB1-Normal019"/>
              <w:spacing w:after="0" w:line="240" w:lineRule="auto"/>
              <w:rPr>
                <w:rFonts w:eastAsia="Times New Roman" w:cs="Times New Roman"/>
                <w:noProof/>
                <w:color w:val="000000" w:themeColor="text1"/>
                <w:szCs w:val="18"/>
              </w:rPr>
            </w:pPr>
            <w:r>
              <w:rPr>
                <w:noProof/>
              </w:rPr>
              <w:t>Élaboration d'une note conceptuelle sur le plan comptable normalisé intégré à la classification budgétaire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D"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Publication sur le site web du ministère des finances</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E"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F"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0"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3"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Publication de la note conceptuelle sur le Biuletyn Informacji Publicznej (site web d’information publique) du ministère des finances. La note succincte de présentation présente la description et la mise en place du nouveau système de classification.</w:t>
            </w:r>
          </w:p>
        </w:tc>
      </w:tr>
      <w:tr w:rsidR="003C4798" w14:paraId="1216B314"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5" w14:textId="77777777" w:rsidR="003C4798" w:rsidRDefault="00417595">
            <w:pPr>
              <w:pStyle w:val="P68B1DB1-Normal018"/>
              <w:spacing w:after="0" w:line="240" w:lineRule="auto"/>
              <w:jc w:val="center"/>
              <w:rPr>
                <w:rFonts w:eastAsia="Times New Roman" w:cs="Times New Roman"/>
                <w:noProof/>
                <w:color w:val="000000" w:themeColor="text1"/>
              </w:rPr>
            </w:pPr>
            <w:r>
              <w:rPr>
                <w:noProof/>
              </w:rPr>
              <w:t>A2G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6"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A1.1 Réforme du cadre budgétaire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7"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8"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Révision du cadre budgétaire à moyen terme et du cadre d'examen des dépenses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9"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Disposition d’un ou de plusieurs actes juridiques indiquant l’entrée en vigueur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A"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B"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C"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D"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F" w14:textId="77777777" w:rsidR="003C4798" w:rsidRDefault="00417595">
            <w:pPr>
              <w:pStyle w:val="P68B1DB1-Normal021"/>
              <w:pBdr>
                <w:top w:val="nil"/>
                <w:left w:val="nil"/>
                <w:bottom w:val="nil"/>
                <w:right w:val="nil"/>
                <w:between w:val="nil"/>
              </w:pBdr>
              <w:spacing w:after="0" w:line="240" w:lineRule="auto"/>
              <w:rPr>
                <w:noProof/>
              </w:rPr>
            </w:pPr>
            <w:r>
              <w:rPr>
                <w:noProof/>
              </w:rPr>
              <w:t>Entrée en vigueur d'un ensemble de mesures législatives introduisant un cadre budgétaire révisé à moyen terme.</w:t>
            </w:r>
          </w:p>
          <w:p w14:paraId="1216B310" w14:textId="77777777" w:rsidR="003C4798" w:rsidRDefault="003C4798">
            <w:pPr>
              <w:pStyle w:val="Normal0"/>
              <w:pBdr>
                <w:top w:val="nil"/>
                <w:left w:val="nil"/>
                <w:bottom w:val="nil"/>
                <w:right w:val="nil"/>
                <w:between w:val="nil"/>
              </w:pBdr>
              <w:spacing w:after="0" w:line="240" w:lineRule="auto"/>
              <w:rPr>
                <w:rFonts w:ascii="Times New Roman" w:hAnsi="Times New Roman" w:cs="Times New Roman"/>
                <w:noProof/>
                <w:sz w:val="18"/>
                <w:szCs w:val="18"/>
              </w:rPr>
            </w:pPr>
          </w:p>
          <w:p w14:paraId="1216B311" w14:textId="7D81F6BB" w:rsidR="003C4798" w:rsidRDefault="00417595">
            <w:pPr>
              <w:pStyle w:val="P68B1DB1-Normal22"/>
              <w:tabs>
                <w:tab w:val="left" w:pos="9923"/>
              </w:tabs>
              <w:spacing w:after="120" w:line="240" w:lineRule="auto"/>
              <w:rPr>
                <w:noProof/>
              </w:rPr>
            </w:pPr>
            <w:r>
              <w:rPr>
                <w:noProof/>
              </w:rPr>
              <w:t>Entrée en vigueur du ou des actes juridiques révisant le cadre de réexamen des dépenses en introduisant l’obligation:</w:t>
            </w:r>
          </w:p>
          <w:p w14:paraId="1216B312" w14:textId="77777777" w:rsidR="003C4798" w:rsidRDefault="00417595">
            <w:pPr>
              <w:pStyle w:val="P68B1DB1-Normal22"/>
              <w:tabs>
                <w:tab w:val="left" w:pos="9923"/>
              </w:tabs>
              <w:spacing w:after="120" w:line="240" w:lineRule="auto"/>
              <w:rPr>
                <w:noProof/>
              </w:rPr>
            </w:pPr>
            <w:r>
              <w:rPr>
                <w:noProof/>
              </w:rPr>
              <w:t>- aux responsables budgétaires de refléter les conclusions des rapports d'examen des dépenses dans les documents du projet de loi budgétaire de l'année prochaine;</w:t>
            </w:r>
          </w:p>
          <w:p w14:paraId="1216B313" w14:textId="77777777" w:rsidR="003C4798" w:rsidRDefault="00417595">
            <w:pPr>
              <w:pStyle w:val="P68B1DB1-Normal22"/>
              <w:tabs>
                <w:tab w:val="left" w:pos="9923"/>
              </w:tabs>
              <w:spacing w:after="120" w:line="240" w:lineRule="auto"/>
              <w:rPr>
                <w:rFonts w:eastAsia="Times New Roman"/>
                <w:noProof/>
                <w:color w:val="000000"/>
              </w:rPr>
            </w:pPr>
            <w:r>
              <w:rPr>
                <w:noProof/>
              </w:rPr>
              <w:t>- le ministre des Finances à présenter au Conseil des ministres des rapports annuels sur les mesures prises en réponse aux conclusions des rapports d'examen des dépenses.</w:t>
            </w:r>
          </w:p>
        </w:tc>
      </w:tr>
      <w:tr w:rsidR="003C4798" w14:paraId="1216B325"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5" w14:textId="5276F633" w:rsidR="003C4798" w:rsidRDefault="00417595">
            <w:pPr>
              <w:pStyle w:val="P68B1DB1-Normal018"/>
              <w:spacing w:after="0" w:line="240" w:lineRule="auto"/>
              <w:jc w:val="center"/>
              <w:rPr>
                <w:noProof/>
              </w:rPr>
            </w:pPr>
            <w:r>
              <w:rPr>
                <w:noProof/>
              </w:rPr>
              <w:t>A2aG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6" w14:textId="77777777" w:rsidR="003C4798" w:rsidRDefault="00417595">
            <w:pPr>
              <w:pStyle w:val="P68B1DB1-Normal020"/>
              <w:pBdr>
                <w:top w:val="nil"/>
                <w:left w:val="nil"/>
                <w:bottom w:val="nil"/>
                <w:right w:val="nil"/>
                <w:between w:val="nil"/>
              </w:pBdr>
              <w:spacing w:after="0" w:line="240" w:lineRule="auto"/>
              <w:rPr>
                <w:noProof/>
                <w:color w:val="000000"/>
              </w:rPr>
            </w:pPr>
            <w:r>
              <w:rPr>
                <w:noProof/>
              </w:rPr>
              <w:t>A1.1 Réforme du cadre budgétaire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7" w14:textId="77777777"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8" w14:textId="725955E4" w:rsidR="003C4798" w:rsidRDefault="00417595">
            <w:pPr>
              <w:pStyle w:val="P68B1DB1-Normal021"/>
              <w:pBdr>
                <w:top w:val="nil"/>
                <w:left w:val="nil"/>
                <w:bottom w:val="nil"/>
                <w:right w:val="nil"/>
                <w:between w:val="nil"/>
              </w:pBdr>
              <w:spacing w:after="0" w:line="240" w:lineRule="auto"/>
              <w:rPr>
                <w:noProof/>
                <w:color w:val="000000" w:themeColor="text1"/>
              </w:rPr>
            </w:pPr>
            <w:r>
              <w:rPr>
                <w:noProof/>
              </w:rPr>
              <w:t>Modifications de l'agrégation des dépenses budgétaires et des critères d'évaluation des investissements publics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9" w14:textId="77777777" w:rsidR="003C4798" w:rsidRDefault="00417595">
            <w:pPr>
              <w:pStyle w:val="P68B1DB1-Normal020"/>
              <w:pBdr>
                <w:top w:val="nil"/>
                <w:left w:val="nil"/>
                <w:bottom w:val="nil"/>
                <w:right w:val="nil"/>
                <w:between w:val="nil"/>
              </w:pBdr>
              <w:spacing w:after="0" w:line="240" w:lineRule="auto"/>
              <w:rPr>
                <w:noProof/>
              </w:rPr>
            </w:pPr>
            <w:r>
              <w:rPr>
                <w:noProof/>
              </w:rPr>
              <w:t>Dispositions d’un ou de plusieurs actes juridiques indiquant l’entrée en vigueur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A"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B"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C"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D" w14:textId="77777777"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T1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E" w14:textId="77777777"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F" w14:textId="6F32AB8A" w:rsidR="003C4798" w:rsidRDefault="00417595">
            <w:pPr>
              <w:pStyle w:val="P68B1DB1-Normal22"/>
              <w:tabs>
                <w:tab w:val="left" w:pos="9923"/>
              </w:tabs>
              <w:spacing w:after="120" w:line="240" w:lineRule="auto"/>
              <w:rPr>
                <w:noProof/>
              </w:rPr>
            </w:pPr>
            <w:r>
              <w:rPr>
                <w:noProof/>
              </w:rPr>
              <w:t xml:space="preserve">Entrée en vigueur du ou des actes juridiques introduisant: </w:t>
            </w:r>
          </w:p>
          <w:p w14:paraId="1216B320" w14:textId="1A7E0679" w:rsidR="003C4798" w:rsidRDefault="00417595">
            <w:pPr>
              <w:pStyle w:val="P68B1DB1-Normal22"/>
              <w:tabs>
                <w:tab w:val="left" w:pos="9923"/>
              </w:tabs>
              <w:spacing w:after="120" w:line="240" w:lineRule="auto"/>
              <w:rPr>
                <w:noProof/>
              </w:rPr>
            </w:pPr>
            <w:r>
              <w:rPr>
                <w:noProof/>
              </w:rPr>
              <w:t>- un nouvel arrangement de groupes regroupant les dépenses du budget de l’État qui s’appliquera à partir du processus de planification du budget de l’État pour l’exercice budgétaire 2027;</w:t>
            </w:r>
          </w:p>
          <w:p w14:paraId="1216B322" w14:textId="7DE357EB" w:rsidR="003C4798" w:rsidRDefault="00417595">
            <w:pPr>
              <w:pStyle w:val="P68B1DB1-Normal22"/>
              <w:tabs>
                <w:tab w:val="left" w:pos="9923"/>
              </w:tabs>
              <w:spacing w:after="120" w:line="240" w:lineRule="auto"/>
              <w:rPr>
                <w:noProof/>
              </w:rPr>
            </w:pPr>
            <w:r>
              <w:rPr>
                <w:noProof/>
              </w:rPr>
              <w:t>- nouveaux (i) critères généraux pour l'évaluation des projets d'investissement public, y compris l'obligation d'évaluer leurs coûts d'entretien prévus, et (ii) dispositions précisant les unités du secteur public et la valeur des projets d'investissement auxquels ces critères s'appliquent de manière obligatoire;</w:t>
            </w:r>
          </w:p>
          <w:p w14:paraId="1216B323" w14:textId="15B0D978" w:rsidR="003C4798" w:rsidRDefault="00417595">
            <w:pPr>
              <w:pStyle w:val="P68B1DB1-Normal22"/>
              <w:tabs>
                <w:tab w:val="left" w:pos="9923"/>
              </w:tabs>
              <w:spacing w:after="120" w:line="240" w:lineRule="auto"/>
              <w:rPr>
                <w:noProof/>
              </w:rPr>
            </w:pPr>
            <w:r>
              <w:rPr>
                <w:noProof/>
              </w:rPr>
              <w:t>l'obligation pour les ministres sectoriels de publier des descriptions des critères généraux d'évaluation des projets d'investissement public dans leurs secteurs respectifs;</w:t>
            </w:r>
          </w:p>
          <w:p w14:paraId="1216B324" w14:textId="36B0AF1D" w:rsidR="003C4798" w:rsidRDefault="00417595">
            <w:pPr>
              <w:pStyle w:val="P68B1DB1-Normal021"/>
              <w:pBdr>
                <w:top w:val="nil"/>
                <w:left w:val="nil"/>
                <w:bottom w:val="nil"/>
                <w:right w:val="nil"/>
                <w:between w:val="nil"/>
              </w:pBdr>
              <w:spacing w:after="0" w:line="240" w:lineRule="auto"/>
              <w:rPr>
                <w:noProof/>
                <w:color w:val="000000" w:themeColor="text1"/>
              </w:rPr>
            </w:pPr>
            <w:r>
              <w:rPr>
                <w:noProof/>
              </w:rPr>
              <w:t>- l'obligation de publier sur le site web du ministère des finances un modèle d'information à publier sur les nouveaux projets d'investissement dont le coût total dépasse 100 millions de PLN.</w:t>
            </w:r>
          </w:p>
        </w:tc>
      </w:tr>
      <w:tr w:rsidR="003C4798" w14:paraId="1216B331"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6"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7"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A1.1 Réforme du cadre budgétaire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8"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9"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modification de la loi sur les finances publiques étendant le champ d’application de la règle de stabilisation des dépenses (SER) aux fonds d’affectation spéciale de l’État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modification de la loi sur les finances publiques indiquant son entrée en vigueur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B"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C"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D"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F"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2021</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0" w14:textId="77777777"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sz w:val="18"/>
              </w:rPr>
              <w:t>Entrée en vigueur d’une modification de la loi sur les finances publiques visant à étendre le champ d’application de la règle de stabilisation des dépenses (SER).</w:t>
            </w:r>
            <w:r>
              <w:rPr>
                <w:noProof/>
              </w:rPr>
              <w:t xml:space="preserve"> </w:t>
            </w:r>
            <w:r>
              <w:rPr>
                <w:noProof/>
              </w:rPr>
              <w:br/>
            </w:r>
            <w:r>
              <w:rPr>
                <w:rFonts w:ascii="Times New Roman" w:hAnsi="Times New Roman"/>
                <w:noProof/>
                <w:color w:val="000000"/>
                <w:sz w:val="18"/>
              </w:rPr>
              <w:t>Les effets supposés des modifications incluent la couverture d’un plus grand nombre d’unités des administrations publiques (fonds d’affectation spéciale de l’État) dans le champ d’application du REC, ce qui permettra d’accroître la transparence et l’efficacité de la gestion des finances publiques. Le ministère des finances est responsable de la préparation de la modification.</w:t>
            </w:r>
          </w:p>
        </w:tc>
      </w:tr>
      <w:tr w:rsidR="003C4798" w14:paraId="1216B33D"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2"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A4G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3"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A1.1 Réforme du cadre budgétaire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4"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5"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Examen du fonctionnement de la règle de stabilisation des dépenses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6"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Publication sur le site web du ministère des finances</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8"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9"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C" w14:textId="0CFE59B7"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Publication d’un réexamen du fonctionnement de la règle de stabilisation des dépenses (REP). L'examen est publié sur le site web du ministère des finances.</w:t>
            </w:r>
            <w:r>
              <w:rPr>
                <w:noProof/>
              </w:rPr>
              <w:br/>
            </w:r>
            <w:r>
              <w:rPr>
                <w:rFonts w:ascii="Times New Roman" w:hAnsi="Times New Roman"/>
                <w:noProof/>
                <w:color w:val="000000" w:themeColor="text1"/>
                <w:sz w:val="18"/>
                <w:szCs w:val="18"/>
              </w:rPr>
              <w:t>Le réexamen porte sur les années 2019 à 2023. L'examen comprend des recommandations concernant la formule SER et son champ d'application.</w:t>
            </w:r>
          </w:p>
        </w:tc>
      </w:tr>
      <w:tr w:rsidR="003C4798" w14:paraId="1216B34E"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E"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F"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A1.2 Réduire davantage la charge réglementaire et administrative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1"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 paquet législatif visant à réduire la charge administrative pesant sur les entreprises et les citoyens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2"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Dispositions du paquet législatif indiquant son entrée en vigueur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3"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4"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5"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7"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8"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Entrée en vigueur d'un paquet législatif visant à éliminer les obstacles juridiques affectant le climat d'investissement, notamment:</w:t>
            </w:r>
          </w:p>
          <w:p w14:paraId="1216B349"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1) Simplifier les procédures administratives et silencieuses dans au moins 12 procédures, en particulier en ce qui concerne les professions des gens de mer et le commerce et le commerce des boissons alcoolisées;</w:t>
            </w:r>
          </w:p>
          <w:p w14:paraId="1216B34A"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2) la réduction de l'utilisation de la procédure à deux instances dans au moins 10 procédures, liées en particulier aux ressources géologiques;</w:t>
            </w:r>
          </w:p>
          <w:p w14:paraId="1216B34B"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3) Numériser la manière de traiter les demandes dans au moins huit procédures administratives, liées par exemple à la soumission de déclarations par les opérateurs touristiques et les entrepreneurs au Fonds de garantie des assurances et à la soumission de demandes de prestations sociales par les étudiants ainsi qu'à la procédure géodésique; </w:t>
            </w:r>
          </w:p>
          <w:p w14:paraId="1216B34C"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4) l'introduction d'autres rationalisations des procédures administratives (telles que la limitation du nombre de documents ou moins de formalités à accomplir) liées notamment à l'introduction d'un certain nombre d'améliorations dans le processus d'aménagement du territoire, dans le processus de construction et dans le processus de remembrement;</w:t>
            </w:r>
          </w:p>
          <w:p w14:paraId="1216B34D" w14:textId="4006C2D2"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5) Prolonger le délai pour l'accomplissement des obligations des entrepreneurs et des personnes physiques envers l'administration dans certains cas de procédures administratives, par exemple en prolongeant de 30 à 60 jours le délai d'immatriculation d'une voiture achetée dans d'autres États membres ou en prolongeant le délai d'utilisation du bon touristique du 31 mars 2022 au 30 septembre 2022. </w:t>
            </w:r>
          </w:p>
        </w:tc>
      </w:tr>
      <w:tr w:rsidR="003C4798" w14:paraId="1216B35B"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F"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A7G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0" w14:textId="4E0415BE" w:rsidR="003C4798" w:rsidRDefault="00417595">
            <w:pPr>
              <w:pStyle w:val="P68B1DB1-Normal020"/>
              <w:pBdr>
                <w:top w:val="nil"/>
                <w:left w:val="nil"/>
                <w:bottom w:val="nil"/>
                <w:right w:val="nil"/>
                <w:between w:val="nil"/>
              </w:pBdr>
              <w:spacing w:after="0" w:line="240" w:lineRule="auto"/>
              <w:rPr>
                <w:noProof/>
                <w:color w:val="000000"/>
              </w:rPr>
            </w:pPr>
            <w:r>
              <w:rPr>
                <w:noProof/>
              </w:rPr>
              <w:t>A1.2.1 Projets visant à diversifier ou à développer les activités commerciales</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1"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2"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Entreprises des secteurs HoReCa, de la culture ou du tourisme ayant signé des contrats pour des projets de diversification de leurs activités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3"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4"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5"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6" w14:textId="77777777"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2</w:t>
            </w:r>
            <w:r>
              <w:rPr>
                <w:rFonts w:eastAsia="Times New Roman"/>
                <w:noProof/>
                <w:color w:val="006100"/>
                <w:szCs w:val="24"/>
              </w:rPr>
              <w:t xml:space="preserve"> </w:t>
            </w:r>
            <w:r>
              <w:rPr>
                <w:rFonts w:ascii="Times New Roman" w:hAnsi="Times New Roman"/>
                <w:noProof/>
                <w:color w:val="000000" w:themeColor="text1"/>
                <w:sz w:val="18"/>
                <w:szCs w:val="18"/>
              </w:rPr>
              <w:t>510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7"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8"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2024</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9" w14:textId="77777777"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Fonts w:ascii="Times New Roman" w:hAnsi="Times New Roman"/>
                <w:noProof/>
                <w:color w:val="000000" w:themeColor="text1"/>
                <w:sz w:val="18"/>
                <w:szCs w:val="18"/>
              </w:rPr>
              <w:t>Au moins 2</w:t>
            </w:r>
            <w:r>
              <w:rPr>
                <w:rFonts w:eastAsia="Times New Roman"/>
                <w:noProof/>
                <w:color w:val="006100"/>
                <w:szCs w:val="24"/>
              </w:rPr>
              <w:t> </w:t>
            </w:r>
            <w:r>
              <w:rPr>
                <w:rFonts w:ascii="Times New Roman" w:hAnsi="Times New Roman"/>
                <w:noProof/>
                <w:color w:val="000000" w:themeColor="text1"/>
                <w:sz w:val="18"/>
                <w:szCs w:val="18"/>
              </w:rPr>
              <w:t>510 entreprises des secteurs HoReCa, de la culture ou du tourisme ont signé des contrats pour des projets de diversification ou d'expansion de leurs activités commerciales. Les critères d'éligibilité des appels à propositions exigent que les projets couvrent au moins l'un des trois types d'activités suivants:</w:t>
            </w:r>
            <w:r>
              <w:rPr>
                <w:noProof/>
              </w:rPr>
              <w:t xml:space="preserve"> </w:t>
            </w:r>
            <w:r>
              <w:rPr>
                <w:noProof/>
              </w:rPr>
              <w:br/>
            </w:r>
            <w:r>
              <w:rPr>
                <w:rFonts w:ascii="Times New Roman" w:hAnsi="Times New Roman"/>
                <w:noProof/>
                <w:color w:val="000000" w:themeColor="text1"/>
                <w:sz w:val="18"/>
                <w:szCs w:val="18"/>
              </w:rPr>
              <w:t xml:space="preserve">1) les investissements dans la conception et la production de leurs biens et services, c’est-à-dire l’achat de machines et d’équipements nécessaires au lancement de nouveaux produits ou services, de travaux de construction ou d’investissements liés à la transition écologique; </w:t>
            </w:r>
            <w:r>
              <w:rPr>
                <w:noProof/>
              </w:rPr>
              <w:br/>
            </w:r>
            <w:r>
              <w:rPr>
                <w:rFonts w:ascii="Times New Roman" w:hAnsi="Times New Roman"/>
                <w:noProof/>
                <w:color w:val="000000" w:themeColor="text1"/>
                <w:sz w:val="18"/>
                <w:szCs w:val="18"/>
              </w:rPr>
              <w:t>2) Services de conseil pour les projets;</w:t>
            </w:r>
            <w:r>
              <w:rPr>
                <w:noProof/>
              </w:rPr>
              <w:t xml:space="preserve"> </w:t>
            </w:r>
            <w:r>
              <w:rPr>
                <w:noProof/>
              </w:rPr>
              <w:br/>
            </w:r>
            <w:r>
              <w:rPr>
                <w:rFonts w:ascii="Times New Roman" w:hAnsi="Times New Roman"/>
                <w:noProof/>
                <w:color w:val="000000" w:themeColor="text1"/>
                <w:sz w:val="18"/>
                <w:szCs w:val="18"/>
              </w:rPr>
              <w:t>3) Perfectionnement/requalification des employés.</w:t>
            </w:r>
          </w:p>
          <w:p w14:paraId="1216B35A" w14:textId="77777777"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Les critères d’éligibilité des appels à projets exigent qu’aucune des activités de type 1 énumérées ci-dessus ne cause de préjudice important pour l’environnement au sens de l’article 17 du règlement (UE) 2020/852 (principe DNSH).</w:t>
            </w:r>
            <w:r>
              <w:rPr>
                <w:i/>
                <w:noProof/>
              </w:rPr>
              <w:t xml:space="preserve"> </w:t>
            </w:r>
          </w:p>
        </w:tc>
      </w:tr>
      <w:tr w:rsidR="003C4798" w14:paraId="1216B367"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C"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A8G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D" w14:textId="3ECEE021" w:rsidR="003C4798" w:rsidRDefault="00417595">
            <w:pPr>
              <w:pStyle w:val="P68B1DB1-Normal020"/>
              <w:pBdr>
                <w:top w:val="nil"/>
                <w:left w:val="nil"/>
                <w:bottom w:val="nil"/>
                <w:right w:val="nil"/>
                <w:between w:val="nil"/>
              </w:pBdr>
              <w:spacing w:after="0" w:line="240" w:lineRule="auto"/>
              <w:rPr>
                <w:noProof/>
                <w:color w:val="000000"/>
              </w:rPr>
            </w:pPr>
            <w:r>
              <w:rPr>
                <w:noProof/>
              </w:rPr>
              <w:t>A1.2.1 Projets visant à diversifier ou à développer les activités commerciales</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E"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F" w14:textId="1DEF6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Entreprises des secteurs HoReCa, de la culture ou du tourisme qui ont reçu un financement pour diversifier ou étendre leurs activités commerciales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0"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1"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2"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3" w14:textId="77777777"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2</w:t>
            </w:r>
            <w:r>
              <w:rPr>
                <w:rFonts w:eastAsia="Times New Roman"/>
                <w:noProof/>
                <w:color w:val="006100"/>
                <w:szCs w:val="24"/>
              </w:rPr>
              <w:t xml:space="preserve"> </w:t>
            </w:r>
            <w:r>
              <w:rPr>
                <w:rFonts w:ascii="Times New Roman" w:hAnsi="Times New Roman"/>
                <w:noProof/>
                <w:color w:val="000000" w:themeColor="text1"/>
                <w:sz w:val="18"/>
                <w:szCs w:val="18"/>
              </w:rPr>
              <w:t>510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4"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5"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6" w14:textId="0E4A6663"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Au moins 2</w:t>
            </w:r>
            <w:r>
              <w:rPr>
                <w:rFonts w:eastAsia="Times New Roman"/>
                <w:noProof/>
                <w:color w:val="006100"/>
              </w:rPr>
              <w:t> </w:t>
            </w:r>
            <w:r>
              <w:rPr>
                <w:rFonts w:ascii="Times New Roman" w:hAnsi="Times New Roman"/>
                <w:noProof/>
                <w:color w:val="000000" w:themeColor="text1"/>
                <w:sz w:val="18"/>
                <w:szCs w:val="18"/>
              </w:rPr>
              <w:t>510 entreprises des secteurs HoReCa, de la culture ou du tourisme ont reçu un financement pour des projets de diversification ou d'expansion de leurs activités commerciales.</w:t>
            </w:r>
          </w:p>
        </w:tc>
      </w:tr>
      <w:tr w:rsidR="003C4798" w14:paraId="1216B374"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8"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A12G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9"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A1.3 Réforme de l'aménagement du territoire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B"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nouvelle loi sur l'aménagement du territoire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C"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loi sur l'aménagement du territoire indiquant son entrée en vigueur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D"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E"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F"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2" w14:textId="77777777" w:rsidR="003C4798" w:rsidRDefault="00417595">
            <w:pPr>
              <w:pStyle w:val="P68B1DB1-Normal024"/>
              <w:pBdr>
                <w:top w:val="nil"/>
                <w:left w:val="nil"/>
                <w:bottom w:val="nil"/>
                <w:right w:val="nil"/>
                <w:between w:val="nil"/>
              </w:pBdr>
              <w:spacing w:after="0" w:line="240" w:lineRule="auto"/>
              <w:rPr>
                <w:rFonts w:ascii="Times New Roman" w:eastAsia="Times New Roman" w:hAnsi="Times New Roman" w:cs="Times New Roman"/>
                <w:noProof/>
                <w:color w:val="000000" w:themeColor="text1"/>
              </w:rPr>
            </w:pPr>
            <w:r>
              <w:rPr>
                <w:rFonts w:ascii="Times New Roman" w:hAnsi="Times New Roman"/>
                <w:noProof/>
                <w:color w:val="000000" w:themeColor="text1"/>
              </w:rPr>
              <w:t>À la suite d'une consultation publique, entrée en vigueur d'un nouvel acte sur l'aménagement du territoire qui:</w:t>
            </w:r>
            <w:r>
              <w:rPr>
                <w:rFonts w:ascii="Times New Roman" w:hAnsi="Times New Roman" w:cs="Times New Roman"/>
                <w:noProof/>
              </w:rPr>
              <w:t xml:space="preserve"> </w:t>
            </w:r>
            <w:r>
              <w:rPr>
                <w:rFonts w:ascii="Times New Roman" w:hAnsi="Times New Roman" w:cs="Times New Roman"/>
                <w:noProof/>
              </w:rPr>
              <w:br/>
              <w:t>1</w:t>
            </w:r>
            <w:r>
              <w:rPr>
                <w:rFonts w:ascii="Times New Roman" w:hAnsi="Times New Roman"/>
                <w:noProof/>
                <w:color w:val="000000" w:themeColor="text1"/>
              </w:rPr>
              <w:t>) introduire l'obligation pour toutes les communes d'élaborer et d'adopter des plans généraux d'aménagement du territoire, à convertir en législation locale, qui fixent les règles générales pour la construction dans la zone municipale;</w:t>
            </w:r>
            <w:r>
              <w:rPr>
                <w:rFonts w:ascii="Times New Roman" w:hAnsi="Times New Roman" w:cs="Times New Roman"/>
                <w:noProof/>
              </w:rPr>
              <w:br/>
              <w:t>2</w:t>
            </w:r>
            <w:r>
              <w:rPr>
                <w:rFonts w:ascii="Times New Roman" w:eastAsia="Times New Roman" w:hAnsi="Times New Roman" w:cs="Times New Roman"/>
                <w:noProof/>
                <w:color w:val="000000" w:themeColor="text1"/>
              </w:rPr>
              <w:t>) introduire une exigence qui oblige les investisseurs à réaliser des projets supplémentaires au profit de la municipalité lors de la construction de nouveaux projets de développement, en vue, entre autres, de réduire le développement de logements sans prestation de services suffisante;</w:t>
            </w:r>
          </w:p>
          <w:p w14:paraId="1216B373" w14:textId="77777777" w:rsidR="003C4798" w:rsidRDefault="00417595">
            <w:pPr>
              <w:pStyle w:val="P68B1DB1-Normal025"/>
              <w:pBdr>
                <w:top w:val="nil"/>
                <w:left w:val="nil"/>
                <w:bottom w:val="nil"/>
                <w:right w:val="nil"/>
                <w:between w:val="nil"/>
              </w:pBdr>
              <w:spacing w:after="0" w:line="240" w:lineRule="auto"/>
              <w:rPr>
                <w:noProof/>
                <w:color w:val="000000"/>
              </w:rPr>
            </w:pPr>
            <w:r>
              <w:rPr>
                <w:noProof/>
              </w:rPr>
              <w:t>3</w:t>
            </w:r>
            <w:r>
              <w:rPr>
                <w:noProof/>
                <w:color w:val="000000" w:themeColor="text1"/>
              </w:rPr>
              <w:t>) définir le processus dans lequel les parties prenantes peuvent participer à l'élaboration des stratégies et des plans généraux dans les municipalités.</w:t>
            </w:r>
          </w:p>
        </w:tc>
      </w:tr>
      <w:tr w:rsidR="003C4798" w14:paraId="1216B381"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5" w14:textId="77777777" w:rsidR="003C4798" w:rsidRDefault="00417595">
            <w:pPr>
              <w:pStyle w:val="P68B1DB1-Normal018"/>
              <w:spacing w:line="240" w:lineRule="auto"/>
              <w:jc w:val="center"/>
              <w:rPr>
                <w:rFonts w:cs="Times New Roman"/>
                <w:noProof/>
              </w:rPr>
            </w:pPr>
            <w:r>
              <w:rPr>
                <w:noProof/>
              </w:rPr>
              <w:t>A13G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6" w14:textId="77777777" w:rsidR="003C4798" w:rsidRDefault="00417595">
            <w:pPr>
              <w:pStyle w:val="P68B1DB1-Normal020"/>
              <w:spacing w:line="240" w:lineRule="auto"/>
              <w:rPr>
                <w:rFonts w:eastAsia="Times New Roman" w:cs="Times New Roman"/>
                <w:noProof/>
              </w:rPr>
            </w:pPr>
            <w:r>
              <w:rPr>
                <w:noProof/>
              </w:rPr>
              <w:t>A1.3.1 Mise en œuvre de la réforme de l'aménagement du territoire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7" w14:textId="77777777" w:rsidR="003C4798" w:rsidRDefault="00417595">
            <w:pPr>
              <w:pStyle w:val="P68B1DB1-Normal019"/>
              <w:spacing w:line="240" w:lineRule="auto"/>
              <w:jc w:val="center"/>
              <w:rPr>
                <w:rFonts w:eastAsia="Times New Roman" w:cs="Times New Roman"/>
                <w:noProof/>
                <w:color w:val="000000" w:themeColor="text1"/>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8" w14:textId="77777777" w:rsidR="003C4798" w:rsidRDefault="00417595">
            <w:pPr>
              <w:pStyle w:val="P68B1DB1-Normal020"/>
              <w:spacing w:line="240" w:lineRule="auto"/>
              <w:rPr>
                <w:rFonts w:eastAsia="Times New Roman" w:cs="Times New Roman"/>
                <w:noProof/>
              </w:rPr>
            </w:pPr>
            <w:r>
              <w:rPr>
                <w:noProof/>
              </w:rPr>
              <w:t>Publication d’un document déterminant le mécanisme d’attribution et le montant indicatif de l’aide à accorder à chaque municipalité de Pologne pour la mise en œuvre de la réforme de l’aménagement du territoire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9" w14:textId="77777777" w:rsidR="003C4798" w:rsidRDefault="00417595">
            <w:pPr>
              <w:pStyle w:val="P68B1DB1-Normal019"/>
              <w:spacing w:line="240" w:lineRule="auto"/>
              <w:rPr>
                <w:rFonts w:eastAsia="Times New Roman" w:cs="Times New Roman"/>
                <w:noProof/>
                <w:color w:val="000000" w:themeColor="text1"/>
                <w:szCs w:val="18"/>
              </w:rPr>
            </w:pPr>
            <w:r>
              <w:rPr>
                <w:noProof/>
              </w:rPr>
              <w:t>Publication sur le site web du ministère du développement économique et de la technologie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A" w14:textId="77777777" w:rsidR="003C4798" w:rsidRDefault="003C4798">
            <w:pPr>
              <w:pStyle w:val="Normal0"/>
              <w:spacing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B" w14:textId="77777777" w:rsidR="003C4798" w:rsidRDefault="003C4798">
            <w:pPr>
              <w:pStyle w:val="Normal0"/>
              <w:spacing w:line="240" w:lineRule="auto"/>
              <w:jc w:val="center"/>
              <w:rPr>
                <w:rFonts w:ascii="Times New Roman" w:eastAsia="Times New Roman" w:hAnsi="Times New Roman" w:cs="Times New Roman"/>
                <w:noProof/>
                <w:color w:val="000000" w:themeColor="text1"/>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C" w14:textId="77777777" w:rsidR="003C4798" w:rsidRDefault="003C4798">
            <w:pPr>
              <w:pStyle w:val="Normal0"/>
              <w:spacing w:line="240" w:lineRule="auto"/>
              <w:jc w:val="center"/>
              <w:rPr>
                <w:rFonts w:ascii="Times New Roman" w:eastAsia="Times New Roman" w:hAnsi="Times New Roman" w:cs="Times New Roman"/>
                <w:noProof/>
                <w:color w:val="000000" w:themeColor="text1"/>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D" w14:textId="77777777" w:rsidR="003C4798" w:rsidRDefault="00417595">
            <w:pPr>
              <w:pStyle w:val="P68B1DB1-Normal019"/>
              <w:spacing w:line="240" w:lineRule="auto"/>
              <w:jc w:val="center"/>
              <w:rPr>
                <w:rFonts w:eastAsia="Times New Roman" w:cs="Times New Roman"/>
                <w:noProof/>
                <w:color w:val="000000" w:themeColor="text1"/>
                <w:szCs w:val="18"/>
              </w:rPr>
            </w:pPr>
            <w:r>
              <w:rPr>
                <w:noProof/>
              </w:rPr>
              <w:t>T3</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E" w14:textId="77777777" w:rsidR="003C4798" w:rsidRDefault="00417595">
            <w:pPr>
              <w:pStyle w:val="P68B1DB1-Normal019"/>
              <w:spacing w:line="240" w:lineRule="auto"/>
              <w:jc w:val="center"/>
              <w:rPr>
                <w:rFonts w:eastAsia="Times New Roman" w:cs="Times New Roman"/>
                <w:noProof/>
                <w:color w:val="000000" w:themeColor="text1"/>
                <w:szCs w:val="18"/>
              </w:rPr>
            </w:pPr>
            <w:r>
              <w:rPr>
                <w:noProof/>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F" w14:textId="77777777" w:rsidR="003C4798" w:rsidRDefault="00417595">
            <w:pPr>
              <w:pStyle w:val="P68B1DB1-Normal019"/>
              <w:spacing w:after="0" w:line="240" w:lineRule="auto"/>
              <w:rPr>
                <w:rFonts w:eastAsia="Times New Roman" w:cs="Times New Roman"/>
                <w:noProof/>
                <w:color w:val="000000" w:themeColor="text1"/>
                <w:szCs w:val="18"/>
              </w:rPr>
            </w:pPr>
            <w:r>
              <w:rPr>
                <w:noProof/>
              </w:rPr>
              <w:t>À la suite d’une consultation publique, publication d’un document déterminant le mécanisme d’attribution et le montant indicatif de l’aide que chaque municipalité doit recevoir pour la mise en œuvre de la réforme de l’aménagement du territoire prévue au jalon A12G. En particulier, le document indique le montant de l'aide à fournir à chaque municipalité et explique pour quel type d'activités l'aide doit être utilisée.</w:t>
            </w:r>
          </w:p>
          <w:p w14:paraId="1216B380" w14:textId="77777777" w:rsidR="003C4798" w:rsidRDefault="00417595">
            <w:pPr>
              <w:pStyle w:val="P68B1DB1-Normal020"/>
              <w:spacing w:after="0" w:line="240" w:lineRule="auto"/>
              <w:rPr>
                <w:rFonts w:eastAsia="Times New Roman" w:cs="Times New Roman"/>
                <w:noProof/>
              </w:rPr>
            </w:pPr>
            <w:r>
              <w:rPr>
                <w:noProof/>
              </w:rPr>
              <w:t>Toutes les municipalités polonaises reçoivent un soutien pour la mise en œuvre de cette mesure. Le montant de l’aide à allouer à chaque municipalité doit tenir compte de la population et de la superficie de la municipalité (les municipalités plus peuplées/plus étendues recevront un soutien plus important).</w:t>
            </w:r>
          </w:p>
        </w:tc>
      </w:tr>
      <w:tr w:rsidR="003C4798" w14:paraId="1216B38D"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2"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A14G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3"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A1.3.1 Mise en œuvre de la réforme de l'aménagement du territoire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4"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5"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Personnel des autorités locales et des planificateurs de l'espace ayant suivi un cours sur la nouvelle loi sur l'aménagement du territoire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6"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7"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8"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9"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850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C"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Au moins 850 membres du personnel des autorités locales et des planificateurs de l'espace ont terminé un cours et/ou des études de troisième cycle sur la nouvelle loi d'aménagement du territoire définie dans le jalon A12G.</w:t>
            </w:r>
          </w:p>
        </w:tc>
      </w:tr>
      <w:tr w:rsidR="003C4798" w14:paraId="1216B399"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E"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b/>
                <w:bCs/>
                <w:noProof/>
                <w:color w:val="000000"/>
                <w:szCs w:val="18"/>
              </w:rPr>
            </w:pPr>
            <w:r>
              <w:rPr>
                <w:noProof/>
              </w:rPr>
              <w:t>A15G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F"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A1.3.1 Mise en œuvre de la réforme de l'aménagement du territoire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1"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Cours sur la nouvelle loi d'aménagement du territoire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2"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3"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4"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850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5"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1 700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7"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8"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Au moins 1 700 certificats délivrés pour des cours sur la nouvelle loi d'aménagement du territoire.</w:t>
            </w:r>
          </w:p>
        </w:tc>
      </w:tr>
      <w:tr w:rsidR="003C4798" w14:paraId="1216B3A5"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A" w14:textId="77777777" w:rsidR="003C4798" w:rsidRDefault="00417595">
            <w:pPr>
              <w:pStyle w:val="P68B1DB1-Normal018"/>
              <w:pBdr>
                <w:top w:val="nil"/>
                <w:left w:val="nil"/>
                <w:bottom w:val="nil"/>
                <w:right w:val="nil"/>
                <w:between w:val="nil"/>
              </w:pBdr>
              <w:spacing w:after="0" w:line="240" w:lineRule="auto"/>
              <w:jc w:val="center"/>
              <w:rPr>
                <w:rFonts w:cs="Times New Roman"/>
                <w:noProof/>
              </w:rPr>
            </w:pPr>
            <w:r>
              <w:rPr>
                <w:noProof/>
              </w:rPr>
              <w:t>A16G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B"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A1.3.1 Mise en œuvre de la réforme de l'aménagement du territoire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C"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D"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Part des municipalités qui ont commencé à élaborer des plans généraux d’aménagement du territoire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E"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F"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 (pourcentage)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1" w14:textId="77777777" w:rsidR="003C4798" w:rsidRDefault="00417595">
            <w:pPr>
              <w:pStyle w:val="P68B1DB1-Normal020"/>
              <w:spacing w:after="0" w:line="240" w:lineRule="auto"/>
              <w:jc w:val="center"/>
              <w:rPr>
                <w:rFonts w:eastAsia="Times New Roman" w:cs="Times New Roman"/>
                <w:noProof/>
              </w:rPr>
            </w:pPr>
            <w:r>
              <w:rPr>
                <w:noProof/>
              </w:rPr>
              <w:t>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T4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3"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rPr>
            </w:pPr>
            <w:r>
              <w:rPr>
                <w:noProof/>
              </w:rPr>
              <w:t>2024</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4" w14:textId="77777777" w:rsidR="003C4798" w:rsidRDefault="00417595">
            <w:pPr>
              <w:pStyle w:val="P68B1DB1-Normal020"/>
              <w:spacing w:after="0" w:line="240" w:lineRule="auto"/>
              <w:rPr>
                <w:rFonts w:eastAsia="Times New Roman" w:cs="Times New Roman"/>
                <w:noProof/>
              </w:rPr>
            </w:pPr>
            <w:r>
              <w:rPr>
                <w:noProof/>
              </w:rPr>
              <w:t>Au moins 50 % des municipalités ont commencé à élaborer un plan général d’aménagement du territoire, comme l’exige la nouvelle loi définie dans le jalon A12G. Cela se fait au moyen de l'enregistrement dans le registre des séries et services de données géographiques.</w:t>
            </w:r>
          </w:p>
        </w:tc>
      </w:tr>
      <w:tr w:rsidR="003C4798" w14:paraId="1216B3B1"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6" w14:textId="77777777" w:rsidR="003C4798" w:rsidRDefault="00417595">
            <w:pPr>
              <w:pStyle w:val="P68B1DB1-Normal018"/>
              <w:pBdr>
                <w:top w:val="nil"/>
                <w:left w:val="nil"/>
                <w:bottom w:val="nil"/>
                <w:right w:val="nil"/>
                <w:between w:val="nil"/>
              </w:pBdr>
              <w:spacing w:after="0" w:line="240" w:lineRule="auto"/>
              <w:jc w:val="center"/>
              <w:rPr>
                <w:rFonts w:cs="Times New Roman"/>
                <w:noProof/>
              </w:rPr>
            </w:pPr>
            <w:r>
              <w:rPr>
                <w:noProof/>
              </w:rPr>
              <w:t>A17G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7"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A1.3.1 Mise en œuvre de la réforme de l'aménagement du territoire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8"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9" w14:textId="32855AAA"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Municipalités ayant adopté des plans généraux d'aménagement du territoire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A"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B" w14:textId="6A4B89FD"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C" w14:textId="77777777" w:rsidR="003C4798" w:rsidRDefault="00417595">
            <w:pPr>
              <w:pStyle w:val="P68B1DB1-Normal020"/>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D" w14:textId="7819873C"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rPr>
            </w:pPr>
            <w:r>
              <w:rPr>
                <w:noProof/>
              </w:rPr>
              <w:t>744</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E" w14:textId="6DD0C6F1"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F"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0" w14:textId="12E45D37" w:rsidR="003C4798" w:rsidRDefault="00417595">
            <w:pPr>
              <w:pStyle w:val="P68B1DB1-Normal020"/>
              <w:spacing w:after="0" w:line="240" w:lineRule="auto"/>
              <w:rPr>
                <w:noProof/>
              </w:rPr>
            </w:pPr>
            <w:r>
              <w:rPr>
                <w:noProof/>
              </w:rPr>
              <w:t>Au moins 744 municipalités ont adopté un plan général d'aménagement du territoire.</w:t>
            </w:r>
          </w:p>
        </w:tc>
      </w:tr>
      <w:tr w:rsidR="003C4798" w14:paraId="1216B3BF"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2"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A18G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3" w14:textId="5746AD78"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A1.4 Réforme visant à améliorer la compétitivité et la protection des producteurs/consommateurs dans le secteur agricole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4"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5" w14:textId="77777777" w:rsidR="003C4798" w:rsidRDefault="00417595">
            <w:pPr>
              <w:pStyle w:val="P68B1DB1-Normal020"/>
              <w:spacing w:after="0" w:line="240" w:lineRule="auto"/>
              <w:rPr>
                <w:noProof/>
              </w:rPr>
            </w:pPr>
            <w:r>
              <w:rPr>
                <w:noProof/>
              </w:rPr>
              <w:t>Entrée en vigueur d'une nouvelle loi visant à lutter contre l'utilisation déloyale des avantages contractuels dans le secteur du commerce agricole et alimentaire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6" w14:textId="77777777" w:rsidR="003C4798" w:rsidRDefault="00417595">
            <w:pPr>
              <w:pStyle w:val="P68B1DB1-Normal020"/>
              <w:spacing w:after="0" w:line="240" w:lineRule="auto"/>
              <w:rPr>
                <w:noProof/>
              </w:rPr>
            </w:pPr>
            <w:r>
              <w:rPr>
                <w:noProof/>
              </w:rPr>
              <w:t>Disposition de la nouvelle loi visant à lutter contre l'utilisation déloyale des avantages contractuels dans le secteur du commerce agricole et alimentaire indiquant son entrée en vigueur</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8"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9"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C" w14:textId="50F71011" w:rsidR="003C4798" w:rsidRDefault="00417595">
            <w:pPr>
              <w:pStyle w:val="Normal0"/>
              <w:spacing w:after="0" w:line="240" w:lineRule="auto"/>
              <w:rPr>
                <w:rFonts w:ascii="Times New Roman" w:eastAsia="Times New Roman" w:hAnsi="Times New Roman" w:cs="Times New Roman"/>
                <w:noProof/>
                <w:sz w:val="18"/>
                <w:szCs w:val="18"/>
              </w:rPr>
            </w:pPr>
            <w:r>
              <w:rPr>
                <w:rFonts w:ascii="Times New Roman" w:hAnsi="Times New Roman"/>
                <w:noProof/>
                <w:sz w:val="18"/>
              </w:rPr>
              <w:t>À la suite d’une consultation publique, entrée en vigueur d’une nouvelle loi visant à lutter contre l’utilisation déloyale d’avantages contractuels dans le secteur du commerce agricole et alimentaire, qui:</w:t>
            </w:r>
            <w:r>
              <w:rPr>
                <w:noProof/>
              </w:rPr>
              <w:br/>
            </w:r>
            <w:r>
              <w:rPr>
                <w:rFonts w:ascii="Times New Roman" w:hAnsi="Times New Roman"/>
                <w:noProof/>
                <w:sz w:val="18"/>
              </w:rPr>
              <w:t>1) jeter les bases d'un meilleur fonctionnement de la chaîne d'approvisionnement alimentaire et approuver un ensemble de principes sur les bonnes pratiques dans les relations verticales au sein de la chaîne d'approvisionnement alimentaire, ainsi que garantir une harmonisation minimale des normes, comme le prévoit la directive (UE) 2019/633;</w:t>
            </w:r>
            <w:r>
              <w:rPr>
                <w:noProof/>
              </w:rPr>
              <w:br/>
            </w:r>
            <w:r>
              <w:rPr>
                <w:rFonts w:ascii="Times New Roman" w:hAnsi="Times New Roman"/>
                <w:noProof/>
                <w:sz w:val="18"/>
              </w:rPr>
              <w:t>2) protéger toutes les transactions commerciales de produits agricoles et alimentaires contre les pratiques commerciales déloyales;</w:t>
            </w:r>
            <w:r>
              <w:rPr>
                <w:noProof/>
              </w:rPr>
              <w:br/>
            </w:r>
            <w:r>
              <w:rPr>
                <w:rFonts w:ascii="Times New Roman" w:hAnsi="Times New Roman"/>
                <w:noProof/>
                <w:sz w:val="18"/>
              </w:rPr>
              <w:t xml:space="preserve">3) aller au-delà de la directive (UE) 2019/633 du Parlement européen et du Conseil du 17 avril 2019 relative aux pratiques commerciales déloyales dans les relations interentreprises au sein de la chaîne d’approvisionnement agricole et alimentaire. </w:t>
            </w:r>
            <w:r>
              <w:rPr>
                <w:noProof/>
              </w:rPr>
              <w:br/>
            </w:r>
            <w:r>
              <w:rPr>
                <w:rFonts w:ascii="Times New Roman" w:hAnsi="Times New Roman"/>
                <w:noProof/>
                <w:sz w:val="18"/>
              </w:rPr>
              <w:t xml:space="preserve">Cette loi va au-delà de la directive sur les pratiques commerciales déloyales de la manière suivante: </w:t>
            </w:r>
            <w:r>
              <w:rPr>
                <w:noProof/>
              </w:rPr>
              <w:br/>
            </w:r>
            <w:r>
              <w:rPr>
                <w:rFonts w:ascii="Times New Roman" w:hAnsi="Times New Roman"/>
                <w:noProof/>
                <w:sz w:val="18"/>
              </w:rPr>
              <w:t>a) Si la directive prévoit une liste fermée des pratiques commerciales déloyales, la nouvelle loi introduit, en plus de cette liste, une définition ouverte des pratiques commerciales déloyales. En particulier, ces pratiques commerciales supplémentaires sont considérées comme déloyales par l’Office de la concurrence et de la protection des consommateurs (UOKiK) si i) elles sont contraires aux exigences de bonne conduite commerciale; ii) et qu’ils faussent ou sont susceptibles de fausser substantiellement l’intérêt de l’autre partie au contrat;</w:t>
            </w:r>
          </w:p>
          <w:p w14:paraId="1216B3BD" w14:textId="513C7D73" w:rsidR="003C4798" w:rsidRDefault="00417595">
            <w:pPr>
              <w:pStyle w:val="P68B1DB1-Normal023"/>
              <w:spacing w:after="0" w:line="240" w:lineRule="auto"/>
              <w:rPr>
                <w:rFonts w:eastAsia="Times New Roman" w:cs="Times New Roman"/>
                <w:noProof/>
                <w:szCs w:val="18"/>
              </w:rPr>
            </w:pPr>
            <w:r>
              <w:rPr>
                <w:noProof/>
              </w:rPr>
              <w:t>b) Alors que la directive ne protège que les fournisseurs de produits agricoles et alimentaires, la nouvelle législation protège tous les opérateurs commerciaux, y compris les acheteurs de produits agricoles et alimentaires.</w:t>
            </w:r>
          </w:p>
          <w:p w14:paraId="1216B3BE" w14:textId="18A5946C"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La réforme permet à l'Office de la concurrence et de la protection des consommateurs d'enquêter non seulement sur les cas soumis par les acteurs du marché, mais aussi d'entreprendre ses propres enquêtes.</w:t>
            </w:r>
          </w:p>
        </w:tc>
      </w:tr>
      <w:tr w:rsidR="003C4798" w14:paraId="1216B3CB"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0" w14:textId="77777777" w:rsidR="003C4798" w:rsidRDefault="00417595">
            <w:pPr>
              <w:pStyle w:val="P68B1DB1-Normal018"/>
              <w:pBdr>
                <w:top w:val="nil"/>
                <w:left w:val="nil"/>
                <w:bottom w:val="nil"/>
                <w:right w:val="nil"/>
                <w:between w:val="nil"/>
              </w:pBdr>
              <w:spacing w:after="0" w:line="240" w:lineRule="auto"/>
              <w:jc w:val="center"/>
              <w:rPr>
                <w:rFonts w:cs="Times New Roman"/>
                <w:noProof/>
              </w:rPr>
            </w:pPr>
            <w:r>
              <w:rPr>
                <w:noProof/>
              </w:rPr>
              <w:t>A20G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1"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A1.4.1 Modernisation des infrastructures ou des équipements dans le secteur agricole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3"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Adoption de critères de sélection des bénéficiaires pour tous les projets au titre de cet investissement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4"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Publication sur le site web du ministère de l’agriculture et du développement rural et de l’Agence pour la restructuration et la modernisation de l’agriculture de l’adoption des critères de sélection des bénéficiaires</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5"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6"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8"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9"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A" w14:textId="2CC159B6"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Fonts w:ascii="Times New Roman" w:hAnsi="Times New Roman"/>
                <w:noProof/>
                <w:color w:val="000000" w:themeColor="text1"/>
                <w:sz w:val="18"/>
              </w:rPr>
              <w:t>À la suite d’une consultation publique, adoption des critères de sélection des bénéficiaires pour tous les projets relevant de cet investissement. Les critères de sélection respectent les principes de non-discrimination et de transparence.</w:t>
            </w:r>
            <w:r>
              <w:rPr>
                <w:noProof/>
              </w:rPr>
              <w:br/>
            </w:r>
            <w:r>
              <w:rPr>
                <w:rFonts w:ascii="Times New Roman" w:hAnsi="Times New Roman"/>
                <w:noProof/>
                <w:color w:val="000000" w:themeColor="text1"/>
                <w:sz w:val="18"/>
              </w:rPr>
              <w:t>Les critères de sélection privilégient les domaines suivants:</w:t>
            </w:r>
            <w:r>
              <w:rPr>
                <w:noProof/>
              </w:rPr>
              <w:br/>
            </w:r>
            <w:r>
              <w:rPr>
                <w:rFonts w:ascii="Times New Roman" w:hAnsi="Times New Roman"/>
                <w:noProof/>
                <w:color w:val="000000" w:themeColor="text1"/>
                <w:sz w:val="18"/>
              </w:rPr>
              <w:t>(i) la numérisation;</w:t>
            </w:r>
            <w:r>
              <w:rPr>
                <w:noProof/>
              </w:rPr>
              <w:br/>
            </w:r>
            <w:r>
              <w:rPr>
                <w:rFonts w:ascii="Times New Roman" w:hAnsi="Times New Roman"/>
                <w:noProof/>
                <w:color w:val="000000" w:themeColor="text1"/>
                <w:sz w:val="18"/>
              </w:rPr>
              <w:t>ii) la création d’emplois;</w:t>
            </w:r>
            <w:r>
              <w:rPr>
                <w:noProof/>
              </w:rPr>
              <w:br/>
            </w:r>
            <w:r>
              <w:rPr>
                <w:rFonts w:ascii="Times New Roman" w:hAnsi="Times New Roman"/>
                <w:noProof/>
                <w:color w:val="000000" w:themeColor="text1"/>
                <w:sz w:val="18"/>
              </w:rPr>
              <w:t xml:space="preserve">iii) la protection de l’environnement et les pratiques de production alimentaire durable; </w:t>
            </w:r>
            <w:r>
              <w:rPr>
                <w:noProof/>
              </w:rPr>
              <w:br/>
            </w:r>
            <w:r>
              <w:rPr>
                <w:rFonts w:ascii="Times New Roman" w:hAnsi="Times New Roman"/>
                <w:noProof/>
                <w:color w:val="000000" w:themeColor="text1"/>
                <w:sz w:val="18"/>
              </w:rPr>
              <w:t>iv) l’économie circulaire, y compris les actions liées à la prévention du gaspillage alimentaire.</w:t>
            </w:r>
            <w:r>
              <w:rPr>
                <w:noProof/>
              </w:rPr>
              <w:t xml:space="preserve"> </w:t>
            </w:r>
            <w:r>
              <w:rPr>
                <w:noProof/>
              </w:rPr>
              <w:br/>
            </w:r>
            <w:r>
              <w:rPr>
                <w:rFonts w:ascii="Times New Roman" w:hAnsi="Times New Roman"/>
                <w:noProof/>
                <w:color w:val="000000" w:themeColor="text1"/>
                <w:sz w:val="18"/>
              </w:rPr>
              <w:t>Le processus de demande et de vérification est mené par l’Agence pour la restructuration et la modernisation de l’agriculture (ARMA), afin de garantir la cohérence, la transparence et d’éviter le double financement.</w:t>
            </w:r>
          </w:p>
        </w:tc>
      </w:tr>
      <w:tr w:rsidR="003C4798" w14:paraId="1216B3DC"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C" w14:textId="7791761A"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A21G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D" w14:textId="5790F930" w:rsidR="003C4798" w:rsidRDefault="00417595">
            <w:pPr>
              <w:pStyle w:val="P68B1DB1-Normal020"/>
              <w:pBdr>
                <w:top w:val="nil"/>
                <w:left w:val="nil"/>
                <w:bottom w:val="nil"/>
                <w:right w:val="nil"/>
                <w:between w:val="nil"/>
              </w:pBdr>
              <w:spacing w:after="0" w:line="240" w:lineRule="auto"/>
              <w:rPr>
                <w:noProof/>
                <w:color w:val="000000"/>
              </w:rPr>
            </w:pPr>
            <w:r>
              <w:rPr>
                <w:noProof/>
              </w:rPr>
              <w:t>A1.4.1 Modernisation des infrastructures ou des équipements dans le secteur agricole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F" w14:textId="19896602" w:rsidR="003C4798" w:rsidRDefault="00417595">
            <w:pPr>
              <w:pStyle w:val="P68B1DB1-Normal020"/>
              <w:spacing w:after="0" w:line="240" w:lineRule="auto"/>
              <w:rPr>
                <w:noProof/>
                <w:color w:val="000000"/>
              </w:rPr>
            </w:pPr>
            <w:r>
              <w:rPr>
                <w:noProof/>
              </w:rPr>
              <w:t>Ordres de paiement définitifs émis pour des projets soutenant le stockage ou la mise sur le marché de produits agricoles, de produits de la pêche, de produits de l’aquaculture ou de produits agroalimentaires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0"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3" w14:textId="77777777" w:rsidR="003C4798" w:rsidRDefault="00417595">
            <w:pPr>
              <w:pStyle w:val="P68B1DB1-Normal020"/>
              <w:spacing w:after="0" w:line="240" w:lineRule="auto"/>
              <w:jc w:val="center"/>
              <w:rPr>
                <w:rFonts w:eastAsia="Times New Roman" w:cs="Times New Roman"/>
                <w:noProof/>
                <w:color w:val="000000"/>
              </w:rPr>
            </w:pPr>
            <w:r>
              <w:rPr>
                <w:noProof/>
              </w:rPr>
              <w:t>150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4" w14:textId="77777777" w:rsidR="003C4798" w:rsidRDefault="00417595">
            <w:pPr>
              <w:pStyle w:val="P68B1DB1-Normal020"/>
              <w:spacing w:after="0" w:line="240" w:lineRule="auto"/>
              <w:jc w:val="center"/>
              <w:rPr>
                <w:rFonts w:eastAsia="Times New Roman" w:cs="Times New Roman"/>
                <w:noProof/>
                <w:color w:val="000000"/>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5" w14:textId="77777777" w:rsidR="003C4798" w:rsidRDefault="00417595">
            <w:pPr>
              <w:pStyle w:val="P68B1DB1-Normal020"/>
              <w:spacing w:after="0" w:line="240" w:lineRule="auto"/>
              <w:jc w:val="center"/>
              <w:rPr>
                <w:rFonts w:eastAsia="Times New Roman" w:cs="Times New Roman"/>
                <w:noProof/>
                <w:color w:val="000000"/>
              </w:rPr>
            </w:pPr>
            <w:r>
              <w:rPr>
                <w:noProof/>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B76A3D" w14:textId="77777777" w:rsidR="003C4798" w:rsidRDefault="00417595">
            <w:pPr>
              <w:pStyle w:val="P68B1DB1-Normal020"/>
              <w:spacing w:line="240" w:lineRule="auto"/>
              <w:rPr>
                <w:noProof/>
              </w:rPr>
            </w:pPr>
            <w:r>
              <w:rPr>
                <w:noProof/>
              </w:rPr>
              <w:t xml:space="preserve">Ordres de paiement définitifs émis pour des projets soutenant le stockage ou la mise sur le marché de produits agricoles, de produits de la pêche, de produits de l’aquaculture ou de produits agroalimentaires. </w:t>
            </w:r>
          </w:p>
          <w:p w14:paraId="25A59F95" w14:textId="6F97B2A5" w:rsidR="003C4798" w:rsidRDefault="00417595">
            <w:pPr>
              <w:pStyle w:val="P68B1DB1-Normal020"/>
              <w:spacing w:line="240" w:lineRule="auto"/>
              <w:rPr>
                <w:rFonts w:eastAsia="Times New Roman" w:cs="Times New Roman"/>
                <w:noProof/>
              </w:rPr>
            </w:pPr>
            <w:r>
              <w:rPr>
                <w:noProof/>
              </w:rPr>
              <w:t>Lorsque le ou les appels à projets prévoient l’achat de camions, d’autres véhicules utilitaires lourds ou de véhicules à usage spécial, le ou les appels à projets prévoient que les camions et autres véhicules utilitaires lourds achetés ne sont que des véhicules à émissions nulles, des véhicules à faibles émissions ou des véhicules GNL/GNC fonctionnant au biogaz/biométhane. Les véhicules à usage spécial doivent respecter les mêmes règles que celles énoncées ci-dessus.</w:t>
            </w:r>
          </w:p>
          <w:p w14:paraId="1216B3DB" w14:textId="6FFCE21E" w:rsidR="003C4798" w:rsidRDefault="00417595">
            <w:pPr>
              <w:pStyle w:val="P68B1DB1-Normal020"/>
              <w:spacing w:after="0" w:line="240" w:lineRule="auto"/>
              <w:rPr>
                <w:rFonts w:eastAsia="Times New Roman" w:cs="Times New Roman"/>
                <w:noProof/>
                <w:color w:val="000000"/>
              </w:rPr>
            </w:pPr>
            <w:r>
              <w:rPr>
                <w:noProof/>
              </w:rPr>
              <w:t>Lorsque le ou les appels à projets prévoient le financement d’installations de production d’énergie à partir de biogaz, le ou les appels à projets prévoient que les installations satisfont aux critères applicables en matière de durabilité et de réduction des émissions de gaz à effet de serre énoncés aux articles 29 à 31 et aux règles relatives aux biocarburants produits à partir de denrées alimentaires et d’aliments pour animaux énoncées à l’article 26 de la directive sur les énergies renouvelables [directive 2018/2001/UE (REDII)], ainsi qu’aux actes d’exécution et aux actes délégués connexes.</w:t>
            </w:r>
          </w:p>
        </w:tc>
      </w:tr>
      <w:tr w:rsidR="003C4798" w14:paraId="1216B3ED"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D"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E" w14:textId="09DBE12F" w:rsidR="003C4798" w:rsidRDefault="00417595">
            <w:pPr>
              <w:pStyle w:val="P68B1DB1-Normal020"/>
              <w:pBdr>
                <w:top w:val="nil"/>
                <w:left w:val="nil"/>
                <w:bottom w:val="nil"/>
                <w:right w:val="nil"/>
                <w:between w:val="nil"/>
              </w:pBdr>
              <w:spacing w:after="0" w:line="240" w:lineRule="auto"/>
              <w:rPr>
                <w:noProof/>
                <w:color w:val="000000"/>
              </w:rPr>
            </w:pPr>
            <w:r>
              <w:rPr>
                <w:noProof/>
              </w:rPr>
              <w:t>A1.4.1 Modernisation des infrastructures ou des équipements dans le secteur agricole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F"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0" w14:textId="6D905148"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Ordres de paiement définitifs émis pour des projets de construction ou de modernisation d’infrastructures ou d’équipements d’entreprises du secteur de l’agriculture, de la pêche ou de l’aquaculture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1"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3"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4" w14:textId="47A79BCA" w:rsidR="003C4798" w:rsidRDefault="00417595">
            <w:pPr>
              <w:pStyle w:val="P68B1DB1-Normal020"/>
              <w:spacing w:after="0" w:line="240" w:lineRule="auto"/>
              <w:jc w:val="center"/>
              <w:rPr>
                <w:rFonts w:eastAsia="Times New Roman" w:cs="Times New Roman"/>
                <w:noProof/>
                <w:color w:val="000000"/>
              </w:rPr>
            </w:pPr>
            <w:r>
              <w:rPr>
                <w:noProof/>
              </w:rPr>
              <w:t>811</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5" w14:textId="77777777" w:rsidR="003C4798" w:rsidRDefault="00417595">
            <w:pPr>
              <w:pStyle w:val="P68B1DB1-Normal020"/>
              <w:spacing w:after="0" w:line="240" w:lineRule="auto"/>
              <w:jc w:val="center"/>
              <w:rPr>
                <w:rFonts w:eastAsia="Times New Roman" w:cs="Times New Roman"/>
                <w:noProof/>
                <w:color w:val="000000"/>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6" w14:textId="77777777" w:rsidR="003C4798" w:rsidRDefault="00417595">
            <w:pPr>
              <w:pStyle w:val="P68B1DB1-Normal020"/>
              <w:spacing w:after="0" w:line="240" w:lineRule="auto"/>
              <w:jc w:val="center"/>
              <w:rPr>
                <w:rFonts w:eastAsia="Times New Roman" w:cs="Times New Roman"/>
                <w:noProof/>
                <w:color w:val="000000"/>
              </w:rPr>
            </w:pPr>
            <w:r>
              <w:rPr>
                <w:noProof/>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7" w14:textId="548B1A6F" w:rsidR="003C4798" w:rsidRDefault="00417595">
            <w:pPr>
              <w:pStyle w:val="P68B1DB1-Normal020"/>
              <w:spacing w:after="0" w:line="240" w:lineRule="auto"/>
              <w:rPr>
                <w:noProof/>
              </w:rPr>
            </w:pPr>
            <w:r>
              <w:rPr>
                <w:noProof/>
              </w:rPr>
              <w:t>Ordres de paiement définitifs émis pour des projets de construction ou de modernisation d’infrastructures ou d’équipements d’entreprises du secteur de l’agriculture, de la pêche ou de l’aquaculture.</w:t>
            </w:r>
          </w:p>
          <w:p w14:paraId="1216B3E8" w14:textId="77777777" w:rsidR="003C4798" w:rsidRDefault="003C4798">
            <w:pPr>
              <w:pStyle w:val="Normal0"/>
              <w:spacing w:after="0" w:line="240" w:lineRule="auto"/>
              <w:rPr>
                <w:rFonts w:ascii="Times New Roman" w:hAnsi="Times New Roman"/>
                <w:noProof/>
                <w:color w:val="000000" w:themeColor="text1"/>
                <w:sz w:val="18"/>
                <w:szCs w:val="18"/>
              </w:rPr>
            </w:pPr>
          </w:p>
          <w:p w14:paraId="1216B3EB" w14:textId="5EF6D62E" w:rsidR="003C4798" w:rsidRDefault="00417595">
            <w:pPr>
              <w:pStyle w:val="P68B1DB1-Normal020"/>
              <w:spacing w:after="0" w:line="240" w:lineRule="auto"/>
              <w:rPr>
                <w:noProof/>
              </w:rPr>
            </w:pPr>
            <w:r>
              <w:rPr>
                <w:noProof/>
              </w:rPr>
              <w:t>Lorsque le ou les appels à projets prévoient l’achat de camions, d’autres véhicules utilitaires lourds ou de véhicules à usage spécial, le ou les appels à projets prévoient que les camions et autres véhicules utilitaires lourds achetés ne sont que des véhicules à émissions nulles, des véhicules à faibles émissions ou des véhicules GNL/GNC fonctionnant au biogaz/biométhane. Les véhicules à usage spécial doivent respecter les mêmes règles que celles énoncées ci-dessus.</w:t>
            </w:r>
          </w:p>
          <w:p w14:paraId="50F3F094" w14:textId="77777777" w:rsidR="003C4798" w:rsidRDefault="003C4798">
            <w:pPr>
              <w:pStyle w:val="Normal0"/>
              <w:spacing w:after="0" w:line="240" w:lineRule="auto"/>
              <w:rPr>
                <w:rFonts w:ascii="Times New Roman" w:hAnsi="Times New Roman"/>
                <w:noProof/>
                <w:color w:val="000000" w:themeColor="text1"/>
                <w:sz w:val="18"/>
                <w:szCs w:val="18"/>
              </w:rPr>
            </w:pPr>
          </w:p>
          <w:p w14:paraId="1216B3EC" w14:textId="4902156D" w:rsidR="003C4798" w:rsidRDefault="00417595">
            <w:pPr>
              <w:pStyle w:val="P68B1DB1-Normal020"/>
              <w:spacing w:after="0" w:line="240" w:lineRule="auto"/>
              <w:rPr>
                <w:rFonts w:eastAsia="Times New Roman" w:cs="Times New Roman"/>
                <w:noProof/>
              </w:rPr>
            </w:pPr>
            <w:r>
              <w:rPr>
                <w:noProof/>
              </w:rPr>
              <w:t>Lorsque le ou les appels à projets prévoient le financement d’installations de production d’énergie à partir de biogaz, le ou les appels à projets prévoient que les installations satisfont aux critères applicables en matière de durabilité et de réduction des émissions de gaz à effet de serre énoncés aux articles 29 à 31 et aux règles relatives aux biocarburants produits à partir de denrées alimentaires et d’aliments pour animaux énoncées à l’article 26 de la directive sur les énergies renouvelables [directive 2018/2001/UE (REDII)], ainsi qu’aux actes d’exécution et aux actes délégués connexes.</w:t>
            </w:r>
          </w:p>
        </w:tc>
      </w:tr>
      <w:tr w:rsidR="003C4798" w14:paraId="1216B3F9"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E"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F" w14:textId="77777777" w:rsidR="003C4798" w:rsidRDefault="00417595">
            <w:pPr>
              <w:pStyle w:val="P68B1DB1-Normal020"/>
              <w:pBdr>
                <w:top w:val="nil"/>
                <w:left w:val="nil"/>
                <w:bottom w:val="nil"/>
                <w:right w:val="nil"/>
                <w:between w:val="nil"/>
              </w:pBdr>
              <w:spacing w:after="0" w:line="240" w:lineRule="auto"/>
              <w:rPr>
                <w:noProof/>
                <w:color w:val="000000"/>
              </w:rPr>
            </w:pPr>
            <w:r>
              <w:rPr>
                <w:noProof/>
              </w:rPr>
              <w:t>A1.4.1 Modernisation des infrastructures ou des équipements dans le secteur agricole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1" w14:textId="77777777" w:rsidR="003C4798" w:rsidRDefault="00417595">
            <w:pPr>
              <w:pStyle w:val="P68B1DB1-Normal018"/>
              <w:pBdr>
                <w:top w:val="nil"/>
                <w:left w:val="nil"/>
                <w:bottom w:val="nil"/>
                <w:right w:val="nil"/>
                <w:between w:val="nil"/>
              </w:pBdr>
              <w:spacing w:after="0" w:line="240" w:lineRule="auto"/>
              <w:rPr>
                <w:rFonts w:cs="Times New Roman"/>
                <w:noProof/>
              </w:rPr>
            </w:pPr>
            <w:r>
              <w:rPr>
                <w:noProof/>
              </w:rPr>
              <w:t>Agriculteurs ayant reçu des fonds pour mener à bien des projets de remplacement de matériaux nocifs pour l'environnement et la santé dans les bâtiments utilisés pour la production agricole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2"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3"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4"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5"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22 000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7"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8" w14:textId="080ABEBC"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Au moins 22 000 agriculteurs ont reçu un financement pour avoir mené à bien des projets visant à remplacer les matériaux nocifs pour l’environnement et la santé dans les bâtiments utilisés pour la production agricole.</w:t>
            </w:r>
          </w:p>
        </w:tc>
      </w:tr>
      <w:tr w:rsidR="003C4798" w14:paraId="1216B405"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A" w14:textId="77777777" w:rsidR="003C4798" w:rsidRDefault="00417595">
            <w:pPr>
              <w:pStyle w:val="P68B1DB1-Normal018"/>
              <w:pBdr>
                <w:top w:val="nil"/>
                <w:left w:val="nil"/>
                <w:bottom w:val="nil"/>
                <w:right w:val="nil"/>
                <w:between w:val="nil"/>
              </w:pBdr>
              <w:spacing w:after="0" w:line="240" w:lineRule="auto"/>
              <w:ind w:left="-113"/>
              <w:jc w:val="center"/>
              <w:rPr>
                <w:noProof/>
              </w:rPr>
            </w:pPr>
            <w:r>
              <w:rPr>
                <w:noProof/>
              </w:rPr>
              <w:t>A25aG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B" w14:textId="77777777" w:rsidR="003C4798" w:rsidRDefault="00417595">
            <w:pPr>
              <w:pStyle w:val="P68B1DB1-Normal020"/>
              <w:pBdr>
                <w:top w:val="nil"/>
                <w:left w:val="nil"/>
                <w:bottom w:val="nil"/>
                <w:right w:val="nil"/>
                <w:between w:val="nil"/>
              </w:pBdr>
              <w:spacing w:after="0" w:line="240" w:lineRule="auto"/>
              <w:rPr>
                <w:noProof/>
                <w:color w:val="000000"/>
              </w:rPr>
            </w:pPr>
            <w:r>
              <w:rPr>
                <w:noProof/>
              </w:rPr>
              <w:t xml:space="preserve">A1.4.1 Modernisation des infrastructures ou des équipements dans le secteur agricole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C"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D" w14:textId="77777777" w:rsidR="003C4798" w:rsidRDefault="00417595">
            <w:pPr>
              <w:pStyle w:val="P68B1DB1-Normal018"/>
              <w:spacing w:after="0" w:line="240" w:lineRule="auto"/>
              <w:rPr>
                <w:noProof/>
              </w:rPr>
            </w:pPr>
            <w:r>
              <w:rPr>
                <w:noProof/>
              </w:rPr>
              <w:t>Financement de projets visant à remplacer les matériaux nocifs pour l'environnement et la santé dans les bâtiments utilisés pour la production agricole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E" w14:textId="77777777" w:rsidR="003C4798" w:rsidRDefault="00417595">
            <w:pPr>
              <w:pStyle w:val="P68B1DB1-Normal019"/>
              <w:pBdr>
                <w:top w:val="nil"/>
                <w:left w:val="nil"/>
                <w:bottom w:val="nil"/>
                <w:right w:val="nil"/>
                <w:between w:val="nil"/>
              </w:pBdr>
              <w:spacing w:after="0" w:line="240" w:lineRule="auto"/>
              <w:rPr>
                <w:noProof/>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F"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0" w14:textId="77777777" w:rsidR="003C4798" w:rsidRDefault="00417595">
            <w:pPr>
              <w:pStyle w:val="P68B1DB1-Normal019"/>
              <w:pBdr>
                <w:top w:val="nil"/>
                <w:left w:val="nil"/>
                <w:bottom w:val="nil"/>
                <w:right w:val="nil"/>
                <w:between w:val="nil"/>
              </w:pBdr>
              <w:spacing w:after="0" w:line="240" w:lineRule="auto"/>
              <w:jc w:val="center"/>
              <w:rPr>
                <w:noProof/>
                <w:color w:val="000000" w:themeColor="text1"/>
                <w:szCs w:val="18"/>
              </w:rPr>
            </w:pPr>
            <w:r>
              <w:rPr>
                <w:noProof/>
              </w:rPr>
              <w:t>22 000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1" w14:textId="77777777" w:rsidR="003C4798" w:rsidRDefault="00417595">
            <w:pPr>
              <w:pStyle w:val="P68B1DB1-Normal020"/>
              <w:spacing w:after="0" w:line="240" w:lineRule="auto"/>
              <w:jc w:val="center"/>
              <w:rPr>
                <w:noProof/>
              </w:rPr>
            </w:pPr>
            <w:r>
              <w:rPr>
                <w:noProof/>
              </w:rPr>
              <w:t>42 641</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2" w14:textId="77777777" w:rsidR="003C4798" w:rsidRDefault="00417595">
            <w:pPr>
              <w:pStyle w:val="P68B1DB1-Normal020"/>
              <w:spacing w:after="0" w:line="240" w:lineRule="auto"/>
              <w:jc w:val="center"/>
              <w:rPr>
                <w:noProof/>
              </w:rPr>
            </w:pPr>
            <w:r>
              <w:rPr>
                <w:noProof/>
              </w:rPr>
              <w:t>T4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3" w14:textId="77777777" w:rsidR="003C4798" w:rsidRDefault="00417595">
            <w:pPr>
              <w:pStyle w:val="P68B1DB1-Normal020"/>
              <w:spacing w:after="0" w:line="240" w:lineRule="auto"/>
              <w:jc w:val="center"/>
              <w:rPr>
                <w:noProof/>
              </w:rPr>
            </w:pPr>
            <w:r>
              <w:rPr>
                <w:noProof/>
              </w:rPr>
              <w:t>2025</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4" w14:textId="1F43DC69" w:rsidR="003C4798" w:rsidRDefault="00417595">
            <w:pPr>
              <w:pStyle w:val="P68B1DB1-Normal020"/>
              <w:spacing w:after="0" w:line="240" w:lineRule="auto"/>
              <w:rPr>
                <w:noProof/>
              </w:rPr>
            </w:pPr>
            <w:r>
              <w:rPr>
                <w:noProof/>
              </w:rPr>
              <w:t>Les projets ont reçu des fonds pour remplacer les matériaux nocifs pour l'environnement et la santé dans les bâtiments utilisés pour la production agricole.</w:t>
            </w:r>
          </w:p>
        </w:tc>
      </w:tr>
      <w:tr w:rsidR="003C4798" w14:paraId="1216B417" w14:textId="77777777">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6" w14:textId="687ABA7B"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A26G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7"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A1.4.1 Modernisation des infrastructures ou des équipements dans le secteur agricole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8"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Objectif</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9" w14:textId="319594D8" w:rsidR="003C4798" w:rsidRDefault="00417595">
            <w:pPr>
              <w:pStyle w:val="P68B1DB1-Normal018"/>
              <w:spacing w:after="0" w:line="240" w:lineRule="auto"/>
              <w:rPr>
                <w:rFonts w:eastAsia="Times New Roman" w:cs="Times New Roman"/>
                <w:noProof/>
                <w:color w:val="000000" w:themeColor="text1"/>
              </w:rPr>
            </w:pPr>
            <w:r>
              <w:rPr>
                <w:noProof/>
              </w:rPr>
              <w:t>Ordres de paiement définitifs pour des projets de construction ou de modernisation d'infrastructures ou d'équipements par des agriculteurs ou des pêcheurs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C"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D" w14:textId="5D3AC8C6" w:rsidR="003C4798" w:rsidRDefault="00417595">
            <w:pPr>
              <w:pStyle w:val="P68B1DB1-Normal020"/>
              <w:spacing w:after="0" w:line="240" w:lineRule="auto"/>
              <w:jc w:val="center"/>
              <w:rPr>
                <w:noProof/>
                <w:color w:val="000000"/>
              </w:rPr>
            </w:pPr>
            <w:r>
              <w:rPr>
                <w:noProof/>
              </w:rPr>
              <w:t>13 519</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E" w14:textId="77777777" w:rsidR="003C4798" w:rsidRDefault="00417595">
            <w:pPr>
              <w:pStyle w:val="P68B1DB1-Normal020"/>
              <w:spacing w:after="0" w:line="240" w:lineRule="auto"/>
              <w:jc w:val="center"/>
              <w:rPr>
                <w:rFonts w:eastAsia="Times New Roman" w:cs="Times New Roman"/>
                <w:noProof/>
              </w:rPr>
            </w:pPr>
            <w:r>
              <w:rPr>
                <w:noProof/>
              </w:rPr>
              <w:t>T2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F" w14:textId="77777777" w:rsidR="003C4798" w:rsidRDefault="00417595">
            <w:pPr>
              <w:pStyle w:val="P68B1DB1-Normal020"/>
              <w:spacing w:after="0" w:line="240" w:lineRule="auto"/>
              <w:jc w:val="center"/>
              <w:rPr>
                <w:rFonts w:eastAsia="Times New Roman" w:cs="Times New Roman"/>
                <w:noProof/>
                <w:color w:val="000000"/>
              </w:rPr>
            </w:pPr>
            <w:r>
              <w:rPr>
                <w:noProof/>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10" w14:textId="527BF650" w:rsidR="003C4798" w:rsidRDefault="00417595">
            <w:pPr>
              <w:pStyle w:val="P68B1DB1-Normal020"/>
              <w:spacing w:after="0" w:line="240" w:lineRule="auto"/>
              <w:rPr>
                <w:noProof/>
              </w:rPr>
            </w:pPr>
            <w:r>
              <w:rPr>
                <w:noProof/>
              </w:rPr>
              <w:t>Ordres de paiement définitifs pour des projets de construction ou de modernisation d'infrastructures ou d'équipements par des agriculteurs ou des pêcheurs.</w:t>
            </w:r>
          </w:p>
          <w:p w14:paraId="1216B413" w14:textId="77777777" w:rsidR="003C4798" w:rsidRDefault="003C4798">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55330C52" w14:textId="77777777" w:rsidR="003C4798" w:rsidRDefault="00417595">
            <w:pPr>
              <w:pStyle w:val="P68B1DB1-Normal020"/>
              <w:spacing w:after="0" w:line="240" w:lineRule="auto"/>
              <w:rPr>
                <w:noProof/>
              </w:rPr>
            </w:pPr>
            <w:r>
              <w:rPr>
                <w:noProof/>
              </w:rPr>
              <w:t>Les projets peuvent impliquer l’achat de camions, d’autres véhicules utilitaires lourds ou de véhicules à usage spécial, auquel cas ces véhicules ne sont que des véhicules à émissions nulles, à faibles émissions ou fonctionnant au GNL/GNC fonctionnant au biogaz/biométhane.</w:t>
            </w:r>
          </w:p>
          <w:p w14:paraId="2F1EF5E0" w14:textId="77777777" w:rsidR="003C4798" w:rsidRDefault="003C4798">
            <w:pPr>
              <w:spacing w:after="0" w:line="240" w:lineRule="auto"/>
              <w:rPr>
                <w:rFonts w:ascii="Times New Roman" w:hAnsi="Times New Roman"/>
                <w:noProof/>
                <w:color w:val="000000" w:themeColor="text1"/>
                <w:sz w:val="18"/>
                <w:szCs w:val="18"/>
              </w:rPr>
            </w:pPr>
          </w:p>
          <w:p w14:paraId="1216B416" w14:textId="2860690D" w:rsidR="003C4798" w:rsidRDefault="00417595">
            <w:pPr>
              <w:pStyle w:val="P68B1DB1-Normal26"/>
              <w:spacing w:after="0" w:line="240" w:lineRule="auto"/>
              <w:rPr>
                <w:noProof/>
              </w:rPr>
            </w:pPr>
            <w:r>
              <w:rPr>
                <w:noProof/>
              </w:rPr>
              <w:t>Les projets peuvent impliquer le financement d’installations de production d’énergie à partir de biogaz, auquel cas ces installations satisfont aux critères de durabilité et de réduction des émissions de gaz à effet de serre énoncés aux articles 29 à 31 et aux règles relatives aux biocarburants produits à partir de denrées alimentaires et d’aliments pour animaux énoncées à l’article 26 de la directive sur les énergies renouvelables [directive (UE) 2018/2001 (REDII)], ainsi qu’aux actes d’exécution et aux actes délégués connexes.</w:t>
            </w:r>
          </w:p>
        </w:tc>
      </w:tr>
    </w:tbl>
    <w:p w14:paraId="1216B418" w14:textId="77777777" w:rsidR="003C4798" w:rsidRDefault="00417595">
      <w:pPr>
        <w:rPr>
          <w:rFonts w:ascii="Times New Roman" w:eastAsia="Times New Roman" w:hAnsi="Times New Roman" w:cs="Times New Roman"/>
          <w:b/>
          <w:noProof/>
          <w:color w:val="000000"/>
          <w:sz w:val="24"/>
          <w:szCs w:val="24"/>
          <w:u w:val="single"/>
        </w:rPr>
      </w:pPr>
      <w:r>
        <w:rPr>
          <w:noProof/>
        </w:rPr>
        <w:br w:type="page"/>
      </w:r>
      <w:r>
        <w:rPr>
          <w:rFonts w:ascii="Times New Roman" w:hAnsi="Times New Roman"/>
          <w:b/>
          <w:noProof/>
          <w:color w:val="000000"/>
          <w:sz w:val="24"/>
          <w:u w:val="single"/>
        </w:rPr>
        <w:t>A2 – INNOVATION</w:t>
      </w:r>
    </w:p>
    <w:tbl>
      <w:tblPr>
        <w:tblW w:w="1530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75"/>
        <w:gridCol w:w="1984"/>
        <w:gridCol w:w="1276"/>
        <w:gridCol w:w="2126"/>
        <w:gridCol w:w="1536"/>
        <w:gridCol w:w="992"/>
        <w:gridCol w:w="960"/>
        <w:gridCol w:w="878"/>
        <w:gridCol w:w="1134"/>
        <w:gridCol w:w="850"/>
        <w:gridCol w:w="2698"/>
      </w:tblGrid>
      <w:tr w:rsidR="003C4798" w14:paraId="1216B421" w14:textId="77777777" w:rsidTr="00EC21D5">
        <w:trPr>
          <w:trHeight w:val="300"/>
          <w:tblHeader/>
          <w:jc w:val="center"/>
        </w:trPr>
        <w:tc>
          <w:tcPr>
            <w:tcW w:w="875" w:type="dxa"/>
            <w:vMerge w:val="restart"/>
            <w:tcBorders>
              <w:top w:val="single" w:sz="4" w:space="0" w:color="000000" w:themeColor="text1"/>
            </w:tcBorders>
            <w:shd w:val="clear" w:color="auto" w:fill="BDD7EE"/>
            <w:vAlign w:val="center"/>
          </w:tcPr>
          <w:p w14:paraId="1216B419"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1984" w:type="dxa"/>
            <w:vMerge w:val="restart"/>
            <w:tcBorders>
              <w:top w:val="single" w:sz="4" w:space="0" w:color="000000" w:themeColor="text1"/>
            </w:tcBorders>
            <w:shd w:val="clear" w:color="auto" w:fill="BDD7EE"/>
            <w:vAlign w:val="center"/>
          </w:tcPr>
          <w:p w14:paraId="1216B41A"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Mesure connexe (réforme ou investissement)</w:t>
            </w:r>
          </w:p>
        </w:tc>
        <w:tc>
          <w:tcPr>
            <w:tcW w:w="1276" w:type="dxa"/>
            <w:vMerge w:val="restart"/>
            <w:tcBorders>
              <w:top w:val="single" w:sz="4" w:space="0" w:color="000000" w:themeColor="text1"/>
            </w:tcBorders>
            <w:shd w:val="clear" w:color="auto" w:fill="BDD7EE"/>
            <w:vAlign w:val="center"/>
          </w:tcPr>
          <w:p w14:paraId="1216B41B"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2126" w:type="dxa"/>
            <w:vMerge w:val="restart"/>
            <w:tcBorders>
              <w:top w:val="single" w:sz="4" w:space="0" w:color="000000" w:themeColor="text1"/>
            </w:tcBorders>
            <w:shd w:val="clear" w:color="auto" w:fill="BDD7EE"/>
            <w:vAlign w:val="center"/>
          </w:tcPr>
          <w:p w14:paraId="1216B41C"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536" w:type="dxa"/>
            <w:vMerge w:val="restart"/>
            <w:tcBorders>
              <w:top w:val="single" w:sz="4" w:space="0" w:color="000000" w:themeColor="text1"/>
            </w:tcBorders>
            <w:shd w:val="clear" w:color="auto" w:fill="BDD7EE"/>
            <w:vAlign w:val="center"/>
          </w:tcPr>
          <w:p w14:paraId="1216B41D" w14:textId="32146407"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qualitatifs</w:t>
            </w:r>
            <w:r>
              <w:rPr>
                <w:noProof/>
              </w:rPr>
              <w:br/>
            </w:r>
            <w:r>
              <w:rPr>
                <w:rFonts w:ascii="Times New Roman" w:hAnsi="Times New Roman"/>
                <w:b/>
                <w:noProof/>
                <w:color w:val="000000"/>
                <w:sz w:val="18"/>
              </w:rPr>
              <w:t>(pour les jalons)</w:t>
            </w:r>
          </w:p>
        </w:tc>
        <w:tc>
          <w:tcPr>
            <w:tcW w:w="2830" w:type="dxa"/>
            <w:gridSpan w:val="3"/>
            <w:tcBorders>
              <w:top w:val="single" w:sz="4" w:space="0" w:color="000000" w:themeColor="text1"/>
            </w:tcBorders>
            <w:shd w:val="clear" w:color="auto" w:fill="BDD7EE"/>
            <w:vAlign w:val="center"/>
          </w:tcPr>
          <w:p w14:paraId="1216B41E" w14:textId="7AEED599"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quantitatifs</w:t>
            </w:r>
            <w:r>
              <w:rPr>
                <w:noProof/>
              </w:rPr>
              <w:br/>
            </w:r>
            <w:r>
              <w:rPr>
                <w:rFonts w:ascii="Times New Roman" w:hAnsi="Times New Roman"/>
                <w:b/>
                <w:noProof/>
                <w:color w:val="000000"/>
                <w:sz w:val="18"/>
              </w:rPr>
              <w:t>(pour les objectifs)</w:t>
            </w:r>
          </w:p>
        </w:tc>
        <w:tc>
          <w:tcPr>
            <w:tcW w:w="1984" w:type="dxa"/>
            <w:gridSpan w:val="2"/>
            <w:tcBorders>
              <w:top w:val="single" w:sz="4" w:space="0" w:color="000000" w:themeColor="text1"/>
            </w:tcBorders>
            <w:shd w:val="clear" w:color="auto" w:fill="BDD7EE"/>
            <w:vAlign w:val="center"/>
          </w:tcPr>
          <w:p w14:paraId="1216B41F"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Calendrier indicatif d'achèvement</w:t>
            </w:r>
          </w:p>
        </w:tc>
        <w:tc>
          <w:tcPr>
            <w:tcW w:w="2698" w:type="dxa"/>
            <w:vMerge w:val="restart"/>
            <w:tcBorders>
              <w:top w:val="single" w:sz="4" w:space="0" w:color="000000" w:themeColor="text1"/>
            </w:tcBorders>
            <w:shd w:val="clear" w:color="auto" w:fill="BDD7EE"/>
            <w:vAlign w:val="center"/>
          </w:tcPr>
          <w:p w14:paraId="1216B420"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3C4798" w14:paraId="1216B42D" w14:textId="77777777" w:rsidTr="00EC21D5">
        <w:trPr>
          <w:trHeight w:val="300"/>
          <w:jc w:val="center"/>
        </w:trPr>
        <w:tc>
          <w:tcPr>
            <w:tcW w:w="875" w:type="dxa"/>
            <w:vMerge/>
            <w:vAlign w:val="center"/>
          </w:tcPr>
          <w:p w14:paraId="1216B422"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984" w:type="dxa"/>
            <w:vMerge/>
            <w:vAlign w:val="center"/>
          </w:tcPr>
          <w:p w14:paraId="1216B423"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424"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425"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36" w:type="dxa"/>
            <w:vMerge/>
            <w:vAlign w:val="center"/>
          </w:tcPr>
          <w:p w14:paraId="1216B426"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shd w:val="clear" w:color="auto" w:fill="BDD7EE"/>
            <w:vAlign w:val="center"/>
          </w:tcPr>
          <w:p w14:paraId="1216B427"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960" w:type="dxa"/>
            <w:shd w:val="clear" w:color="auto" w:fill="BDD7EE"/>
            <w:vAlign w:val="center"/>
          </w:tcPr>
          <w:p w14:paraId="1216B428"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878" w:type="dxa"/>
            <w:shd w:val="clear" w:color="auto" w:fill="BDD7EE"/>
            <w:vAlign w:val="center"/>
          </w:tcPr>
          <w:p w14:paraId="1216B429"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134" w:type="dxa"/>
            <w:shd w:val="clear" w:color="auto" w:fill="BDD7EE"/>
            <w:vAlign w:val="center"/>
          </w:tcPr>
          <w:p w14:paraId="1216B42A"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850" w:type="dxa"/>
            <w:shd w:val="clear" w:color="auto" w:fill="BDD7EE"/>
            <w:vAlign w:val="center"/>
          </w:tcPr>
          <w:p w14:paraId="1216B42B"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2698" w:type="dxa"/>
            <w:vMerge/>
            <w:vAlign w:val="center"/>
          </w:tcPr>
          <w:p w14:paraId="1216B42C"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C4798" w14:paraId="1216B443" w14:textId="77777777" w:rsidTr="00EC21D5">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2E"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A27G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2F"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A2.1 Accélérer la robotisation, la numérisation et les processus d’innovation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1" w14:textId="58707B63"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nouvelle loi visant à soutenir l’automatisation, la numérisation et l’innovation des entreprises en introduisant un allègement fiscal pour la robotisation</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2" w14:textId="6E3A7714"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nouvelle loi visant à soutenir l’automatisation, la numérisation et l’innovation des entreprises indiquant son 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3"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4"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5"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7"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8" w14:textId="29AD4653"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Une nouvelle loi instaure un allègement fiscal de sorte qu’un entrepreneur ait droit à une radiation supplémentaire d’une partie des coûts de robotisation de la base d’imposition à la fin de l’exercice fiscal. L'allégement fiscal est ouvert à tous les entrepreneurs, quels que soient leur taille et leur siège d'exploitation. Sont considérés comme éligibles les coûts suivants:</w:t>
            </w:r>
          </w:p>
          <w:p w14:paraId="1216B439" w14:textId="776FA4A8"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les coûts d'achat de nouveaux robots,</w:t>
            </w:r>
          </w:p>
          <w:p w14:paraId="1216B43A" w14:textId="110CBE51"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machines et périphériques pour robots qui leur sont liés sur le plan fonctionnel</w:t>
            </w:r>
          </w:p>
          <w:p w14:paraId="1216B43B" w14:textId="30EDD183"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machines, appareils et autres objets fonctionnellement liés aux robots, utilisés pour assurer l'ergonomie et la sécurité au travail</w:t>
            </w:r>
          </w:p>
          <w:p w14:paraId="1216B43C" w14:textId="2E8B6F40"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machines, dispositifs ou systèmes pour la gestion, le diagnostic, la surveillance ou l'entretien à distance de robots</w:t>
            </w:r>
          </w:p>
          <w:p w14:paraId="1216B43D" w14:textId="3637A9DD"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dispositifs d'interaction homme-machine pour cobots ou robots à haute sensibilité</w:t>
            </w:r>
          </w:p>
          <w:p w14:paraId="1216B43E" w14:textId="107C654B"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coûts des immobilisations incorporelles concernant les immobilisations mentionnées ci-dessus</w:t>
            </w:r>
          </w:p>
          <w:p w14:paraId="1216B43F" w14:textId="0F46B834"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coûts des services de formation concernant les robots</w:t>
            </w:r>
          </w:p>
          <w:p w14:paraId="1216B440" w14:textId="27156115"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les commissions visées au contrat de crédit-bail concernant les immobilisations énumérées ci-dessus, si, après la fin de la période de base du contrat de crédit-bail, la propriété des immobilisations est transférée au contribuable.</w:t>
            </w:r>
          </w:p>
          <w:p w14:paraId="1216B441"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p w14:paraId="1216B442" w14:textId="53F72C9B"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Cette mesure ne devrait pas causer de préjudice important aux objectifs environnementaux au sens de l’article 17 du règlement (UE) 2020/852, compte tenu de la description de la mesure et des mesures d’atténuation énoncées dans le plan pour la reprise et la résilience conformément aux orientations techniques DNSH (2021/C 58/01). En particulier, la réforme soutient les investissements à faible impact qui sont technologiquement neutres au niveau de leur application.</w:t>
            </w:r>
          </w:p>
        </w:tc>
      </w:tr>
      <w:tr w:rsidR="003C4798" w14:paraId="1216B44F" w14:textId="77777777" w:rsidTr="00EC21D5">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4"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A29G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5" w14:textId="751665E3"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A2.1.1 Investissements dans la robotisation ou la numérisation dans les entreprises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7"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Projets liés à la robotisation, à l’intelligence artificielle ou à la numérisation de processus, de technologies, de produits ou de services dans les entreprises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8"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9"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A"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40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C"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E" w14:textId="4C771757"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Les demandes de paiement final des bénéficiaires ont été approuvées par l’autorité compétente pour des projets liés à la robotisation, à l’intelligence artificielle ou à la numérisation de processus, de technologies, de produits ou de services dans les entreprises.</w:t>
            </w:r>
          </w:p>
        </w:tc>
      </w:tr>
      <w:tr w:rsidR="003C4798" w14:paraId="1216B45B" w14:textId="77777777" w:rsidTr="00EC21D5">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0"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A30G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1"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A2.2 Créer les conditions de la transition vers un modèle d'économie circulaire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3" w14:textId="0FC74711"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nouvelle législation apportant des modifications au cadre législatif afin de permettre le commerce de matières premières secondaires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4"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nouvelle législation indiquant son 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5"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6"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8"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9"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A" w14:textId="6AFDFE36"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La nouvelle législation permettra le commerce de certaines matières premières secondaires. La législation doit permettre une gestion facilitée de ces matières, dans le but de réduire l'exploitation des gisements de ressources naturelles, de remplacer les matières et produits naturels et de réduire le stockage des déchets sur les tas de déchets.</w:t>
            </w:r>
          </w:p>
        </w:tc>
      </w:tr>
      <w:tr w:rsidR="003C4798" w14:paraId="1216B46A" w14:textId="77777777" w:rsidTr="00EC21D5">
        <w:trPr>
          <w:trHeight w:val="1985"/>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C"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A31G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D"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A2.2.1 Investissements dans les technologies et innovations environnementales liées à l'économie circulaire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F"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Signature de conventions de subvention pour des projets sur les écotechnologies et les innovations liées à l’économie circulaire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0"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3"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150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4"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5"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6"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Nombre de conventions de subvention signées pour des projets relatifs aux écotechnologies et aux innovations liées à l’économie circulaire.</w:t>
            </w:r>
          </w:p>
          <w:p w14:paraId="1216B467" w14:textId="77777777" w:rsidR="003C4798" w:rsidRDefault="003C4798">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468" w14:textId="77777777" w:rsidR="003C4798" w:rsidRDefault="00417595">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Les critères de sélection de l’appel à propositions exigent que les projets contribuent à la transformation des PME vers une économie circulaire.</w:t>
            </w:r>
            <w:r>
              <w:rPr>
                <w:noProof/>
              </w:rPr>
              <w:br/>
            </w:r>
          </w:p>
          <w:p w14:paraId="1216B469" w14:textId="77777777"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Afin de garantir que la mesure est conforme aux orientations techniques «Ne pas causer de préjudice important» (2021/C 58/01), les critères d’éligibilité contenus dans les termes de référence pour les appels à projets excluent la liste d’activités suivante: i) les activités liées aux combustibles fossiles, y compris leur utilisation en aval;</w:t>
            </w:r>
            <w:r>
              <w:rPr>
                <w:rStyle w:val="FootnoteReference"/>
                <w:rFonts w:ascii="Times New Roman" w:hAnsi="Times New Roman"/>
                <w:noProof/>
                <w:color w:val="000000" w:themeColor="text1"/>
                <w:sz w:val="18"/>
                <w:szCs w:val="18"/>
              </w:rPr>
              <w:footnoteReference w:id="6"/>
            </w:r>
            <w:r>
              <w:rPr>
                <w:rFonts w:ascii="Times New Roman" w:hAnsi="Times New Roman"/>
                <w:noProof/>
                <w:color w:val="000000" w:themeColor="text1"/>
                <w:sz w:val="18"/>
                <w:szCs w:val="18"/>
              </w:rPr>
              <w:t xml:space="preserve"> ii) les activités menées dans le cadre du système d’échange de quotas d’émission de l’UE (SEQE) pour atteindre des émissions de gaz à effet de serre prévues qui ne sont pas inférieures aux référentiels pertinents;</w:t>
            </w:r>
            <w:r>
              <w:rPr>
                <w:rStyle w:val="FootnoteReference"/>
                <w:rFonts w:ascii="Times New Roman" w:hAnsi="Times New Roman"/>
                <w:noProof/>
                <w:color w:val="000000" w:themeColor="text1"/>
                <w:sz w:val="18"/>
                <w:szCs w:val="18"/>
              </w:rPr>
              <w:footnoteReference w:id="7"/>
            </w:r>
            <w:r>
              <w:rPr>
                <w:rFonts w:ascii="Times New Roman" w:hAnsi="Times New Roman"/>
                <w:noProof/>
                <w:color w:val="000000" w:themeColor="text1"/>
                <w:sz w:val="18"/>
                <w:szCs w:val="18"/>
              </w:rPr>
              <w:t xml:space="preserve"> iii) les activités liées aux décharges de déchets, aux incinérateurs</w:t>
            </w:r>
            <w:r>
              <w:rPr>
                <w:rStyle w:val="FootnoteReference"/>
                <w:rFonts w:ascii="Times New Roman" w:hAnsi="Times New Roman"/>
                <w:noProof/>
                <w:color w:val="000000" w:themeColor="text1"/>
                <w:sz w:val="18"/>
                <w:szCs w:val="18"/>
              </w:rPr>
              <w:footnoteReference w:id="8"/>
            </w:r>
            <w:r>
              <w:rPr>
                <w:rFonts w:ascii="Times New Roman" w:hAnsi="Times New Roman"/>
                <w:noProof/>
                <w:color w:val="000000" w:themeColor="text1"/>
                <w:sz w:val="18"/>
                <w:szCs w:val="18"/>
              </w:rPr>
              <w:t xml:space="preserve"> et aux usines de traitement biologique mécanique;</w:t>
            </w:r>
            <w:r>
              <w:rPr>
                <w:rStyle w:val="FootnoteReference"/>
                <w:rFonts w:ascii="Times New Roman" w:hAnsi="Times New Roman"/>
                <w:noProof/>
                <w:color w:val="000000" w:themeColor="text1"/>
                <w:sz w:val="18"/>
                <w:szCs w:val="18"/>
              </w:rPr>
              <w:footnoteReference w:id="9"/>
            </w:r>
            <w:r>
              <w:rPr>
                <w:rFonts w:ascii="Times New Roman" w:hAnsi="Times New Roman"/>
                <w:noProof/>
                <w:color w:val="000000" w:themeColor="text1"/>
                <w:sz w:val="18"/>
                <w:szCs w:val="18"/>
              </w:rPr>
              <w:t xml:space="preserve"> et iv) les activités dans lesquelles l’élimination à long terme des déchets peut nuire à l’environnement.</w:t>
            </w:r>
          </w:p>
        </w:tc>
      </w:tr>
      <w:tr w:rsidR="003C4798" w14:paraId="1216B480" w14:textId="77777777" w:rsidTr="00EC21D5">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B"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A32G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C"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A2.2.1 Investissements dans les technologies et innovations environnementales liées à l'économie circulaire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E" w14:textId="77777777" w:rsidR="003C4798" w:rsidRDefault="00417595">
            <w:pPr>
              <w:pStyle w:val="P68B1DB1-Normal019"/>
              <w:pBdr>
                <w:top w:val="nil"/>
                <w:left w:val="nil"/>
                <w:bottom w:val="nil"/>
                <w:right w:val="nil"/>
                <w:between w:val="nil"/>
              </w:pBdr>
              <w:spacing w:after="0" w:line="240" w:lineRule="auto"/>
              <w:rPr>
                <w:noProof/>
              </w:rPr>
            </w:pPr>
            <w:r>
              <w:rPr>
                <w:noProof/>
                <w:szCs w:val="18"/>
              </w:rPr>
              <w:t>Conventions de subvention signées pour des projets sur les écotechnologies</w:t>
            </w:r>
            <w:r>
              <w:rPr>
                <w:noProof/>
              </w:rPr>
              <w:t xml:space="preserve"> </w:t>
            </w:r>
            <w:r>
              <w:rPr>
                <w:noProof/>
                <w:szCs w:val="18"/>
              </w:rPr>
              <w:t>et les innovations liées</w:t>
            </w:r>
            <w:r>
              <w:rPr>
                <w:noProof/>
              </w:rPr>
              <w:t xml:space="preserve"> à </w:t>
            </w:r>
            <w:r>
              <w:rPr>
                <w:noProof/>
                <w:szCs w:val="18"/>
              </w:rPr>
              <w:t>l’économie circulaire ou à la création d’un marché des matières premières secondaires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F"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2"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3"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4"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5" w14:textId="2D0E4FCF" w:rsidR="003C4798" w:rsidRDefault="00417595">
            <w:pPr>
              <w:pStyle w:val="P68B1DB1-Normal020"/>
              <w:spacing w:after="0" w:line="240" w:lineRule="auto"/>
              <w:rPr>
                <w:noProof/>
              </w:rPr>
            </w:pPr>
            <w:r>
              <w:rPr>
                <w:noProof/>
              </w:rPr>
              <w:t>Nombre de conventions de subvention signées pour des projets relatifs aux technologies et innovations environnementales, liés à l’économie circulaire ou à la création d’un marché des matières premières secondaires.</w:t>
            </w:r>
          </w:p>
          <w:p w14:paraId="1216B476" w14:textId="77777777" w:rsidR="003C4798" w:rsidRDefault="003C4798">
            <w:pPr>
              <w:pStyle w:val="Normal0"/>
              <w:spacing w:after="0" w:line="240" w:lineRule="auto"/>
              <w:rPr>
                <w:rFonts w:ascii="Times New Roman" w:hAnsi="Times New Roman"/>
                <w:noProof/>
                <w:color w:val="000000" w:themeColor="text1"/>
                <w:sz w:val="18"/>
                <w:szCs w:val="18"/>
              </w:rPr>
            </w:pPr>
          </w:p>
          <w:p w14:paraId="1216B477" w14:textId="77777777" w:rsidR="003C4798" w:rsidRDefault="00417595">
            <w:pPr>
              <w:pStyle w:val="P68B1DB1-Normal020"/>
              <w:spacing w:after="0" w:line="240" w:lineRule="auto"/>
              <w:rPr>
                <w:rFonts w:eastAsia="Times New Roman" w:cs="Times New Roman"/>
                <w:noProof/>
              </w:rPr>
            </w:pPr>
            <w:r>
              <w:rPr>
                <w:noProof/>
              </w:rPr>
              <w:t xml:space="preserve">L’appel à candidatures comprend les critères d’éligibilité, en demandant que les projets couvrent au moins l’une des catégories suivantes: </w:t>
            </w:r>
          </w:p>
          <w:p w14:paraId="1216B478" w14:textId="77777777" w:rsidR="003C4798" w:rsidRDefault="00417595">
            <w:pPr>
              <w:pStyle w:val="P68B1DB1-Normal020"/>
              <w:spacing w:after="0" w:line="240" w:lineRule="auto"/>
              <w:rPr>
                <w:rFonts w:eastAsia="Times New Roman" w:cs="Times New Roman"/>
                <w:noProof/>
              </w:rPr>
            </w:pPr>
            <w:r>
              <w:rPr>
                <w:noProof/>
              </w:rPr>
              <w:t>technologies dans le domaine de l'utilisation des déchets comme matières premières secondaires;</w:t>
            </w:r>
          </w:p>
          <w:p w14:paraId="1216B479" w14:textId="77777777" w:rsidR="003C4798" w:rsidRDefault="00417595">
            <w:pPr>
              <w:pStyle w:val="P68B1DB1-Normal020"/>
              <w:spacing w:after="0" w:line="240" w:lineRule="auto"/>
              <w:rPr>
                <w:noProof/>
              </w:rPr>
            </w:pPr>
            <w:r>
              <w:rPr>
                <w:noProof/>
              </w:rPr>
              <w:t>- augmenter la quantité de matières recyclables;</w:t>
            </w:r>
          </w:p>
          <w:p w14:paraId="1216B47A" w14:textId="77777777" w:rsidR="003C4798" w:rsidRDefault="00417595">
            <w:pPr>
              <w:pStyle w:val="P68B1DB1-Normal020"/>
              <w:spacing w:after="0" w:line="240" w:lineRule="auto"/>
              <w:rPr>
                <w:rFonts w:eastAsia="Times New Roman" w:cs="Times New Roman"/>
                <w:noProof/>
              </w:rPr>
            </w:pPr>
            <w:r>
              <w:rPr>
                <w:noProof/>
              </w:rPr>
              <w:t>- la diminution de la quantité de matières premières primaires utilisées dans les processus de production;</w:t>
            </w:r>
          </w:p>
          <w:p w14:paraId="1216B47B" w14:textId="77777777" w:rsidR="003C4798" w:rsidRDefault="00417595">
            <w:pPr>
              <w:pStyle w:val="P68B1DB1-Normal020"/>
              <w:spacing w:after="0" w:line="240" w:lineRule="auto"/>
              <w:rPr>
                <w:rFonts w:eastAsia="Times New Roman" w:cs="Times New Roman"/>
                <w:noProof/>
              </w:rPr>
            </w:pPr>
            <w:r>
              <w:rPr>
                <w:noProof/>
              </w:rPr>
              <w:t>- soutenir les processus de conception clés pour le recyclage;</w:t>
            </w:r>
          </w:p>
          <w:p w14:paraId="1216B47C" w14:textId="77777777" w:rsidR="003C4798" w:rsidRDefault="00417595">
            <w:pPr>
              <w:pStyle w:val="P68B1DB1-Normal020"/>
              <w:spacing w:after="0" w:line="240" w:lineRule="auto"/>
              <w:rPr>
                <w:rFonts w:eastAsia="Times New Roman" w:cs="Times New Roman"/>
                <w:noProof/>
              </w:rPr>
            </w:pPr>
            <w:r>
              <w:rPr>
                <w:noProof/>
              </w:rPr>
              <w:t>- prolonger la durée de vie des produits;</w:t>
            </w:r>
          </w:p>
          <w:p w14:paraId="1216B47D" w14:textId="77777777" w:rsidR="003C4798" w:rsidRDefault="00417595">
            <w:pPr>
              <w:pStyle w:val="P68B1DB1-Normal020"/>
              <w:spacing w:after="0" w:line="240" w:lineRule="auto"/>
              <w:rPr>
                <w:rFonts w:eastAsia="Times New Roman" w:cs="Times New Roman"/>
                <w:noProof/>
              </w:rPr>
            </w:pPr>
            <w:r>
              <w:rPr>
                <w:noProof/>
              </w:rPr>
              <w:t>- réduire la quantité de déchets dirigés vers les décharges.</w:t>
            </w:r>
          </w:p>
          <w:p w14:paraId="1216B47E" w14:textId="77777777" w:rsidR="003C4798" w:rsidRDefault="003C4798">
            <w:pPr>
              <w:pStyle w:val="Normal0"/>
              <w:spacing w:after="0" w:line="240" w:lineRule="auto"/>
              <w:rPr>
                <w:rFonts w:ascii="Times New Roman" w:hAnsi="Times New Roman"/>
                <w:noProof/>
                <w:color w:val="000000" w:themeColor="text1"/>
                <w:sz w:val="18"/>
                <w:szCs w:val="18"/>
              </w:rPr>
            </w:pPr>
          </w:p>
          <w:p w14:paraId="1216B47F" w14:textId="77777777" w:rsidR="003C4798" w:rsidRDefault="00417595">
            <w:pPr>
              <w:pStyle w:val="Normal0"/>
              <w:spacing w:after="0" w:line="240" w:lineRule="auto"/>
              <w:rPr>
                <w:rFonts w:ascii="Times New Roman" w:hAnsi="Times New Roman"/>
                <w:noProof/>
                <w:color w:val="000000"/>
                <w:sz w:val="18"/>
                <w:szCs w:val="18"/>
              </w:rPr>
            </w:pPr>
            <w:r>
              <w:rPr>
                <w:rFonts w:ascii="Times New Roman" w:hAnsi="Times New Roman"/>
                <w:noProof/>
                <w:color w:val="000000" w:themeColor="text1"/>
                <w:sz w:val="18"/>
                <w:szCs w:val="18"/>
              </w:rPr>
              <w:t>Afin de garantir que la mesure est conforme aux orientations techniques «Ne pas causer de préjudice important» (2021/C 58/01), les critères d’éligibilité contenus dans les termes de référence pour les appels à projets excluent la liste d’activités suivante: i) les activités liées aux combustibles fossiles, y compris leur utilisation en aval;</w:t>
            </w:r>
            <w:r>
              <w:rPr>
                <w:rStyle w:val="FootnoteReference"/>
                <w:rFonts w:ascii="Times New Roman" w:hAnsi="Times New Roman"/>
                <w:noProof/>
                <w:color w:val="000000" w:themeColor="text1"/>
                <w:sz w:val="18"/>
                <w:szCs w:val="18"/>
              </w:rPr>
              <w:footnoteReference w:id="10"/>
            </w:r>
            <w:r>
              <w:rPr>
                <w:rFonts w:ascii="Times New Roman" w:hAnsi="Times New Roman"/>
                <w:noProof/>
                <w:color w:val="000000" w:themeColor="text1"/>
                <w:sz w:val="18"/>
                <w:szCs w:val="18"/>
              </w:rPr>
              <w:t xml:space="preserve"> ii) les activités menées dans le cadre du système d’échange de quotas d’émission de l’UE (SEQE) pour atteindre des émissions de gaz à effet de serre prévues qui ne sont pas inférieures aux référentiels pertinents;</w:t>
            </w:r>
            <w:r>
              <w:rPr>
                <w:rStyle w:val="FootnoteReference"/>
                <w:rFonts w:ascii="Times New Roman" w:hAnsi="Times New Roman"/>
                <w:noProof/>
                <w:color w:val="000000" w:themeColor="text1"/>
                <w:sz w:val="18"/>
                <w:szCs w:val="18"/>
              </w:rPr>
              <w:footnoteReference w:id="11"/>
            </w:r>
            <w:r>
              <w:rPr>
                <w:rFonts w:ascii="Times New Roman" w:hAnsi="Times New Roman"/>
                <w:noProof/>
                <w:color w:val="000000" w:themeColor="text1"/>
                <w:sz w:val="18"/>
                <w:szCs w:val="18"/>
              </w:rPr>
              <w:t xml:space="preserve"> iii) les activités liées aux décharges de déchets, aux incinérateurs</w:t>
            </w:r>
            <w:r>
              <w:rPr>
                <w:rStyle w:val="FootnoteReference"/>
                <w:rFonts w:ascii="Times New Roman" w:hAnsi="Times New Roman"/>
                <w:noProof/>
                <w:color w:val="000000" w:themeColor="text1"/>
                <w:sz w:val="18"/>
                <w:szCs w:val="18"/>
              </w:rPr>
              <w:footnoteReference w:id="12"/>
            </w:r>
            <w:r>
              <w:rPr>
                <w:rFonts w:ascii="Times New Roman" w:hAnsi="Times New Roman"/>
                <w:noProof/>
                <w:color w:val="000000" w:themeColor="text1"/>
                <w:sz w:val="18"/>
                <w:szCs w:val="18"/>
              </w:rPr>
              <w:t xml:space="preserve"> et aux usines de traitement biologique mécanique;</w:t>
            </w:r>
            <w:r>
              <w:rPr>
                <w:rStyle w:val="FootnoteReference"/>
                <w:rFonts w:ascii="Times New Roman" w:hAnsi="Times New Roman"/>
                <w:noProof/>
                <w:color w:val="000000" w:themeColor="text1"/>
                <w:sz w:val="18"/>
                <w:szCs w:val="18"/>
              </w:rPr>
              <w:footnoteReference w:id="13"/>
            </w:r>
            <w:r>
              <w:rPr>
                <w:rFonts w:ascii="Times New Roman" w:hAnsi="Times New Roman"/>
                <w:noProof/>
                <w:color w:val="000000" w:themeColor="text1"/>
                <w:sz w:val="18"/>
                <w:szCs w:val="18"/>
              </w:rPr>
              <w:t xml:space="preserve"> et iv) les activités dans lesquelles l’élimination à long terme des déchets peut nuire à l’environnement.</w:t>
            </w:r>
          </w:p>
        </w:tc>
      </w:tr>
      <w:tr w:rsidR="003C4798" w14:paraId="1216B48C" w14:textId="77777777" w:rsidTr="00EC21D5">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1"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A33G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2"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A2.3 Fournir une base institutionnelle et juridique pour le développement des véhicules aériens sans pilote (UAV)</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3"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4"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loi modifiant la loi sur l’Agence polonaise des services de navigation aérienne</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5"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loi modifiant la loi sur l’Agence polonaise des services de navigation aérienne indiquant son 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6"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8"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9"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B" w14:textId="19188B26"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L’acte modificatif accorde à l’Agence polonaise des services de navigation aérienne (PANSA) le droit de détenir des participations dans des sociétés commerciales et autorise PANSA ou ses filiales à mener des projets pilotes à l’appui de la mise en œuvre de modèles commerciaux et de services fondés sur des drones.</w:t>
            </w:r>
          </w:p>
        </w:tc>
      </w:tr>
      <w:tr w:rsidR="003C4798" w14:paraId="1216B498" w14:textId="77777777" w:rsidTr="00EC21D5">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D"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A35G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E" w14:textId="34188AC9"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A2.3.1 Centres de compétence locaux pour véhicules aériens sans pilote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F"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0" w14:textId="5D9EE733"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Centres de compétence locaux pour véhicules aériens sans pilote</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1"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2"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Numéro</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3"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4"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10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5"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6"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2026</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7" w14:textId="77777777" w:rsidR="003C4798" w:rsidRDefault="00417595">
            <w:pPr>
              <w:pStyle w:val="P68B1DB1-Normal020"/>
              <w:pBdr>
                <w:top w:val="nil"/>
                <w:left w:val="nil"/>
                <w:bottom w:val="nil"/>
                <w:right w:val="nil"/>
                <w:between w:val="nil"/>
              </w:pBdr>
              <w:spacing w:after="0" w:line="240" w:lineRule="auto"/>
              <w:rPr>
                <w:noProof/>
                <w:color w:val="000000"/>
              </w:rPr>
            </w:pPr>
            <w:r>
              <w:rPr>
                <w:noProof/>
              </w:rPr>
              <w:t>Certificat(s) d’audit indépendant(s) confirmant que dix centres de compétence locaux pour les véhicules aériens sans pilote, fournissant des infrastructures numériques, des champs d’atterrissage et des infrastructures de suivi, ont été mis en place.</w:t>
            </w:r>
          </w:p>
        </w:tc>
      </w:tr>
      <w:tr w:rsidR="003C4798" w14:paraId="1216B4A4" w14:textId="77777777" w:rsidTr="00EC21D5">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9"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A38G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A2.4 Renforcement des mécanismes de coopération entre la science et l'industrie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C"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loi modifiant la loi sur l’enseignement supérieur et les sciences en ce qui concerne le catalogue des entités susceptibles de créer des véhicules à usage spécial avec les universités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D"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l’acte modifiant la loi sur l’enseignement supérieur et les sciences indiquant son 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E"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F"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0"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3" w14:textId="2C911324"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L’acte modificatif permet la création de véhicules à usage spécial spécialement conçus pour la commercialisation des résultats de la R&amp;D. Cela devrait permettre une plus grande interdisciplinaire et une plus grande flexibilité du transfert de technologie.</w:t>
            </w:r>
          </w:p>
        </w:tc>
      </w:tr>
      <w:tr w:rsidR="003C4798" w14:paraId="1216B4B0" w14:textId="77777777" w:rsidTr="00EC21D5">
        <w:trPr>
          <w:trHeight w:val="1645"/>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5"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A39G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6" w14:textId="319E5D03"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A2.4 Renforcement des mécanismes de coopération entre la science et l'industrie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7"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8" w14:textId="77777777" w:rsidR="003C4798" w:rsidRDefault="00417595">
            <w:pPr>
              <w:pStyle w:val="P68B1DB1-Normal019"/>
              <w:spacing w:after="0" w:line="240" w:lineRule="auto"/>
              <w:rPr>
                <w:rFonts w:eastAsia="Times New Roman" w:cs="Times New Roman"/>
                <w:noProof/>
                <w:color w:val="000000" w:themeColor="text1"/>
                <w:szCs w:val="18"/>
              </w:rPr>
            </w:pPr>
            <w:r>
              <w:rPr>
                <w:noProof/>
              </w:rPr>
              <w:t>Établissement de règles pour l'utilisation des laboratoires et le transfert de connaissances des instituts supervisés par le ministre de l'Agriculture et du Développement rural</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9" w14:textId="6C6674DE"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Document contenant les règles établies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A"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B"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C"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F" w14:textId="549828EA"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Les règles relatives à l'utilisation des laboratoires et au transfert de connaissances déterminent les procédures relatives à l'utilisation de l'infrastructure de recherche dans le cadre de la coopération science-science et science-entreprise. Les dispositions respectent les principes de non-discrimination et de transparence.</w:t>
            </w:r>
          </w:p>
        </w:tc>
      </w:tr>
      <w:tr w:rsidR="003C4798" w14:paraId="1216B4BC" w14:textId="77777777" w:rsidTr="00EC21D5">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1"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A40G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2" w14:textId="23631961"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A2.4.1 Investissements dans les capacités de recherche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3"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4" w14:textId="2BD1572F"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bookmarkStart w:id="3" w:name="_Hlk200446949"/>
            <w:r>
              <w:rPr>
                <w:noProof/>
              </w:rPr>
              <w:t>Projets pour les laboratoires disposant d'une infrastructure de recherche ou d'analyse</w:t>
            </w:r>
            <w:bookmarkEnd w:id="3"/>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5"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7"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8" w14:textId="77777777" w:rsidR="003C4798" w:rsidRDefault="00417595">
            <w:pPr>
              <w:pStyle w:val="P68B1DB1-Normal020"/>
              <w:spacing w:after="0" w:line="240" w:lineRule="auto"/>
              <w:jc w:val="center"/>
              <w:rPr>
                <w:rFonts w:eastAsia="Times New Roman" w:cs="Times New Roman"/>
                <w:noProof/>
                <w:color w:val="000000"/>
              </w:rPr>
            </w:pPr>
            <w:r>
              <w:rPr>
                <w:noProof/>
              </w:rPr>
              <w:t>54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9"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B" w14:textId="11EC7098"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bookmarkStart w:id="4" w:name="_Hlk208607661"/>
            <w:r>
              <w:rPr>
                <w:noProof/>
              </w:rPr>
              <w:t>Protocoles d'acceptation de projets ou demandes de paiement final pour des projets sur des laboratoires dotés d'une infrastructure de recherche ou d'analyse.</w:t>
            </w:r>
            <w:bookmarkEnd w:id="4"/>
          </w:p>
        </w:tc>
      </w:tr>
    </w:tbl>
    <w:p w14:paraId="1216B4BD" w14:textId="20D37DD1" w:rsidR="003C4798" w:rsidRDefault="003C4798">
      <w:pPr>
        <w:rPr>
          <w:noProof/>
        </w:rPr>
      </w:pPr>
    </w:p>
    <w:p w14:paraId="1216B4BF" w14:textId="77777777" w:rsidR="003C4798" w:rsidRDefault="00417595">
      <w:pPr>
        <w:pStyle w:val="P68B1DB1-Normal27"/>
        <w:rPr>
          <w:rFonts w:eastAsia="Times New Roman" w:cs="Times New Roman"/>
          <w:noProof/>
          <w:szCs w:val="24"/>
        </w:rPr>
      </w:pPr>
      <w:r>
        <w:rPr>
          <w:noProof/>
        </w:rPr>
        <w:t>A3 – ÉDUCATION</w:t>
      </w:r>
    </w:p>
    <w:tbl>
      <w:tblPr>
        <w:tblW w:w="15208" w:type="dxa"/>
        <w:tblInd w:w="-2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998"/>
        <w:gridCol w:w="1843"/>
        <w:gridCol w:w="1276"/>
        <w:gridCol w:w="2126"/>
        <w:gridCol w:w="1559"/>
        <w:gridCol w:w="992"/>
        <w:gridCol w:w="993"/>
        <w:gridCol w:w="992"/>
        <w:gridCol w:w="1134"/>
        <w:gridCol w:w="850"/>
        <w:gridCol w:w="2436"/>
        <w:gridCol w:w="9"/>
      </w:tblGrid>
      <w:tr w:rsidR="003C4798" w14:paraId="1216B4C8" w14:textId="77777777" w:rsidTr="00EC21D5">
        <w:trPr>
          <w:trHeight w:val="747"/>
          <w:tblHeader/>
        </w:trPr>
        <w:tc>
          <w:tcPr>
            <w:tcW w:w="99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0"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184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1"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Mesure connexe (réforme ou investissement)</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2"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21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3"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4" w14:textId="61516646"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Indicateurs qualitatifs</w:t>
            </w:r>
            <w:r>
              <w:rPr>
                <w:noProof/>
              </w:rPr>
              <w:br/>
            </w:r>
            <w:r>
              <w:rPr>
                <w:rFonts w:ascii="Times New Roman" w:hAnsi="Times New Roman"/>
                <w:b/>
                <w:noProof/>
                <w:color w:val="000000" w:themeColor="text1"/>
                <w:sz w:val="18"/>
              </w:rPr>
              <w:t>(pour les jalons)</w:t>
            </w:r>
          </w:p>
        </w:tc>
        <w:tc>
          <w:tcPr>
            <w:tcW w:w="2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5" w14:textId="05F1EB63"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Indicateurs quantitatifs</w:t>
            </w:r>
            <w:r>
              <w:rPr>
                <w:noProof/>
              </w:rPr>
              <w:br/>
            </w:r>
            <w:r>
              <w:rPr>
                <w:rFonts w:ascii="Times New Roman" w:hAnsi="Times New Roman"/>
                <w:b/>
                <w:noProof/>
                <w:color w:val="000000" w:themeColor="text1"/>
                <w:sz w:val="18"/>
              </w:rPr>
              <w:t>(pour les objectifs)</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6"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Calendrier indicatif d'achèvement</w:t>
            </w:r>
          </w:p>
        </w:tc>
        <w:tc>
          <w:tcPr>
            <w:tcW w:w="244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7"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3C4798" w14:paraId="1216B4D4" w14:textId="77777777" w:rsidTr="00EC21D5">
        <w:trPr>
          <w:trHeight w:val="647"/>
        </w:trPr>
        <w:tc>
          <w:tcPr>
            <w:tcW w:w="998" w:type="dxa"/>
            <w:vMerge/>
            <w:vAlign w:val="center"/>
          </w:tcPr>
          <w:p w14:paraId="1216B4C9"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43" w:type="dxa"/>
            <w:vMerge/>
            <w:vAlign w:val="center"/>
          </w:tcPr>
          <w:p w14:paraId="1216B4CA"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4CB"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4CC"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59" w:type="dxa"/>
            <w:vMerge/>
            <w:vAlign w:val="center"/>
          </w:tcPr>
          <w:p w14:paraId="1216B4CD"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bottom w:val="single" w:sz="4" w:space="0" w:color="auto"/>
            </w:tcBorders>
            <w:shd w:val="clear" w:color="auto" w:fill="BDD7EE"/>
            <w:vAlign w:val="center"/>
          </w:tcPr>
          <w:p w14:paraId="1216B4CE"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993" w:type="dxa"/>
            <w:tcBorders>
              <w:bottom w:val="single" w:sz="4" w:space="0" w:color="auto"/>
            </w:tcBorders>
            <w:shd w:val="clear" w:color="auto" w:fill="BDD7EE"/>
            <w:vAlign w:val="center"/>
          </w:tcPr>
          <w:p w14:paraId="1216B4CF"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992" w:type="dxa"/>
            <w:tcBorders>
              <w:bottom w:val="single" w:sz="4" w:space="0" w:color="auto"/>
            </w:tcBorders>
            <w:shd w:val="clear" w:color="auto" w:fill="BDD7EE"/>
            <w:vAlign w:val="center"/>
          </w:tcPr>
          <w:p w14:paraId="1216B4D0"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134" w:type="dxa"/>
            <w:tcBorders>
              <w:bottom w:val="single" w:sz="4" w:space="0" w:color="auto"/>
            </w:tcBorders>
            <w:shd w:val="clear" w:color="auto" w:fill="BDD7EE"/>
            <w:vAlign w:val="center"/>
          </w:tcPr>
          <w:p w14:paraId="1216B4D1"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850" w:type="dxa"/>
            <w:tcBorders>
              <w:bottom w:val="single" w:sz="4" w:space="0" w:color="auto"/>
            </w:tcBorders>
            <w:shd w:val="clear" w:color="auto" w:fill="BDD7EE"/>
            <w:vAlign w:val="center"/>
          </w:tcPr>
          <w:p w14:paraId="1216B4D2"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2445" w:type="dxa"/>
            <w:gridSpan w:val="2"/>
            <w:vMerge/>
            <w:vAlign w:val="center"/>
          </w:tcPr>
          <w:p w14:paraId="1216B4D3"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C4798" w14:paraId="1216B4EA" w14:textId="77777777" w:rsidTr="00EC21D5">
        <w:trPr>
          <w:gridAfter w:val="1"/>
          <w:wAfter w:w="9" w:type="dxa"/>
          <w:trHeight w:val="313"/>
        </w:trPr>
        <w:tc>
          <w:tcPr>
            <w:tcW w:w="998" w:type="dxa"/>
            <w:tcBorders>
              <w:top w:val="single" w:sz="4" w:space="0" w:color="auto"/>
              <w:left w:val="single" w:sz="4" w:space="0" w:color="auto"/>
              <w:bottom w:val="single" w:sz="4" w:space="0" w:color="auto"/>
              <w:right w:val="single" w:sz="4" w:space="0" w:color="auto"/>
            </w:tcBorders>
            <w:shd w:val="clear" w:color="auto" w:fill="C6EFCE"/>
          </w:tcPr>
          <w:p w14:paraId="1216B4D5"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b/>
                <w:noProof/>
                <w:color w:val="000000"/>
                <w:szCs w:val="18"/>
              </w:rPr>
            </w:pPr>
            <w:r>
              <w:rPr>
                <w:noProof/>
              </w:rPr>
              <w:t>A41G</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1216B4D6" w14:textId="6E384C4A"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A3.1 Main-d'œuvre pour l'économie moderne: améliorer la mise en adéquation des compétences et des qualifications avec les exigences du marché du travail</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216B4D7"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tcBorders>
              <w:top w:val="single" w:sz="4" w:space="0" w:color="auto"/>
              <w:left w:val="single" w:sz="4" w:space="0" w:color="auto"/>
              <w:bottom w:val="single" w:sz="4" w:space="0" w:color="auto"/>
              <w:right w:val="single" w:sz="4" w:space="0" w:color="auto"/>
            </w:tcBorders>
            <w:shd w:val="clear" w:color="auto" w:fill="C6EFCE"/>
          </w:tcPr>
          <w:p w14:paraId="1216B4D8" w14:textId="77777777" w:rsidR="003C4798" w:rsidRDefault="00417595">
            <w:pPr>
              <w:pStyle w:val="P68B1DB1-Normal020"/>
              <w:pBdr>
                <w:top w:val="nil"/>
                <w:left w:val="nil"/>
                <w:bottom w:val="nil"/>
                <w:right w:val="nil"/>
                <w:between w:val="nil"/>
              </w:pBdr>
              <w:spacing w:after="0" w:line="240" w:lineRule="auto"/>
              <w:rPr>
                <w:noProof/>
              </w:rPr>
            </w:pPr>
            <w:r>
              <w:rPr>
                <w:noProof/>
              </w:rPr>
              <w:t>Entrée en vigueur des actes juridiques (y compris l’acte modifiant la loi sur l’éducation) établissant le cadre juridique du réseau de centres sectoriels de compétences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216B4D9" w14:textId="00D399B0"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Dispositions de l'acte ou des actes juridiques indiquant leur entrée en vigueur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216B4DA"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16B4DB"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216B4DC"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216B4D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216B4D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2436" w:type="dxa"/>
            <w:tcBorders>
              <w:top w:val="single" w:sz="4" w:space="0" w:color="auto"/>
              <w:left w:val="single" w:sz="4" w:space="0" w:color="auto"/>
              <w:bottom w:val="single" w:sz="4" w:space="0" w:color="auto"/>
              <w:right w:val="single" w:sz="4" w:space="0" w:color="auto"/>
            </w:tcBorders>
            <w:shd w:val="clear" w:color="auto" w:fill="C6EFCE"/>
          </w:tcPr>
          <w:p w14:paraId="1216B4DF" w14:textId="36A8364F"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Entrée en vigueur des actes juridiques (y compris l’acte modifiant la loi sur l’éducation) qui établissent le cadre juridique du réseau de centres sectoriels de compétences, en prévoyant un perfectionnement et une reconversion ciblés adaptés aux besoins du marché du travail. La modification de la loi sur l’éducation se fait en consultation avec les parties prenantes, y compris les représentants du secteur, les partenaires sociaux et les autorités régionales.</w:t>
            </w:r>
          </w:p>
          <w:p w14:paraId="1216B4E0" w14:textId="77777777" w:rsidR="003C4798" w:rsidRDefault="003C4798">
            <w:pPr>
              <w:pStyle w:val="Normal0"/>
              <w:pBdr>
                <w:top w:val="nil"/>
                <w:left w:val="nil"/>
                <w:bottom w:val="nil"/>
                <w:right w:val="nil"/>
                <w:between w:val="nil"/>
              </w:pBdr>
              <w:spacing w:after="0" w:line="240" w:lineRule="auto"/>
              <w:rPr>
                <w:noProof/>
              </w:rPr>
            </w:pPr>
          </w:p>
          <w:p w14:paraId="1216B4E1" w14:textId="77777777" w:rsidR="003C4798" w:rsidRDefault="00417595">
            <w:pPr>
              <w:pStyle w:val="P68B1DB1-Normal020"/>
              <w:pBdr>
                <w:top w:val="nil"/>
                <w:left w:val="nil"/>
                <w:bottom w:val="nil"/>
                <w:right w:val="nil"/>
                <w:between w:val="nil"/>
              </w:pBdr>
              <w:spacing w:after="0" w:line="240" w:lineRule="auto"/>
              <w:rPr>
                <w:noProof/>
              </w:rPr>
            </w:pPr>
            <w:r>
              <w:rPr>
                <w:noProof/>
              </w:rPr>
              <w:t>Les actes juridiques:</w:t>
            </w:r>
          </w:p>
          <w:p w14:paraId="1216B4E2" w14:textId="77777777" w:rsidR="003C4798" w:rsidRDefault="00417595">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prévoir un plan de développement pour le réseau des centres de compétences;</w:t>
            </w:r>
          </w:p>
          <w:p w14:paraId="1216B4E3" w14:textId="77777777" w:rsidR="003C4798" w:rsidRDefault="00417595">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Déterminer le rôle des centres de compétences dans le système d'éducation et de formation;</w:t>
            </w:r>
          </w:p>
          <w:p w14:paraId="1216B4E4" w14:textId="77777777" w:rsidR="003C4798" w:rsidRDefault="00417595">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Déterminer les conditions d'emploi du personnel dans les centres de compétences;</w:t>
            </w:r>
          </w:p>
          <w:p w14:paraId="1216B4E5" w14:textId="77777777" w:rsidR="003C4798" w:rsidRDefault="00417595">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Établir des dispositions pour des examens réguliers afin d'assurer la supervision des centres sectoriels de compétences;</w:t>
            </w:r>
          </w:p>
          <w:p w14:paraId="1216B4E6" w14:textId="77777777" w:rsidR="003C4798" w:rsidRDefault="00417595">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adapter un système de gouvernance existant avec des dispositions adaptées sur la gouvernance des centres de compétences, y compris les employeurs (y compris les représentants des PME), les partenaires sociaux et d’autres parties prenantes concernées, y compris les autorités régionales et locales;</w:t>
            </w:r>
          </w:p>
          <w:p w14:paraId="1216B4E7" w14:textId="77777777" w:rsidR="003C4798" w:rsidRDefault="00417595">
            <w:pPr>
              <w:pStyle w:val="P68B1DB1-Normal019"/>
              <w:numPr>
                <w:ilvl w:val="0"/>
                <w:numId w:val="4"/>
              </w:numPr>
              <w:pBdr>
                <w:top w:val="nil"/>
                <w:left w:val="nil"/>
                <w:bottom w:val="nil"/>
                <w:right w:val="nil"/>
                <w:between w:val="nil"/>
              </w:pBdr>
              <w:spacing w:after="0" w:line="240" w:lineRule="auto"/>
              <w:ind w:left="314"/>
              <w:rPr>
                <w:rFonts w:eastAsia="Times New Roman" w:cs="Times New Roman"/>
                <w:noProof/>
                <w:color w:val="000000" w:themeColor="text1"/>
                <w:szCs w:val="18"/>
              </w:rPr>
            </w:pPr>
            <w:r>
              <w:rPr>
                <w:noProof/>
                <w:szCs w:val="18"/>
              </w:rPr>
              <w:t>Établir des mécanismes de financement, des conditions de formation, des dispositions relatives à l'orientation professionnelle et des programmes d'études; et</w:t>
            </w:r>
          </w:p>
          <w:p w14:paraId="1216B4E8" w14:textId="77777777" w:rsidR="003C4798" w:rsidRDefault="00417595">
            <w:pPr>
              <w:pStyle w:val="P68B1DB1-Normal020"/>
              <w:numPr>
                <w:ilvl w:val="0"/>
                <w:numId w:val="4"/>
              </w:numPr>
              <w:pBdr>
                <w:top w:val="nil"/>
                <w:left w:val="nil"/>
                <w:bottom w:val="nil"/>
                <w:right w:val="nil"/>
                <w:between w:val="nil"/>
              </w:pBdr>
              <w:spacing w:after="0" w:line="240" w:lineRule="auto"/>
              <w:ind w:left="314"/>
              <w:rPr>
                <w:rFonts w:eastAsia="Times New Roman" w:cs="Times New Roman"/>
                <w:noProof/>
              </w:rPr>
            </w:pPr>
            <w:r>
              <w:rPr>
                <w:noProof/>
              </w:rPr>
              <w:t>Identifier les types de formation dispensée, les groupes cibles, les types de qualifications et de normes, les mécanismes d’assurance et de vérification de la qualité, prévoir que les secteurs sont liés aux centres de compétences.</w:t>
            </w:r>
          </w:p>
          <w:p w14:paraId="1216B4E9" w14:textId="77777777" w:rsidR="003C4798" w:rsidRDefault="00417595">
            <w:pPr>
              <w:pStyle w:val="P68B1DB1-Text128"/>
              <w:pBdr>
                <w:top w:val="nil"/>
                <w:left w:val="nil"/>
                <w:bottom w:val="nil"/>
                <w:right w:val="nil"/>
                <w:between w:val="nil"/>
              </w:pBdr>
              <w:spacing w:after="0"/>
              <w:ind w:left="0"/>
              <w:rPr>
                <w:noProof/>
                <w:color w:val="000000"/>
              </w:rPr>
            </w:pPr>
            <w:r>
              <w:rPr>
                <w:noProof/>
              </w:rPr>
              <w:t>L’inclusion des personnes handicapées doit également être abordée.</w:t>
            </w:r>
          </w:p>
        </w:tc>
      </w:tr>
      <w:tr w:rsidR="003C4798" w14:paraId="1216B4F7" w14:textId="77777777" w:rsidTr="00EC21D5">
        <w:trPr>
          <w:gridAfter w:val="1"/>
          <w:wAfter w:w="9" w:type="dxa"/>
          <w:trHeight w:val="313"/>
        </w:trPr>
        <w:tc>
          <w:tcPr>
            <w:tcW w:w="998" w:type="dxa"/>
            <w:tcBorders>
              <w:top w:val="single" w:sz="4" w:space="0" w:color="auto"/>
            </w:tcBorders>
            <w:shd w:val="clear" w:color="auto" w:fill="C6EFCE"/>
          </w:tcPr>
          <w:p w14:paraId="1216B4EB"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A42G</w:t>
            </w:r>
          </w:p>
        </w:tc>
        <w:tc>
          <w:tcPr>
            <w:tcW w:w="1843" w:type="dxa"/>
            <w:tcBorders>
              <w:top w:val="single" w:sz="4" w:space="0" w:color="auto"/>
            </w:tcBorders>
            <w:shd w:val="clear" w:color="auto" w:fill="C6EFCE"/>
          </w:tcPr>
          <w:p w14:paraId="1216B4EC"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A3.1 Main-d'œuvre pour l'économie moderne: améliorer la mise en adéquation des compétences et des qualifications avec les exigences du marché du travail </w:t>
            </w:r>
          </w:p>
        </w:tc>
        <w:tc>
          <w:tcPr>
            <w:tcW w:w="1276" w:type="dxa"/>
            <w:tcBorders>
              <w:top w:val="single" w:sz="4" w:space="0" w:color="auto"/>
            </w:tcBorders>
            <w:shd w:val="clear" w:color="auto" w:fill="C6EFCE"/>
          </w:tcPr>
          <w:p w14:paraId="1216B4ED"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Étape</w:t>
            </w:r>
          </w:p>
        </w:tc>
        <w:tc>
          <w:tcPr>
            <w:tcW w:w="2126" w:type="dxa"/>
            <w:tcBorders>
              <w:top w:val="single" w:sz="4" w:space="0" w:color="auto"/>
            </w:tcBorders>
            <w:shd w:val="clear" w:color="auto" w:fill="C6EFCE"/>
          </w:tcPr>
          <w:p w14:paraId="1216B4EE"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Entrée en vigueur des actes juridiques (y compris la loi modifiant la loi sur les enseignants) permettant la mise en œuvre de la formation professionnelle des enseignants dans les centres sectoriels de compétences</w:t>
            </w:r>
          </w:p>
        </w:tc>
        <w:tc>
          <w:tcPr>
            <w:tcW w:w="1559" w:type="dxa"/>
            <w:tcBorders>
              <w:top w:val="single" w:sz="4" w:space="0" w:color="auto"/>
            </w:tcBorders>
            <w:shd w:val="clear" w:color="auto" w:fill="C6EFCE"/>
          </w:tcPr>
          <w:p w14:paraId="1216B4EF" w14:textId="7A3A3353"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Dispositions permettant la mise en œuvre de la formation professionnelle des enseignants dans les centres sectoriels de compétences</w:t>
            </w:r>
          </w:p>
        </w:tc>
        <w:tc>
          <w:tcPr>
            <w:tcW w:w="992" w:type="dxa"/>
            <w:tcBorders>
              <w:top w:val="single" w:sz="4" w:space="0" w:color="auto"/>
            </w:tcBorders>
            <w:shd w:val="clear" w:color="auto" w:fill="C6EFCE"/>
          </w:tcPr>
          <w:p w14:paraId="1216B4F0"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auto"/>
            </w:tcBorders>
            <w:shd w:val="clear" w:color="auto" w:fill="C6EFCE"/>
          </w:tcPr>
          <w:p w14:paraId="1216B4F1"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auto"/>
            </w:tcBorders>
            <w:shd w:val="clear" w:color="auto" w:fill="C6EFCE"/>
          </w:tcPr>
          <w:p w14:paraId="1216B4F2"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auto"/>
            </w:tcBorders>
            <w:shd w:val="clear" w:color="auto" w:fill="C6EFCE"/>
          </w:tcPr>
          <w:p w14:paraId="1216B4F3"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T3</w:t>
            </w:r>
          </w:p>
        </w:tc>
        <w:tc>
          <w:tcPr>
            <w:tcW w:w="850" w:type="dxa"/>
            <w:tcBorders>
              <w:top w:val="single" w:sz="4" w:space="0" w:color="auto"/>
            </w:tcBorders>
            <w:shd w:val="clear" w:color="auto" w:fill="C6EFCE"/>
          </w:tcPr>
          <w:p w14:paraId="1216B4F4"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2023</w:t>
            </w:r>
          </w:p>
        </w:tc>
        <w:tc>
          <w:tcPr>
            <w:tcW w:w="2436" w:type="dxa"/>
            <w:tcBorders>
              <w:top w:val="single" w:sz="4" w:space="0" w:color="auto"/>
            </w:tcBorders>
            <w:shd w:val="clear" w:color="auto" w:fill="C6EFCE"/>
          </w:tcPr>
          <w:p w14:paraId="1216B4F5" w14:textId="77777777" w:rsidR="003C4798" w:rsidRDefault="00417595">
            <w:pPr>
              <w:pStyle w:val="P68B1DB1-Normal020"/>
              <w:pBdr>
                <w:top w:val="nil"/>
                <w:left w:val="nil"/>
                <w:bottom w:val="nil"/>
                <w:right w:val="nil"/>
                <w:between w:val="nil"/>
              </w:pBdr>
              <w:spacing w:after="0" w:line="240" w:lineRule="auto"/>
              <w:rPr>
                <w:noProof/>
              </w:rPr>
            </w:pPr>
            <w:r>
              <w:rPr>
                <w:noProof/>
              </w:rPr>
              <w:t>L’entrée en vigueur des actes juridiques (y compris la loi modifiant la loi sur les enseignants) permet aux centres sectoriels de compétences d’assurer la formation professionnelle des enseignants, y compris la formation des enseignants à l’utilisation des nouvelles technologies.</w:t>
            </w:r>
          </w:p>
          <w:p w14:paraId="08E7DE81"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p w14:paraId="1216B4F6" w14:textId="5B047906"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Les actes juridiques déterminent le cadre de la formation des enseignants dans les centres de compétences.</w:t>
            </w:r>
          </w:p>
        </w:tc>
      </w:tr>
      <w:tr w:rsidR="003C4798" w14:paraId="1216B503" w14:textId="77777777" w:rsidTr="00EC21D5">
        <w:trPr>
          <w:gridAfter w:val="1"/>
          <w:wAfter w:w="9" w:type="dxa"/>
          <w:trHeight w:val="313"/>
        </w:trPr>
        <w:tc>
          <w:tcPr>
            <w:tcW w:w="998" w:type="dxa"/>
            <w:shd w:val="clear" w:color="auto" w:fill="C6EFCE"/>
          </w:tcPr>
          <w:p w14:paraId="1216B4F8" w14:textId="77777777" w:rsidR="003C4798" w:rsidRDefault="00417595">
            <w:pPr>
              <w:pStyle w:val="P68B1DB1-Normal023"/>
              <w:pBdr>
                <w:top w:val="nil"/>
                <w:left w:val="nil"/>
                <w:bottom w:val="nil"/>
                <w:right w:val="nil"/>
                <w:between w:val="nil"/>
              </w:pBdr>
              <w:spacing w:after="0" w:line="240" w:lineRule="auto"/>
              <w:jc w:val="center"/>
              <w:rPr>
                <w:rFonts w:cs="Times New Roman"/>
                <w:noProof/>
                <w:szCs w:val="18"/>
              </w:rPr>
            </w:pPr>
            <w:r>
              <w:rPr>
                <w:noProof/>
              </w:rPr>
              <w:t>A43G</w:t>
            </w:r>
          </w:p>
        </w:tc>
        <w:tc>
          <w:tcPr>
            <w:tcW w:w="1843" w:type="dxa"/>
            <w:shd w:val="clear" w:color="auto" w:fill="C6EFCE"/>
          </w:tcPr>
          <w:p w14:paraId="1216B4F9" w14:textId="587ACB0F"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A3.1 Main-d'œuvre pour l'économie moderne: améliorer la mise en adéquation des compétences et des qualifications avec les exigences du marché du travail</w:t>
            </w:r>
          </w:p>
        </w:tc>
        <w:tc>
          <w:tcPr>
            <w:tcW w:w="1276" w:type="dxa"/>
            <w:shd w:val="clear" w:color="auto" w:fill="C6EFCE"/>
          </w:tcPr>
          <w:p w14:paraId="1216B4F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126" w:type="dxa"/>
            <w:shd w:val="clear" w:color="auto" w:fill="C6EFCE"/>
          </w:tcPr>
          <w:p w14:paraId="1216B4FB" w14:textId="226003B4"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Entrée en vigueur du ou des actes juridiques définissant les responsabilités des régions en ce qui concerne les politiques en matière de compétences</w:t>
            </w:r>
          </w:p>
        </w:tc>
        <w:tc>
          <w:tcPr>
            <w:tcW w:w="1559" w:type="dxa"/>
            <w:shd w:val="clear" w:color="auto" w:fill="C6EFCE"/>
          </w:tcPr>
          <w:p w14:paraId="1216B4FC"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Dispositions de l’acte ou des actes juridiques indiquant les dates d’entrée en vigueur</w:t>
            </w:r>
          </w:p>
        </w:tc>
        <w:tc>
          <w:tcPr>
            <w:tcW w:w="992" w:type="dxa"/>
            <w:shd w:val="clear" w:color="auto" w:fill="C6EFCE"/>
          </w:tcPr>
          <w:p w14:paraId="1216B4FD"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shd w:val="clear" w:color="auto" w:fill="C6EFCE"/>
          </w:tcPr>
          <w:p w14:paraId="1216B4FE"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shd w:val="clear" w:color="auto" w:fill="C6EFCE"/>
          </w:tcPr>
          <w:p w14:paraId="1216B4FF"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shd w:val="clear" w:color="auto" w:fill="C6EFCE"/>
          </w:tcPr>
          <w:p w14:paraId="1216B50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T1</w:t>
            </w:r>
          </w:p>
        </w:tc>
        <w:tc>
          <w:tcPr>
            <w:tcW w:w="850" w:type="dxa"/>
            <w:shd w:val="clear" w:color="auto" w:fill="C6EFCE"/>
          </w:tcPr>
          <w:p w14:paraId="1216B50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436" w:type="dxa"/>
            <w:shd w:val="clear" w:color="auto" w:fill="C6EFCE"/>
          </w:tcPr>
          <w:p w14:paraId="1216B502" w14:textId="77777777" w:rsidR="003C4798" w:rsidRDefault="00417595">
            <w:pPr>
              <w:pStyle w:val="P68B1DB1-Normal020"/>
              <w:pBdr>
                <w:top w:val="nil"/>
                <w:left w:val="nil"/>
                <w:bottom w:val="nil"/>
                <w:right w:val="nil"/>
                <w:between w:val="nil"/>
              </w:pBdr>
              <w:spacing w:after="0" w:line="240" w:lineRule="auto"/>
              <w:rPr>
                <w:noProof/>
              </w:rPr>
            </w:pPr>
            <w:r>
              <w:rPr>
                <w:noProof/>
              </w:rPr>
              <w:t>Le ou les actes juridiques définissent les responsabilités des régions en ce qui concerne les politiques en matière de compétences et définissent le mandat des équipes de coordination régionale, y compris l’obligation de surveiller la politique régionale en matière de compétences.</w:t>
            </w:r>
          </w:p>
        </w:tc>
      </w:tr>
      <w:tr w:rsidR="003C4798" w14:paraId="1216B514" w14:textId="77777777" w:rsidTr="00EC21D5">
        <w:trPr>
          <w:gridAfter w:val="1"/>
          <w:wAfter w:w="9" w:type="dxa"/>
          <w:trHeight w:val="4060"/>
        </w:trPr>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4" w14:textId="77777777" w:rsidR="003C4798" w:rsidRDefault="00417595">
            <w:pPr>
              <w:pStyle w:val="P68B1DB1-Normal023"/>
              <w:pBdr>
                <w:top w:val="nil"/>
                <w:left w:val="nil"/>
                <w:bottom w:val="nil"/>
                <w:right w:val="nil"/>
                <w:between w:val="nil"/>
              </w:pBdr>
              <w:spacing w:after="0" w:line="240" w:lineRule="auto"/>
              <w:jc w:val="center"/>
              <w:rPr>
                <w:rFonts w:cs="Times New Roman"/>
                <w:noProof/>
                <w:szCs w:val="18"/>
              </w:rPr>
            </w:pPr>
            <w:r>
              <w:rPr>
                <w:noProof/>
              </w:rPr>
              <w:t>A44G</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5"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Investissements dans la formation professionnelle moderne, l'enseignement supérieur et l'apprentissage tout au long de la vie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7" w14:textId="25CFE90C"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T1 - Mise en place d’un réseau de centres sectoriels de compétences fournissant des services de perfectionnement et de reconversion professionnels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8"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9"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Numéro</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10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C"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2024</w:t>
            </w:r>
          </w:p>
        </w:tc>
        <w:tc>
          <w:tcPr>
            <w:tcW w:w="2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E" w14:textId="77777777"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Fonts w:ascii="Times New Roman" w:hAnsi="Times New Roman"/>
                <w:noProof/>
                <w:color w:val="000000" w:themeColor="text1"/>
                <w:sz w:val="18"/>
                <w:szCs w:val="18"/>
              </w:rPr>
              <w:t>Création de 10 centres sectoriels de compétences pour dispenser une formation sectorielle à l’EFP, y compris aux apprenants, aux étudiants, aux enseignants de l’enseignement et de la formation professionnels (EFP) et à d’autres adultes. Il s'agit notamment:</w:t>
            </w:r>
            <w:r>
              <w:rPr>
                <w:noProof/>
              </w:rPr>
              <w:br/>
            </w:r>
            <w:r>
              <w:rPr>
                <w:rFonts w:ascii="Times New Roman" w:hAnsi="Times New Roman"/>
                <w:noProof/>
                <w:color w:val="000000" w:themeColor="text1"/>
                <w:sz w:val="18"/>
                <w:szCs w:val="18"/>
              </w:rPr>
              <w:t>• la construction, la reconstruction, l’agrandissement ou la rénovation de centres de compétences;</w:t>
            </w:r>
            <w:r>
              <w:rPr>
                <w:noProof/>
              </w:rPr>
              <w:t xml:space="preserve"> </w:t>
            </w:r>
            <w:r>
              <w:rPr>
                <w:noProof/>
              </w:rPr>
              <w:br/>
            </w:r>
            <w:r>
              <w:rPr>
                <w:rFonts w:ascii="Times New Roman" w:hAnsi="Times New Roman"/>
                <w:noProof/>
                <w:color w:val="000000" w:themeColor="text1"/>
                <w:sz w:val="18"/>
                <w:szCs w:val="18"/>
              </w:rPr>
              <w:t>• l'achat d'équipements;</w:t>
            </w:r>
            <w:r>
              <w:rPr>
                <w:noProof/>
              </w:rPr>
              <w:br/>
            </w:r>
            <w:r>
              <w:rPr>
                <w:rFonts w:ascii="Times New Roman" w:hAnsi="Times New Roman"/>
                <w:noProof/>
                <w:color w:val="000000" w:themeColor="text1"/>
                <w:sz w:val="18"/>
                <w:szCs w:val="18"/>
              </w:rPr>
              <w:t>• la structure institutionnelle des centres, y compris la participation des organisations sectorielles;</w:t>
            </w:r>
          </w:p>
          <w:p w14:paraId="1216B50F"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 xml:space="preserve">• </w:t>
            </w:r>
            <w:r>
              <w:rPr>
                <w:noProof/>
                <w:szCs w:val="18"/>
              </w:rPr>
              <w:t>l'embauche de personnel;</w:t>
            </w:r>
          </w:p>
          <w:p w14:paraId="1216B510" w14:textId="79CCE0E7"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 un ensemble de programmes d’études à dispenser au centre, avec des cours choisis contenant des dimensions vertes et numériques pour chaque centre.</w:t>
            </w:r>
          </w:p>
          <w:p w14:paraId="1216B511" w14:textId="77777777" w:rsidR="003C4798" w:rsidRDefault="003C4798">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themeColor="text1"/>
                <w:sz w:val="18"/>
                <w:szCs w:val="18"/>
              </w:rPr>
            </w:pPr>
          </w:p>
          <w:p w14:paraId="1216B512" w14:textId="77777777" w:rsidR="003C4798" w:rsidRDefault="00417595">
            <w:pPr>
              <w:pStyle w:val="P68B1DB1-Normal020"/>
              <w:pBdr>
                <w:top w:val="nil"/>
                <w:left w:val="nil"/>
                <w:bottom w:val="nil"/>
                <w:right w:val="nil"/>
                <w:between w:val="nil"/>
              </w:pBdr>
              <w:spacing w:after="0" w:line="240" w:lineRule="auto"/>
              <w:rPr>
                <w:noProof/>
              </w:rPr>
            </w:pPr>
            <w:r>
              <w:rPr>
                <w:noProof/>
              </w:rPr>
              <w:t>La construction de nouveaux bâtiments est conforme à la norme relative aux bâtiments à consommation d’énergie quasi nulle, telle que définie dans la directive sur la performance énergétique des bâtiments.</w:t>
            </w:r>
          </w:p>
          <w:p w14:paraId="1216B513" w14:textId="0FA3CBBE" w:rsidR="003C4798" w:rsidRDefault="00417595" w:rsidP="00EC21D5">
            <w:pPr>
              <w:pStyle w:val="P68B1DB1-Normal020"/>
              <w:pBdr>
                <w:top w:val="nil"/>
                <w:left w:val="nil"/>
                <w:bottom w:val="nil"/>
                <w:right w:val="nil"/>
                <w:between w:val="nil"/>
              </w:pBdr>
              <w:spacing w:after="0" w:line="240" w:lineRule="auto"/>
              <w:rPr>
                <w:noProof/>
              </w:rPr>
            </w:pPr>
            <w:r>
              <w:rPr>
                <w:noProof/>
              </w:rPr>
              <w:t>Des études de faisabilité devraient être menées avant l'achèvement</w:t>
            </w:r>
            <w:r w:rsidR="00EC21D5">
              <w:rPr>
                <w:noProof/>
              </w:rPr>
              <w:t xml:space="preserve"> </w:t>
            </w:r>
            <w:r>
              <w:rPr>
                <w:noProof/>
              </w:rPr>
              <w:t>de l'investissement.</w:t>
            </w:r>
          </w:p>
        </w:tc>
      </w:tr>
      <w:tr w:rsidR="003C4798" w14:paraId="1216B528" w14:textId="77777777" w:rsidTr="00EC21D5">
        <w:trPr>
          <w:gridAfter w:val="1"/>
          <w:wAfter w:w="9" w:type="dxa"/>
          <w:trHeight w:val="300"/>
        </w:trPr>
        <w:tc>
          <w:tcPr>
            <w:tcW w:w="998" w:type="dxa"/>
            <w:shd w:val="clear" w:color="auto" w:fill="C6EFCE"/>
          </w:tcPr>
          <w:p w14:paraId="1216B515" w14:textId="77777777" w:rsidR="003C4798" w:rsidRDefault="00417595">
            <w:pPr>
              <w:pStyle w:val="P68B1DB1-Normal018"/>
              <w:pBdr>
                <w:top w:val="nil"/>
                <w:left w:val="nil"/>
                <w:bottom w:val="nil"/>
                <w:right w:val="nil"/>
                <w:between w:val="nil"/>
              </w:pBdr>
              <w:spacing w:after="0" w:line="240" w:lineRule="auto"/>
              <w:jc w:val="center"/>
              <w:rPr>
                <w:rFonts w:cs="Times New Roman"/>
                <w:noProof/>
              </w:rPr>
            </w:pPr>
            <w:r>
              <w:rPr>
                <w:noProof/>
              </w:rPr>
              <w:t>A45G</w:t>
            </w:r>
          </w:p>
        </w:tc>
        <w:tc>
          <w:tcPr>
            <w:tcW w:w="1843" w:type="dxa"/>
            <w:shd w:val="clear" w:color="auto" w:fill="C6EFCE"/>
          </w:tcPr>
          <w:p w14:paraId="1216B516"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Investissements dans la formation professionnelle moderne, l'enseignement supérieur et l'apprentissage tout au long de la vie</w:t>
            </w:r>
          </w:p>
        </w:tc>
        <w:tc>
          <w:tcPr>
            <w:tcW w:w="1276" w:type="dxa"/>
            <w:shd w:val="clear" w:color="auto" w:fill="C6EFCE"/>
          </w:tcPr>
          <w:p w14:paraId="1216B517"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shd w:val="clear" w:color="auto" w:fill="C6EFCE"/>
          </w:tcPr>
          <w:p w14:paraId="1216B518" w14:textId="77777777" w:rsidR="003C4798" w:rsidRDefault="00417595">
            <w:pPr>
              <w:pStyle w:val="P68B1DB1-Normal020"/>
              <w:pBdr>
                <w:top w:val="nil"/>
                <w:left w:val="nil"/>
                <w:bottom w:val="nil"/>
                <w:right w:val="nil"/>
                <w:between w:val="nil"/>
              </w:pBdr>
              <w:spacing w:after="0" w:line="240" w:lineRule="auto"/>
              <w:rPr>
                <w:noProof/>
                <w:color w:val="000000"/>
              </w:rPr>
            </w:pPr>
            <w:r>
              <w:rPr>
                <w:noProof/>
              </w:rPr>
              <w:t xml:space="preserve">T2 - Centres sectoriels de compétences </w:t>
            </w:r>
          </w:p>
        </w:tc>
        <w:tc>
          <w:tcPr>
            <w:tcW w:w="1559" w:type="dxa"/>
            <w:shd w:val="clear" w:color="auto" w:fill="C6EFCE"/>
          </w:tcPr>
          <w:p w14:paraId="1216B519"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shd w:val="clear" w:color="auto" w:fill="C6EFCE"/>
          </w:tcPr>
          <w:p w14:paraId="1216B51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3" w:type="dxa"/>
            <w:shd w:val="clear" w:color="auto" w:fill="C6EFCE"/>
          </w:tcPr>
          <w:p w14:paraId="1216B51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10</w:t>
            </w:r>
          </w:p>
        </w:tc>
        <w:tc>
          <w:tcPr>
            <w:tcW w:w="992" w:type="dxa"/>
            <w:shd w:val="clear" w:color="auto" w:fill="C6EFCE"/>
          </w:tcPr>
          <w:p w14:paraId="1216B51C"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120</w:t>
            </w:r>
          </w:p>
        </w:tc>
        <w:tc>
          <w:tcPr>
            <w:tcW w:w="1134" w:type="dxa"/>
            <w:shd w:val="clear" w:color="auto" w:fill="C6EFCE"/>
          </w:tcPr>
          <w:p w14:paraId="1216B51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shd w:val="clear" w:color="auto" w:fill="C6EFCE"/>
          </w:tcPr>
          <w:p w14:paraId="1216B51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436" w:type="dxa"/>
            <w:shd w:val="clear" w:color="auto" w:fill="C6EFCE"/>
          </w:tcPr>
          <w:p w14:paraId="1216B51F"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 xml:space="preserve">120 centres sectoriels de compétences construits ou reconstruits, agrandis ou rénovés. </w:t>
            </w:r>
          </w:p>
          <w:p w14:paraId="1216B520" w14:textId="77777777" w:rsidR="003C4798" w:rsidRDefault="003C4798">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521" w14:textId="439046DA" w:rsidR="003C4798" w:rsidRDefault="00417595">
            <w:pPr>
              <w:pStyle w:val="P68B1DB1-Normal020"/>
              <w:pBdr>
                <w:top w:val="nil"/>
                <w:left w:val="nil"/>
                <w:bottom w:val="nil"/>
                <w:right w:val="nil"/>
                <w:between w:val="nil"/>
              </w:pBdr>
              <w:spacing w:after="0" w:line="240" w:lineRule="auto"/>
              <w:rPr>
                <w:noProof/>
              </w:rPr>
            </w:pPr>
            <w:r>
              <w:rPr>
                <w:noProof/>
              </w:rPr>
              <w:t>Chaque centre achète du matériel, comme en atteste une liste de factures pour le matériel acheté.</w:t>
            </w:r>
          </w:p>
          <w:p w14:paraId="1216B522" w14:textId="77777777" w:rsidR="003C4798" w:rsidRDefault="003C4798">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523" w14:textId="77777777" w:rsidR="003C4798" w:rsidRDefault="00417595">
            <w:pPr>
              <w:pStyle w:val="P68B1DB1-Normal029"/>
              <w:pBdr>
                <w:top w:val="nil"/>
                <w:left w:val="nil"/>
                <w:bottom w:val="nil"/>
                <w:right w:val="nil"/>
                <w:between w:val="nil"/>
              </w:pBdr>
              <w:spacing w:after="0" w:line="240" w:lineRule="auto"/>
              <w:rPr>
                <w:noProof/>
              </w:rPr>
            </w:pPr>
            <w:r>
              <w:rPr>
                <w:noProof/>
              </w:rPr>
              <w:t>Pour les centres de compétences sectoriels dans le domaine professionnel de l’industrie pétrochimique, des programmes d’études sont fournis pour évaluer le respect du principe consistant à «ne pas causer de préjudice important».</w:t>
            </w:r>
          </w:p>
          <w:p w14:paraId="1216B524" w14:textId="77777777" w:rsidR="003C4798" w:rsidRDefault="003C4798">
            <w:pPr>
              <w:pStyle w:val="Normal0"/>
              <w:pBdr>
                <w:top w:val="nil"/>
                <w:left w:val="nil"/>
                <w:bottom w:val="nil"/>
                <w:right w:val="nil"/>
                <w:between w:val="nil"/>
              </w:pBdr>
              <w:spacing w:after="0" w:line="240" w:lineRule="auto"/>
              <w:rPr>
                <w:rFonts w:ascii="Times New Roman" w:hAnsi="Times New Roman"/>
                <w:noProof/>
                <w:sz w:val="18"/>
                <w:szCs w:val="18"/>
              </w:rPr>
            </w:pPr>
          </w:p>
          <w:p w14:paraId="1216B525" w14:textId="77777777" w:rsidR="003C4798" w:rsidRDefault="00417595">
            <w:pPr>
              <w:pStyle w:val="P68B1DB1-Normal018"/>
              <w:pBdr>
                <w:top w:val="nil"/>
                <w:left w:val="nil"/>
                <w:bottom w:val="nil"/>
                <w:right w:val="nil"/>
                <w:between w:val="nil"/>
              </w:pBdr>
              <w:spacing w:after="0" w:line="240" w:lineRule="auto"/>
              <w:rPr>
                <w:noProof/>
              </w:rPr>
            </w:pPr>
            <w:r>
              <w:rPr>
                <w:noProof/>
              </w:rPr>
              <w:t>Les centres sectoriels de compétences ne sont pas établis dans les domaines professionnels suivants:</w:t>
            </w:r>
          </w:p>
          <w:p w14:paraId="1216B526" w14:textId="77777777" w:rsidR="003C4798" w:rsidRDefault="00417595">
            <w:pPr>
              <w:pStyle w:val="P68B1DB1-Normal018"/>
              <w:numPr>
                <w:ilvl w:val="0"/>
                <w:numId w:val="5"/>
              </w:numPr>
              <w:pBdr>
                <w:top w:val="nil"/>
                <w:left w:val="nil"/>
                <w:bottom w:val="nil"/>
                <w:right w:val="nil"/>
                <w:between w:val="nil"/>
              </w:pBdr>
              <w:spacing w:after="0" w:line="240" w:lineRule="auto"/>
              <w:ind w:left="456"/>
              <w:rPr>
                <w:rFonts w:eastAsia="Times New Roman" w:cs="Times New Roman"/>
                <w:noProof/>
                <w:color w:val="000000" w:themeColor="text1"/>
              </w:rPr>
            </w:pPr>
            <w:r>
              <w:rPr>
                <w:noProof/>
              </w:rPr>
              <w:t>l'exploitation minière souterraine et le traitement de la houille;</w:t>
            </w:r>
          </w:p>
          <w:p w14:paraId="1216B527" w14:textId="77777777" w:rsidR="003C4798" w:rsidRDefault="00417595">
            <w:pPr>
              <w:pStyle w:val="P68B1DB1-Normal018"/>
              <w:numPr>
                <w:ilvl w:val="0"/>
                <w:numId w:val="5"/>
              </w:numPr>
              <w:pBdr>
                <w:top w:val="nil"/>
                <w:left w:val="nil"/>
                <w:bottom w:val="nil"/>
                <w:right w:val="nil"/>
                <w:between w:val="nil"/>
              </w:pBdr>
              <w:spacing w:after="0" w:line="240" w:lineRule="auto"/>
              <w:ind w:left="456"/>
              <w:rPr>
                <w:rFonts w:eastAsia="Times New Roman" w:cs="Times New Roman"/>
                <w:noProof/>
                <w:color w:val="000000" w:themeColor="text1"/>
              </w:rPr>
            </w:pPr>
            <w:r>
              <w:rPr>
                <w:noProof/>
              </w:rPr>
              <w:t>géologie, forage, exploitation minière et réseau gazier.</w:t>
            </w:r>
          </w:p>
        </w:tc>
      </w:tr>
      <w:tr w:rsidR="003C4798" w14:paraId="1216B534" w14:textId="77777777" w:rsidTr="00EC21D5">
        <w:trPr>
          <w:gridAfter w:val="1"/>
          <w:wAfter w:w="9" w:type="dxa"/>
          <w:trHeight w:val="1871"/>
        </w:trPr>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9" w14:textId="77777777" w:rsidR="003C4798" w:rsidRDefault="00417595">
            <w:pPr>
              <w:pStyle w:val="P68B1DB1-Normal023"/>
              <w:pBdr>
                <w:top w:val="nil"/>
                <w:left w:val="nil"/>
                <w:bottom w:val="nil"/>
                <w:right w:val="nil"/>
                <w:between w:val="nil"/>
              </w:pBdr>
              <w:spacing w:after="0" w:line="240" w:lineRule="auto"/>
              <w:jc w:val="center"/>
              <w:rPr>
                <w:rFonts w:cs="Times New Roman"/>
                <w:noProof/>
                <w:szCs w:val="18"/>
              </w:rPr>
            </w:pPr>
            <w:r>
              <w:rPr>
                <w:noProof/>
              </w:rPr>
              <w:t>A49G</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Investissements dans la formation professionnelle moderne, l'enseignement supérieur et l'apprentissage tout au long de la vie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C" w14:textId="342C286F"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Mise en place d'équipes de coordination régionale opérationnelles chargées de coordonner la politique en matière d'enseignement et de formation professionnels et d'apprentissage tout au long de la vie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D"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F"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3" w14:textId="10FAFFED"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Au moins 14 équipes de coordination régionale sont mises en place, avec un objectif global de 16 équipes de coordination régionale (une pour chaque «vovoix»). Les équipes de coordination régionale, composées des principales parties prenantes, coordonnent les politiques en matière d’enseignement et de formation professionnels et d’apprentissage tout au long de la vie et coopèrent avec l’enseignement supérieur, le cas échéant et si elles sont convenues avec les établissements d’enseignement supérieur concernés.</w:t>
            </w:r>
          </w:p>
        </w:tc>
      </w:tr>
      <w:tr w:rsidR="003C4798" w14:paraId="1216B540" w14:textId="77777777" w:rsidTr="00EC21D5">
        <w:trPr>
          <w:gridAfter w:val="1"/>
          <w:wAfter w:w="9" w:type="dxa"/>
          <w:trHeight w:val="313"/>
        </w:trPr>
        <w:tc>
          <w:tcPr>
            <w:tcW w:w="998" w:type="dxa"/>
            <w:shd w:val="clear" w:color="auto" w:fill="C6EFCE"/>
          </w:tcPr>
          <w:p w14:paraId="1216B535" w14:textId="77777777" w:rsidR="003C4798" w:rsidRDefault="00417595">
            <w:pPr>
              <w:pStyle w:val="P68B1DB1-Normal023"/>
              <w:pBdr>
                <w:top w:val="nil"/>
                <w:left w:val="nil"/>
                <w:bottom w:val="nil"/>
                <w:right w:val="nil"/>
                <w:between w:val="nil"/>
              </w:pBdr>
              <w:spacing w:after="0" w:line="240" w:lineRule="auto"/>
              <w:jc w:val="center"/>
              <w:rPr>
                <w:rFonts w:cs="Times New Roman"/>
                <w:noProof/>
                <w:szCs w:val="18"/>
              </w:rPr>
            </w:pPr>
            <w:r>
              <w:rPr>
                <w:noProof/>
              </w:rPr>
              <w:t>A50G</w:t>
            </w:r>
          </w:p>
        </w:tc>
        <w:tc>
          <w:tcPr>
            <w:tcW w:w="1843" w:type="dxa"/>
            <w:shd w:val="clear" w:color="auto" w:fill="C6EFCE"/>
          </w:tcPr>
          <w:p w14:paraId="1216B536"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A3.1.1 Investissements dans la formation professionnelle moderne, l'enseignement supérieur et l'apprentissage tout au long de la vie</w:t>
            </w:r>
          </w:p>
        </w:tc>
        <w:tc>
          <w:tcPr>
            <w:tcW w:w="1276" w:type="dxa"/>
            <w:shd w:val="clear" w:color="auto" w:fill="C6EFCE"/>
          </w:tcPr>
          <w:p w14:paraId="1216B537"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126" w:type="dxa"/>
            <w:shd w:val="clear" w:color="auto" w:fill="C6EFCE"/>
          </w:tcPr>
          <w:p w14:paraId="1216B538"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Élaboration de programmes opérationnels de mise en œuvre de la stratégie intégrée en matière de compétences au niveau régional par les équipes de coordination régionale établies pour l’enseignement et la formation professionnels et l’apprentissage tout au long de la vie</w:t>
            </w:r>
          </w:p>
        </w:tc>
        <w:tc>
          <w:tcPr>
            <w:tcW w:w="1559" w:type="dxa"/>
            <w:shd w:val="clear" w:color="auto" w:fill="C6EFCE"/>
          </w:tcPr>
          <w:p w14:paraId="1216B539"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992" w:type="dxa"/>
            <w:shd w:val="clear" w:color="auto" w:fill="C6EFCE"/>
          </w:tcPr>
          <w:p w14:paraId="1216B53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93" w:type="dxa"/>
            <w:shd w:val="clear" w:color="auto" w:fill="C6EFCE"/>
          </w:tcPr>
          <w:p w14:paraId="1216B53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shd w:val="clear" w:color="auto" w:fill="C6EFCE"/>
          </w:tcPr>
          <w:p w14:paraId="1216B53C"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14</w:t>
            </w:r>
          </w:p>
        </w:tc>
        <w:tc>
          <w:tcPr>
            <w:tcW w:w="1134" w:type="dxa"/>
            <w:shd w:val="clear" w:color="auto" w:fill="C6EFCE"/>
          </w:tcPr>
          <w:p w14:paraId="1216B53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shd w:val="clear" w:color="auto" w:fill="C6EFCE"/>
          </w:tcPr>
          <w:p w14:paraId="1216B53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2436" w:type="dxa"/>
            <w:shd w:val="clear" w:color="auto" w:fill="C6EFCE"/>
          </w:tcPr>
          <w:p w14:paraId="6C824D1D" w14:textId="0838DBB3" w:rsidR="003C4798" w:rsidRDefault="00417595">
            <w:pPr>
              <w:pStyle w:val="Normal0"/>
              <w:pBdr>
                <w:top w:val="nil"/>
                <w:left w:val="nil"/>
                <w:bottom w:val="nil"/>
                <w:right w:val="nil"/>
                <w:between w:val="nil"/>
              </w:pBdr>
              <w:spacing w:after="0" w:line="240" w:lineRule="auto"/>
              <w:rPr>
                <w:noProof/>
              </w:rPr>
            </w:pPr>
            <w:r>
              <w:rPr>
                <w:rFonts w:ascii="Times New Roman" w:hAnsi="Times New Roman"/>
                <w:noProof/>
                <w:color w:val="000000" w:themeColor="text1"/>
                <w:sz w:val="18"/>
                <w:szCs w:val="18"/>
              </w:rPr>
              <w:t>Au moins 14 programmes de mise en œuvre régionaux opérationnalisés sont élaborés, avec un objectif global de 16 programmes de mise en œuvre régionaux opérationnalisés (un pour chaque «vovoix»)</w:t>
            </w:r>
            <w:r>
              <w:rPr>
                <w:noProof/>
              </w:rPr>
              <w:t xml:space="preserve"> </w:t>
            </w:r>
          </w:p>
          <w:p w14:paraId="13581CE8" w14:textId="77777777" w:rsidR="003C4798" w:rsidRDefault="00417595">
            <w:pPr>
              <w:pStyle w:val="P68B1DB1-Normal020"/>
              <w:pBdr>
                <w:top w:val="nil"/>
                <w:left w:val="nil"/>
                <w:bottom w:val="nil"/>
                <w:right w:val="nil"/>
                <w:between w:val="nil"/>
              </w:pBdr>
              <w:spacing w:after="0" w:line="240" w:lineRule="auto"/>
              <w:rPr>
                <w:noProof/>
              </w:rPr>
            </w:pPr>
            <w:r>
              <w:rPr>
                <w:noProof/>
              </w:rPr>
              <w:t>Les programmes opérationnels de mise en œuvre de la stratégie nationale intégrée en matière de compétences à l’horizon 2030 couvrent diverses formes d’apprentissage, y compris la coordination de l’enseignement et de la formation professionnels (EFP) et de l’apprentissage tout au long de la vie.</w:t>
            </w:r>
          </w:p>
          <w:p w14:paraId="7E360D5A" w14:textId="77777777" w:rsidR="003C4798" w:rsidRDefault="00417595">
            <w:pPr>
              <w:pStyle w:val="P68B1DB1-Normal020"/>
              <w:pBdr>
                <w:top w:val="nil"/>
                <w:left w:val="nil"/>
                <w:bottom w:val="nil"/>
                <w:right w:val="nil"/>
                <w:between w:val="nil"/>
              </w:pBdr>
              <w:spacing w:after="0" w:line="240" w:lineRule="auto"/>
              <w:rPr>
                <w:noProof/>
              </w:rPr>
            </w:pPr>
            <w:r>
              <w:rPr>
                <w:noProof/>
              </w:rPr>
              <w:t>Ils comprennent des plans de développement de l’EFP dans les régions, en tenant compte des transitions numérique et écologique et en encourageant l’innovation.</w:t>
            </w:r>
          </w:p>
          <w:p w14:paraId="1216B53F" w14:textId="29A6C73C"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Ils comprennent des mécanismes de suivi et d'évaluation.</w:t>
            </w:r>
          </w:p>
        </w:tc>
      </w:tr>
    </w:tbl>
    <w:p w14:paraId="1216B541" w14:textId="77777777" w:rsidR="003C4798" w:rsidRDefault="003C4798">
      <w:pPr>
        <w:rPr>
          <w:noProof/>
        </w:rPr>
        <w:sectPr w:rsidR="003C4798" w:rsidSect="006C5441">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299"/>
        </w:sectPr>
      </w:pPr>
    </w:p>
    <w:p w14:paraId="1216B542" w14:textId="77777777" w:rsidR="003C4798" w:rsidRDefault="00417595">
      <w:pPr>
        <w:pStyle w:val="P68B1DB1-Normal27"/>
        <w:rPr>
          <w:noProof/>
        </w:rPr>
      </w:pPr>
      <w:r>
        <w:rPr>
          <w:noProof/>
        </w:rPr>
        <w:t>A4 – MARCHÉ DU TRAVAIL</w:t>
      </w:r>
    </w:p>
    <w:tbl>
      <w:tblPr>
        <w:tblW w:w="1573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1821"/>
        <w:gridCol w:w="1156"/>
        <w:gridCol w:w="1731"/>
        <w:gridCol w:w="1712"/>
        <w:gridCol w:w="1159"/>
        <w:gridCol w:w="1068"/>
        <w:gridCol w:w="992"/>
        <w:gridCol w:w="1134"/>
        <w:gridCol w:w="850"/>
        <w:gridCol w:w="3262"/>
      </w:tblGrid>
      <w:tr w:rsidR="003C4798" w14:paraId="1216B54B" w14:textId="77777777" w:rsidTr="00EC21D5">
        <w:trPr>
          <w:trHeight w:val="300"/>
          <w:tblHeader/>
          <w:jc w:val="center"/>
        </w:trPr>
        <w:tc>
          <w:tcPr>
            <w:tcW w:w="84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3"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182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4"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Mesure connexe (réforme ou investissement)</w:t>
            </w:r>
          </w:p>
        </w:tc>
        <w:tc>
          <w:tcPr>
            <w:tcW w:w="115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5"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173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6"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71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7" w14:textId="5A55C187"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Indicateurs qualitatifs</w:t>
            </w:r>
            <w:r>
              <w:rPr>
                <w:noProof/>
              </w:rPr>
              <w:br/>
            </w:r>
            <w:r>
              <w:rPr>
                <w:rFonts w:ascii="Times New Roman" w:hAnsi="Times New Roman"/>
                <w:b/>
                <w:noProof/>
                <w:color w:val="000000" w:themeColor="text1"/>
                <w:sz w:val="18"/>
              </w:rPr>
              <w:t>(pour les jalons)</w:t>
            </w:r>
          </w:p>
        </w:tc>
        <w:tc>
          <w:tcPr>
            <w:tcW w:w="321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8" w14:textId="1F8E6824"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Indicateurs quantitatifs</w:t>
            </w:r>
            <w:r>
              <w:rPr>
                <w:noProof/>
              </w:rPr>
              <w:br/>
            </w:r>
            <w:r>
              <w:rPr>
                <w:rFonts w:ascii="Times New Roman" w:hAnsi="Times New Roman"/>
                <w:b/>
                <w:noProof/>
                <w:color w:val="000000" w:themeColor="text1"/>
                <w:sz w:val="18"/>
              </w:rPr>
              <w:t>(pour les objectifs)</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9"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Calendrier indicatif d'achèvement</w:t>
            </w:r>
          </w:p>
        </w:tc>
        <w:tc>
          <w:tcPr>
            <w:tcW w:w="32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A"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3C4798" w14:paraId="1216B557" w14:textId="77777777" w:rsidTr="00EC21D5">
        <w:trPr>
          <w:trHeight w:val="300"/>
          <w:jc w:val="center"/>
        </w:trPr>
        <w:tc>
          <w:tcPr>
            <w:tcW w:w="846" w:type="dxa"/>
            <w:vMerge/>
            <w:vAlign w:val="center"/>
          </w:tcPr>
          <w:p w14:paraId="1216B54C"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21" w:type="dxa"/>
            <w:vMerge/>
            <w:vAlign w:val="center"/>
          </w:tcPr>
          <w:p w14:paraId="1216B54D"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56" w:type="dxa"/>
            <w:vMerge/>
            <w:vAlign w:val="center"/>
          </w:tcPr>
          <w:p w14:paraId="1216B54E"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731" w:type="dxa"/>
            <w:vMerge/>
            <w:vAlign w:val="center"/>
          </w:tcPr>
          <w:p w14:paraId="1216B54F"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712" w:type="dxa"/>
            <w:vMerge/>
            <w:vAlign w:val="center"/>
          </w:tcPr>
          <w:p w14:paraId="1216B550"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1"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2"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3"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4"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5"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3262" w:type="dxa"/>
            <w:vMerge/>
            <w:vAlign w:val="center"/>
          </w:tcPr>
          <w:p w14:paraId="1216B556"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C4798" w14:paraId="1216B566" w14:textId="77777777" w:rsidTr="00EC21D5">
        <w:trPr>
          <w:trHeight w:val="3261"/>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8" w14:textId="77777777" w:rsidR="003C4798" w:rsidRDefault="00417595">
            <w:pPr>
              <w:pStyle w:val="P68B1DB1-Normal018"/>
              <w:spacing w:after="0" w:line="240" w:lineRule="auto"/>
              <w:jc w:val="center"/>
              <w:rPr>
                <w:rFonts w:eastAsia="Times New Roman" w:cs="Times New Roman"/>
                <w:noProof/>
                <w:color w:val="000000"/>
              </w:rPr>
            </w:pPr>
            <w:r>
              <w:rPr>
                <w:noProof/>
              </w:rPr>
              <w:t>A51G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9"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A4.1 Réformes structurelles des institutions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B" w14:textId="77777777"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rPr>
              <w:t>Entrée en vigueur de nouvelles lois sur les services publics de l'emploi, l'emploi des ressortissants de pays tiers et la conclusion électronique de certains contrats de travail:</w:t>
            </w:r>
            <w:r>
              <w:rPr>
                <w:noProof/>
              </w:rPr>
              <w:t xml:space="preserve"> </w:t>
            </w:r>
            <w:r>
              <w:rPr>
                <w:noProof/>
              </w:rPr>
              <w:br/>
            </w:r>
            <w:r>
              <w:rPr>
                <w:rFonts w:ascii="Times New Roman" w:hAnsi="Times New Roman"/>
                <w:noProof/>
                <w:color w:val="000000" w:themeColor="text1"/>
                <w:sz w:val="18"/>
              </w:rPr>
              <w:t xml:space="preserve">- introduire des changements dans les services publics de l'emploi et les </w:t>
            </w:r>
            <w:r>
              <w:rPr>
                <w:rFonts w:ascii="Times New Roman" w:hAnsi="Times New Roman"/>
                <w:noProof/>
                <w:sz w:val="18"/>
              </w:rPr>
              <w:t>politiques actives du marché du travail</w:t>
            </w:r>
            <w:r>
              <w:rPr>
                <w:rFonts w:ascii="Times New Roman" w:hAnsi="Times New Roman"/>
                <w:noProof/>
                <w:color w:val="000000" w:themeColor="text1"/>
                <w:sz w:val="18"/>
              </w:rPr>
              <w:t xml:space="preserve"> afin d'accroître la participation au marché du travail</w:t>
            </w:r>
            <w:r>
              <w:rPr>
                <w:noProof/>
              </w:rPr>
              <w:t xml:space="preserve"> </w:t>
            </w:r>
            <w:r>
              <w:rPr>
                <w:noProof/>
              </w:rPr>
              <w:br/>
              <w:t xml:space="preserve"> </w:t>
            </w:r>
            <w:r>
              <w:rPr>
                <w:rFonts w:ascii="Times New Roman" w:hAnsi="Times New Roman"/>
                <w:noProof/>
                <w:color w:val="000000" w:themeColor="text1"/>
                <w:sz w:val="18"/>
              </w:rPr>
              <w:t>- réduire les obstacles administratifs à l'emploi des étrangers</w:t>
            </w:r>
            <w:r>
              <w:rPr>
                <w:noProof/>
              </w:rPr>
              <w:t xml:space="preserve"> </w:t>
            </w:r>
            <w:r>
              <w:rPr>
                <w:noProof/>
              </w:rPr>
              <w:br/>
              <w:t xml:space="preserve"> </w:t>
            </w:r>
            <w:r>
              <w:rPr>
                <w:rFonts w:ascii="Times New Roman" w:hAnsi="Times New Roman"/>
                <w:noProof/>
                <w:color w:val="000000" w:themeColor="text1"/>
                <w:sz w:val="18"/>
              </w:rPr>
              <w:t>- simplifier le processus de conclusion de certains contrats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C"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législation relative aux services publics de l’emploi, à l’emploi des ressortissants de pays tiers et à la conclusion électronique de certains contrats de travail indiquant l’entrée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D" w14:textId="77777777" w:rsidR="003C4798" w:rsidRDefault="003C4798">
            <w:pPr>
              <w:rPr>
                <w:noProof/>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E"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F"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0" w14:textId="77777777" w:rsidR="003C4798" w:rsidRDefault="00417595">
            <w:pPr>
              <w:pStyle w:val="P68B1DB1-Normal020"/>
              <w:spacing w:after="0" w:line="240" w:lineRule="auto"/>
              <w:jc w:val="center"/>
              <w:rPr>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1" w14:textId="77777777" w:rsidR="003C4798" w:rsidRDefault="00417595">
            <w:pPr>
              <w:pStyle w:val="P68B1DB1-Normal020"/>
              <w:spacing w:after="0" w:line="240" w:lineRule="auto"/>
              <w:jc w:val="center"/>
              <w:rPr>
                <w:rFonts w:eastAsia="Times New Roman" w:cs="Times New Roman"/>
                <w:noProof/>
                <w:color w:val="000000"/>
              </w:rPr>
            </w:pPr>
            <w:r>
              <w:rPr>
                <w:noProof/>
              </w:rPr>
              <w:t>2024</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2" w14:textId="77777777" w:rsidR="003C4798" w:rsidRDefault="00417595">
            <w:pPr>
              <w:pStyle w:val="P68B1DB1-Normal019"/>
              <w:pBdr>
                <w:top w:val="nil"/>
                <w:left w:val="nil"/>
                <w:bottom w:val="nil"/>
                <w:right w:val="nil"/>
                <w:between w:val="nil"/>
              </w:pBdr>
              <w:spacing w:after="0" w:line="240" w:lineRule="auto"/>
              <w:rPr>
                <w:noProof/>
                <w:color w:val="000000" w:themeColor="text1"/>
              </w:rPr>
            </w:pPr>
            <w:r>
              <w:rPr>
                <w:noProof/>
              </w:rPr>
              <w:t>Entrée en vigueur de trois nouvelles lois, qui introduisent de nouvelles dispositions:</w:t>
            </w:r>
          </w:p>
          <w:p w14:paraId="6276F1A1"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p w14:paraId="1216B563" w14:textId="16679D0F" w:rsidR="003C4798" w:rsidRDefault="00417595">
            <w:pPr>
              <w:pStyle w:val="P68B1DB1-Normal020"/>
              <w:spacing w:after="0" w:line="240" w:lineRule="auto"/>
              <w:rPr>
                <w:noProof/>
              </w:rPr>
            </w:pPr>
            <w:r>
              <w:rPr>
                <w:noProof/>
              </w:rPr>
              <w:t>1. En ce qui concerne les services publics de l'emploi et les politiques actives du marché du travail, accroître la participation à l'emploi: i) étendre le groupe de clients des bureaux de placement aux personnes professionnellement inactives; ii) identifier et atteindre les personnes économiquement inactives, iii) introduire une obligation pour les employeurs des secteurs public et privé (pour les entrepreneurs qui utilisent des fonds publics, par exemple en participant à des appels d’offres) de soumettre des offres d’emploi à la base de données centrale sur les offres d’emploi; iv) améliorer l’accès des demandeurs d’emploi à l’éducation et à la formation tout au long de la vie en finançant, par l’intermédiaire du Fonds pour le travail, à la fois les coûts de formation et la certification de l’acquisition de connaissances et de compétences, y compris de qualifications professionnelles; v) l'introduction d'une nouvelle forme de soutien (un bon pour la formation continue) tant pour les salariés que pour les chômeurs.</w:t>
            </w:r>
          </w:p>
          <w:p w14:paraId="279AD8CD" w14:textId="77777777" w:rsidR="003C4798" w:rsidRDefault="003C4798">
            <w:pPr>
              <w:pStyle w:val="Normal0"/>
              <w:spacing w:after="0" w:line="240" w:lineRule="auto"/>
              <w:rPr>
                <w:rFonts w:ascii="Times New Roman" w:eastAsia="Times New Roman" w:hAnsi="Times New Roman" w:cs="Times New Roman"/>
                <w:noProof/>
                <w:color w:val="000000" w:themeColor="text1"/>
                <w:sz w:val="18"/>
                <w:szCs w:val="18"/>
              </w:rPr>
            </w:pPr>
          </w:p>
          <w:p w14:paraId="1DE7AFF2" w14:textId="08512923" w:rsidR="003C4798" w:rsidRDefault="00417595">
            <w:pPr>
              <w:pStyle w:val="P68B1DB1-Normal020"/>
              <w:pBdr>
                <w:top w:val="nil"/>
                <w:left w:val="nil"/>
                <w:bottom w:val="nil"/>
                <w:right w:val="nil"/>
                <w:between w:val="nil"/>
              </w:pBdr>
              <w:spacing w:after="0" w:line="240" w:lineRule="auto"/>
              <w:rPr>
                <w:noProof/>
              </w:rPr>
            </w:pPr>
            <w:r>
              <w:rPr>
                <w:noProof/>
              </w:rPr>
              <w:t>2. Réduire les obstacles administratifs et rationaliser les procédures concernant l'emploi des étrangers: i) les services publics de l’emploi ont la possibilité de créer des services spécialisés au sein des SPE (et non un bureau distinct) pour soutenir les étrangers sur le marché du travail, tant pour les salariés que pour les chômeurs; ii) Le rôle des services publics de l ' emploi s ' accroîtra dans le processus de délivrance des permis de travail aux étrangers, ce qui le rendra plus efficace; iii) les dispositions établissant un cadre pour la numérisation complète des procédures liées à l’obtention d’un permis de travail pour les étrangers entrent en vigueur; iv) le cadre d'intégration et les dispositions visant à renforcer les services de contrôle pour contrôler la légalité de l'emploi entrent en vigueur.</w:t>
            </w:r>
          </w:p>
          <w:p w14:paraId="4C5F6B23" w14:textId="77777777" w:rsidR="003C4798" w:rsidRDefault="003C4798">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565" w14:textId="2CA3E5A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3. Sur la conclusion électronique de certains contrats, afin de simplifier le processus d'embauche. La réglementation juridique introduit la possibilité de conclure et de régler certains contrats de travail par voie électronique, intégrée aux systèmes de sécurité sociale et de fiscalité. Cela facilite le processus de conclusion d'une relation de travail. La loi peut prévoir une période transitoire raisonnable pour l'application effective des dispositions nécessaires au développement du système informatique.</w:t>
            </w:r>
          </w:p>
        </w:tc>
      </w:tr>
      <w:tr w:rsidR="003C4798" w14:paraId="1216B572"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7"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A52G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8"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 Réformes structurelles des institutions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9"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A" w14:textId="1D17F135" w:rsidR="003C4798" w:rsidRDefault="00417595">
            <w:pPr>
              <w:pStyle w:val="P68B1DB1-Normal020"/>
              <w:spacing w:after="0" w:line="240" w:lineRule="auto"/>
              <w:rPr>
                <w:rFonts w:eastAsia="Times New Roman" w:cs="Times New Roman"/>
                <w:noProof/>
                <w:color w:val="000000"/>
              </w:rPr>
            </w:pPr>
            <w:r>
              <w:rPr>
                <w:noProof/>
              </w:rPr>
              <w:t>Publication du plan de développement des services publics de l’emploi 2025-2027</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B" w14:textId="7DFC843E" w:rsidR="003C4798" w:rsidRDefault="00417595">
            <w:pPr>
              <w:pStyle w:val="P68B1DB1-Normal020"/>
              <w:spacing w:after="0" w:line="240" w:lineRule="auto"/>
              <w:rPr>
                <w:rFonts w:eastAsia="Times New Roman" w:cs="Times New Roman"/>
                <w:noProof/>
                <w:color w:val="000000"/>
              </w:rPr>
            </w:pPr>
            <w:r>
              <w:rPr>
                <w:noProof/>
              </w:rPr>
              <w:t>Publication par le ministère de la famille, du travail et de la politique sociale (MRPiPS) du plan de développement des services publics de l’emploi 2025-2027</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C"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D"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E"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F" w14:textId="77777777" w:rsidR="003C4798" w:rsidRDefault="00417595">
            <w:pPr>
              <w:pStyle w:val="P68B1DB1-Normal020"/>
              <w:spacing w:after="0" w:line="240" w:lineRule="auto"/>
              <w:jc w:val="center"/>
              <w:rPr>
                <w:rFonts w:eastAsia="Times New Roman" w:cs="Times New Roman"/>
                <w:noProof/>
                <w:color w:val="000000"/>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0" w14:textId="77777777" w:rsidR="003C4798" w:rsidRDefault="00417595">
            <w:pPr>
              <w:pStyle w:val="P68B1DB1-Normal020"/>
              <w:spacing w:after="0" w:line="240" w:lineRule="auto"/>
              <w:jc w:val="center"/>
              <w:rPr>
                <w:rFonts w:eastAsia="Times New Roman" w:cs="Times New Roman"/>
                <w:noProof/>
                <w:color w:val="000000"/>
              </w:rPr>
            </w:pPr>
            <w:r>
              <w:rPr>
                <w:noProof/>
              </w:rPr>
              <w:t>2024</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1" w14:textId="26AE0B84" w:rsidR="003C4798" w:rsidRDefault="00417595">
            <w:pPr>
              <w:pStyle w:val="P68B1DB1-Normal26"/>
              <w:spacing w:after="0" w:line="240" w:lineRule="auto"/>
              <w:rPr>
                <w:b/>
                <w:noProof/>
              </w:rPr>
            </w:pPr>
            <w:r>
              <w:rPr>
                <w:noProof/>
              </w:rPr>
              <w:t>Le plan de développement des services publics de l’emploi pour la période 2025-2027 est publié. Il définit les priorités de la politique du marché du travail et les modalités de leur mise en œuvre par les services publics de l'emploi.</w:t>
            </w:r>
          </w:p>
        </w:tc>
      </w:tr>
      <w:tr w:rsidR="003C4798" w14:paraId="1216B57F"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3"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A53G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5" w14:textId="7905E6A6"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A4.1 Réformes structurelles des institutions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6"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7"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Mener un processus de consultation des partenaires sociaux sur le potentiel des conventions collectives et mener une étude approfondie sur le rôle potentiel d'un contrat de travail unique pour apporter une nouvelle flexibilité et sécurité sur le marché du travail polonais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8"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Publication par le Ministère de la Famille et de la Politique Sociale (MRPiPS) d'un rapport sur la consultation des partenaires sociaux</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9"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A"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B"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C"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E" w14:textId="5B6A2EB1"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L’objectif de la consultation des partenaires sociaux est de définir le rôle et le potentiel des conventions collectives sur le marché du travail polonais afin d’offrir de nouvelles flexibilités en fonction des réalités nouvelles et en évolution rapide. Une étude sera réalisée afin d’examiner le potentiel d’un éventuel contrat de travail unique, de fournir une base analytique et juridique et d’utiliser une analyse comparative. Il peut être élaboré avec le soutien d’organisations internationales et/ou avec une assistance technique spécifique.</w:t>
            </w:r>
          </w:p>
        </w:tc>
      </w:tr>
      <w:tr w:rsidR="003C4798" w14:paraId="1216B58F"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0"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A54G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1"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 Réformes structurelles des institutions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2"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3"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Entrée en vigueur de la ou des lois tenant compte des résultats de la consultation sur les conventions collectives et de l’étude sur un contrat de travail unique en Pologne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4"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Disposition(s) législative(s)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5"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6"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8"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9"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A" w14:textId="77777777" w:rsidR="003C4798" w:rsidRDefault="00417595">
            <w:pPr>
              <w:pStyle w:val="P68B1DB1-Normal020"/>
              <w:pBdr>
                <w:top w:val="nil"/>
                <w:left w:val="nil"/>
                <w:bottom w:val="nil"/>
                <w:right w:val="nil"/>
                <w:between w:val="nil"/>
              </w:pBdr>
              <w:spacing w:after="0" w:line="240" w:lineRule="auto"/>
              <w:rPr>
                <w:noProof/>
              </w:rPr>
            </w:pPr>
            <w:r>
              <w:rPr>
                <w:noProof/>
              </w:rPr>
              <w:t>Entrée en vigueur de la ou des lois en tenant compte des résultats de l’étude sur le rôle potentiel du contrat de travail unique et au moins des résultats suivants de la consultation sur les conventions collectives:</w:t>
            </w:r>
          </w:p>
          <w:p w14:paraId="1216B58B" w14:textId="77777777" w:rsidR="003C4798" w:rsidRDefault="00417595">
            <w:pPr>
              <w:pStyle w:val="P68B1DB1-Normal020"/>
              <w:pBdr>
                <w:top w:val="nil"/>
                <w:left w:val="nil"/>
                <w:bottom w:val="nil"/>
                <w:right w:val="nil"/>
                <w:between w:val="nil"/>
              </w:pBdr>
              <w:spacing w:after="0" w:line="240" w:lineRule="auto"/>
              <w:rPr>
                <w:noProof/>
              </w:rPr>
            </w:pPr>
            <w:r>
              <w:rPr>
                <w:noProof/>
              </w:rPr>
              <w:t>1) Simplification des procédures d'enregistrement des conventions collectives;</w:t>
            </w:r>
          </w:p>
          <w:p w14:paraId="1216B58C" w14:textId="77777777" w:rsidR="003C4798" w:rsidRDefault="00417595">
            <w:pPr>
              <w:pStyle w:val="P68B1DB1-Normal020"/>
              <w:pBdr>
                <w:top w:val="nil"/>
                <w:left w:val="nil"/>
                <w:bottom w:val="nil"/>
                <w:right w:val="nil"/>
                <w:between w:val="nil"/>
              </w:pBdr>
              <w:spacing w:after="0" w:line="240" w:lineRule="auto"/>
              <w:rPr>
                <w:noProof/>
              </w:rPr>
            </w:pPr>
            <w:r>
              <w:rPr>
                <w:noProof/>
              </w:rPr>
              <w:t>2) Le recours à la médiation dans les négociations;</w:t>
            </w:r>
          </w:p>
          <w:p w14:paraId="1216B58D" w14:textId="77777777" w:rsidR="003C4798" w:rsidRDefault="00417595">
            <w:pPr>
              <w:pStyle w:val="P68B1DB1-Normal020"/>
              <w:pBdr>
                <w:top w:val="nil"/>
                <w:left w:val="nil"/>
                <w:bottom w:val="nil"/>
                <w:right w:val="nil"/>
                <w:between w:val="nil"/>
              </w:pBdr>
              <w:spacing w:after="0" w:line="240" w:lineRule="auto"/>
              <w:rPr>
                <w:noProof/>
              </w:rPr>
            </w:pPr>
            <w:r>
              <w:rPr>
                <w:noProof/>
              </w:rPr>
              <w:t>3) Entités habilitées à conclure des conventions collectives;</w:t>
            </w:r>
          </w:p>
          <w:p w14:paraId="1216B58E"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4) Sujets couverts par les conventions collectives.</w:t>
            </w:r>
          </w:p>
        </w:tc>
      </w:tr>
      <w:tr w:rsidR="003C4798" w14:paraId="1216B5A0" w14:textId="77777777" w:rsidTr="00EC21D5">
        <w:trPr>
          <w:trHeight w:val="274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0"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A55G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1"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A4.1.1 Investissements à l'appui de la réforme des institutions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2"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3" w14:textId="138E12FF"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Numérisation des services publics de l’emploi (SPE)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4" w14:textId="4C7B7A2E" w:rsidR="003C4798" w:rsidRDefault="00417595">
            <w:pPr>
              <w:pStyle w:val="P68B1DB1-Normal029"/>
              <w:pBdr>
                <w:top w:val="nil"/>
                <w:left w:val="nil"/>
                <w:bottom w:val="nil"/>
                <w:right w:val="nil"/>
                <w:between w:val="nil"/>
              </w:pBdr>
              <w:spacing w:after="0" w:line="240" w:lineRule="auto"/>
              <w:rPr>
                <w:noProof/>
                <w:color w:val="000000"/>
              </w:rPr>
            </w:pPr>
            <w:r>
              <w:rPr>
                <w:noProof/>
              </w:rPr>
              <w:t>Modernisation des systèmes et infrastructures informatiques</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5"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6"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7"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8"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9" w14:textId="77777777" w:rsidR="003C4798" w:rsidRDefault="00417595">
            <w:pPr>
              <w:pStyle w:val="P68B1DB1-Normal020"/>
              <w:spacing w:after="0" w:line="240" w:lineRule="auto"/>
              <w:jc w:val="center"/>
              <w:rPr>
                <w:rFonts w:eastAsia="Times New Roman" w:cs="Times New Roman"/>
                <w:noProof/>
                <w:color w:val="000000"/>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A" w14:textId="3A8D51A6" w:rsidR="003C4798" w:rsidRDefault="00417595">
            <w:pPr>
              <w:pStyle w:val="P68B1DB1-Normal020"/>
              <w:spacing w:after="0" w:line="240" w:lineRule="auto"/>
              <w:rPr>
                <w:noProof/>
              </w:rPr>
            </w:pPr>
            <w:r>
              <w:rPr>
                <w:noProof/>
              </w:rPr>
              <w:t>13 systèmes informatiques modernisés sont mis à la disposition des services publics de l'emploi (SPE) et comprennent:</w:t>
            </w:r>
          </w:p>
          <w:p w14:paraId="1216B59B" w14:textId="5A822D83" w:rsidR="003C4798" w:rsidRDefault="00417595">
            <w:pPr>
              <w:pStyle w:val="P68B1DB1-Normal020"/>
              <w:spacing w:after="0" w:line="240" w:lineRule="auto"/>
              <w:rPr>
                <w:noProof/>
              </w:rPr>
            </w:pPr>
            <w:r>
              <w:rPr>
                <w:noProof/>
              </w:rPr>
              <w:t>- les demandes d’enregistrement de clients du SPE, d’autorisation de travail en Pologne pour les étrangers, d’obtention d’une allocation et d’inscription à un registre ou</w:t>
            </w:r>
          </w:p>
          <w:p w14:paraId="1216B59C" w14:textId="05CAEEA7" w:rsidR="003C4798" w:rsidRDefault="00417595">
            <w:pPr>
              <w:pStyle w:val="P68B1DB1-Normal020"/>
              <w:spacing w:after="0" w:line="240" w:lineRule="auto"/>
              <w:rPr>
                <w:noProof/>
              </w:rPr>
            </w:pPr>
            <w:r>
              <w:rPr>
                <w:noProof/>
              </w:rPr>
              <w:t>- profils individuels des clients des SPE ou</w:t>
            </w:r>
          </w:p>
          <w:p w14:paraId="1216B59D" w14:textId="77777777" w:rsidR="003C4798" w:rsidRDefault="00417595">
            <w:pPr>
              <w:pStyle w:val="P68B1DB1-Normal020"/>
              <w:spacing w:after="0" w:line="240" w:lineRule="auto"/>
              <w:rPr>
                <w:noProof/>
              </w:rPr>
            </w:pPr>
            <w:r>
              <w:rPr>
                <w:noProof/>
              </w:rPr>
              <w:t>- l'outil d'enquête de satisfaction client pour les clients des SPE ou</w:t>
            </w:r>
          </w:p>
          <w:p w14:paraId="1216B59E" w14:textId="77777777" w:rsidR="003C4798" w:rsidRDefault="00417595">
            <w:pPr>
              <w:pStyle w:val="P68B1DB1-Normal020"/>
              <w:spacing w:after="0" w:line="240" w:lineRule="auto"/>
              <w:rPr>
                <w:noProof/>
              </w:rPr>
            </w:pPr>
            <w:r>
              <w:rPr>
                <w:noProof/>
              </w:rPr>
              <w:t>- extension de la fonctionnalité des sites web des SPE à l’aide de mécanismes fondés sur l’IA.</w:t>
            </w:r>
          </w:p>
          <w:p w14:paraId="1216B59F" w14:textId="380B23BB" w:rsidR="003C4798" w:rsidRDefault="00417595">
            <w:pPr>
              <w:pStyle w:val="P68B1DB1-Normal020"/>
              <w:spacing w:after="0" w:line="240" w:lineRule="auto"/>
              <w:rPr>
                <w:rFonts w:eastAsia="Times New Roman" w:cs="Times New Roman"/>
                <w:noProof/>
                <w:color w:val="000000"/>
              </w:rPr>
            </w:pPr>
            <w:r>
              <w:rPr>
                <w:noProof/>
              </w:rPr>
              <w:t>L’infrastructure informatique pour les SPE est achetée.</w:t>
            </w:r>
          </w:p>
        </w:tc>
      </w:tr>
      <w:tr w:rsidR="003C4798" w14:paraId="1216B5AC"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1"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A56G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2"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A4.1.1 Investissements à l'appui de la réforme des institutions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3" w14:textId="77777777" w:rsidR="003C4798" w:rsidRDefault="00417595">
            <w:pPr>
              <w:pStyle w:val="P68B1DB1-Normal020"/>
              <w:pBdr>
                <w:top w:val="nil"/>
                <w:left w:val="nil"/>
                <w:bottom w:val="nil"/>
                <w:right w:val="nil"/>
                <w:between w:val="nil"/>
              </w:pBdr>
              <w:spacing w:after="0" w:line="240" w:lineRule="auto"/>
              <w:rPr>
                <w:noProof/>
                <w:color w:val="000000"/>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4" w14:textId="77777777" w:rsidR="003C4798" w:rsidRDefault="00417595">
            <w:pPr>
              <w:pStyle w:val="P68B1DB1-Normal020"/>
              <w:pBdr>
                <w:top w:val="nil"/>
                <w:left w:val="nil"/>
                <w:bottom w:val="nil"/>
                <w:right w:val="nil"/>
                <w:between w:val="nil"/>
              </w:pBdr>
              <w:spacing w:after="0" w:line="240" w:lineRule="auto"/>
              <w:rPr>
                <w:noProof/>
                <w:color w:val="000000"/>
              </w:rPr>
            </w:pPr>
            <w:r>
              <w:rPr>
                <w:noProof/>
              </w:rPr>
              <w:t>Formations sur l'application des nouvelles procédures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5" w14:textId="1335D67A" w:rsidR="003C4798" w:rsidRDefault="00417595">
            <w:pPr>
              <w:pStyle w:val="P68B1DB1-Normal020"/>
              <w:pBdr>
                <w:top w:val="nil"/>
                <w:left w:val="nil"/>
                <w:bottom w:val="nil"/>
                <w:right w:val="nil"/>
                <w:between w:val="nil"/>
              </w:pBdr>
              <w:spacing w:after="0" w:line="240" w:lineRule="auto"/>
              <w:rPr>
                <w:noProof/>
                <w:color w:val="000000"/>
              </w:rPr>
            </w:pPr>
            <w:r>
              <w:rPr>
                <w:noProof/>
              </w:rPr>
              <w:t>Formations sur l'application des nouvelles procédures</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6"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7"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8"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9" w14:textId="77777777" w:rsidR="003C4798" w:rsidRDefault="00417595">
            <w:pPr>
              <w:pStyle w:val="P68B1DB1-Normal020"/>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A" w14:textId="77777777" w:rsidR="003C4798" w:rsidRDefault="00417595">
            <w:pPr>
              <w:pStyle w:val="P68B1DB1-Normal020"/>
              <w:spacing w:after="0" w:line="240" w:lineRule="auto"/>
              <w:jc w:val="center"/>
              <w:rPr>
                <w:rFonts w:eastAsia="Times New Roman" w:cs="Times New Roman"/>
                <w:noProof/>
                <w:color w:val="000000"/>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B" w14:textId="5A99C8DC" w:rsidR="003C4798" w:rsidRDefault="00417595">
            <w:pPr>
              <w:pStyle w:val="P68B1DB1-Normal020"/>
              <w:pBdr>
                <w:top w:val="nil"/>
                <w:left w:val="nil"/>
                <w:bottom w:val="nil"/>
                <w:right w:val="nil"/>
                <w:between w:val="nil"/>
              </w:pBdr>
              <w:spacing w:after="0" w:line="240" w:lineRule="auto"/>
              <w:rPr>
                <w:noProof/>
              </w:rPr>
            </w:pPr>
            <w:r>
              <w:rPr>
                <w:noProof/>
              </w:rPr>
              <w:t xml:space="preserve">Les autorités fournissent a) un ou plusieurs rapports finaux sur les formations dispensées à 10 025 participants sur les nouvelles procédures prévues soit dans i) la nouvelle loi sur le marché du travail et les services publics de l’emploi, soit dans ii) la nouvelle loi sur l’emploi des ressortissants de pays tiers, soit dans iii) la nouvelle loi sur le système d’information pour le traitement de certains types de contrats. </w:t>
            </w:r>
          </w:p>
        </w:tc>
      </w:tr>
      <w:tr w:rsidR="003C4798" w14:paraId="1216B5BC"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D" w14:textId="77777777" w:rsidR="003C4798" w:rsidRDefault="00417595">
            <w:pPr>
              <w:pStyle w:val="P68B1DB1-Normal018"/>
              <w:spacing w:after="0" w:line="240" w:lineRule="auto"/>
              <w:jc w:val="center"/>
              <w:rPr>
                <w:rFonts w:eastAsia="Times New Roman" w:cs="Times New Roman"/>
                <w:noProof/>
                <w:color w:val="000000"/>
              </w:rPr>
            </w:pPr>
            <w:r>
              <w:rPr>
                <w:noProof/>
              </w:rPr>
              <w:t>A57G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E"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A4.2 Réforme visant à améliorer la situation des parents sur le marché du travail en améliorant l'accès à des structures d'accueil de qualité pour les enfants jusqu'à l'âge de trois ans</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F"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0" w14:textId="77777777" w:rsidR="003C4798" w:rsidRDefault="00417595">
            <w:pPr>
              <w:pStyle w:val="P68B1DB1-Normal020"/>
              <w:pBdr>
                <w:left w:val="nil"/>
                <w:bottom w:val="nil"/>
                <w:right w:val="nil"/>
                <w:between w:val="nil"/>
              </w:pBdr>
              <w:spacing w:after="0" w:line="240" w:lineRule="auto"/>
              <w:rPr>
                <w:rFonts w:eastAsia="Times New Roman" w:cs="Times New Roman"/>
                <w:noProof/>
                <w:color w:val="000000"/>
              </w:rPr>
            </w:pPr>
            <w:r>
              <w:rPr>
                <w:noProof/>
              </w:rPr>
              <w:t>Adoption de normes de qualité pour les services de garde d'enfants, y compris les normes en matière d'éducation et d'accueil des enfants jusqu'à l'âge de trois ans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1"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des lois pertinentes indiquant l'entrée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2"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3"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4"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5" w14:textId="77777777" w:rsidR="003C4798" w:rsidRDefault="00417595">
            <w:pPr>
              <w:pStyle w:val="P68B1DB1-Normal020"/>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6" w14:textId="77777777" w:rsidR="003C4798" w:rsidRDefault="00417595">
            <w:pPr>
              <w:pStyle w:val="P68B1DB1-Normal020"/>
              <w:spacing w:after="0" w:line="240" w:lineRule="auto"/>
              <w:jc w:val="center"/>
              <w:rPr>
                <w:rFonts w:eastAsia="Times New Roman" w:cs="Times New Roman"/>
                <w:noProof/>
                <w:color w:val="000000"/>
              </w:rPr>
            </w:pPr>
            <w:r>
              <w:rPr>
                <w:noProof/>
              </w:rPr>
              <w:t>2024</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7" w14:textId="77777777" w:rsidR="003C4798" w:rsidRDefault="00417595">
            <w:pPr>
              <w:pStyle w:val="P68B1DB1-Normal020"/>
              <w:spacing w:after="0" w:line="240" w:lineRule="auto"/>
              <w:rPr>
                <w:rFonts w:eastAsia="Times New Roman" w:cs="Times New Roman"/>
                <w:noProof/>
                <w:color w:val="000000"/>
              </w:rPr>
            </w:pPr>
            <w:r>
              <w:rPr>
                <w:noProof/>
              </w:rPr>
              <w:t>Analyse indépendante des normes existantes en matière de soins et d’éducation pour les enfants de moins de trois ans et d’accès à des systèmes d’éducation et d’accueil de la petite enfance de qualité et abordables. L’analyse est effectuée en tenant compte de la recommandation du Conseil du 22 mai 2019 relative à des systèmes de qualité pour l’éducation et l’accueil de la petite enfance (2019/C 189/02) et est présentée dans un rapport à publier par le ministère de la famille, du travail et de la politique sociale.</w:t>
            </w:r>
          </w:p>
          <w:p w14:paraId="1216B5B8" w14:textId="77777777" w:rsidR="003C4798" w:rsidRDefault="003C4798">
            <w:pPr>
              <w:pStyle w:val="Normal0"/>
              <w:spacing w:after="0" w:line="240" w:lineRule="auto"/>
              <w:rPr>
                <w:rFonts w:ascii="Times New Roman" w:eastAsia="Times New Roman" w:hAnsi="Times New Roman" w:cs="Times New Roman"/>
                <w:noProof/>
                <w:color w:val="000000" w:themeColor="text1"/>
                <w:sz w:val="18"/>
                <w:szCs w:val="18"/>
              </w:rPr>
            </w:pPr>
          </w:p>
          <w:p w14:paraId="1216B5B9" w14:textId="77777777" w:rsidR="003C4798" w:rsidRDefault="00417595">
            <w:pPr>
              <w:pStyle w:val="P68B1DB1-Normal020"/>
              <w:spacing w:after="0" w:line="240" w:lineRule="auto"/>
              <w:rPr>
                <w:noProof/>
              </w:rPr>
            </w:pPr>
            <w:r>
              <w:rPr>
                <w:noProof/>
              </w:rPr>
              <w:t>Le ministère de la famille, du travail et de la politique sociale consulte publiquement et approuve avec les parties prenantes un règlement sur les normes de qualité applicables aux services de garde d’enfants, qui comprend des normes en matière d’éducation et de soins pour les enfants jusqu’à l’âge de trois ans. La loi peut prévoir une période transitoire raisonnable pour l'application effective des normes adoptées par les services de garde d'enfants.</w:t>
            </w:r>
          </w:p>
          <w:p w14:paraId="1216B5BA" w14:textId="77777777" w:rsidR="003C4798" w:rsidRDefault="003C4798">
            <w:pPr>
              <w:pStyle w:val="Normal0"/>
              <w:spacing w:after="0" w:line="240" w:lineRule="auto"/>
              <w:rPr>
                <w:rFonts w:ascii="Times New Roman" w:hAnsi="Times New Roman"/>
                <w:noProof/>
                <w:color w:val="000000" w:themeColor="text1"/>
                <w:sz w:val="18"/>
                <w:szCs w:val="18"/>
              </w:rPr>
            </w:pPr>
          </w:p>
          <w:p w14:paraId="1216B5BB" w14:textId="77777777" w:rsidR="003C4798" w:rsidRDefault="00417595">
            <w:pPr>
              <w:pStyle w:val="P68B1DB1-Normal020"/>
              <w:spacing w:after="0" w:line="240" w:lineRule="auto"/>
              <w:rPr>
                <w:noProof/>
                <w:color w:val="000000"/>
              </w:rPr>
            </w:pPr>
            <w:r>
              <w:rPr>
                <w:noProof/>
              </w:rPr>
              <w:t>L’entrée en vigueur d’une modification de la loi du 4 février 2011 relative à la prise en charge des enfants jusqu’à l’âge de trois ans rend les normes minimales contraignantes pour les prestataires de services de garde d’enfants. La loi doit servir de base au Ministère de la famille, du travail et de la politique sociale pour aider les municipalités à effectuer le contrôle de la qualité.</w:t>
            </w:r>
          </w:p>
        </w:tc>
      </w:tr>
      <w:tr w:rsidR="003C4798" w14:paraId="1216B5C8"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D" w14:textId="77777777" w:rsidR="003C4798" w:rsidRDefault="00417595">
            <w:pPr>
              <w:pStyle w:val="P68B1DB1-Normal018"/>
              <w:pBdr>
                <w:top w:val="nil"/>
                <w:left w:val="nil"/>
                <w:bottom w:val="nil"/>
                <w:right w:val="nil"/>
                <w:between w:val="nil"/>
              </w:pBdr>
              <w:spacing w:after="0" w:line="240" w:lineRule="auto"/>
              <w:jc w:val="center"/>
              <w:rPr>
                <w:rFonts w:cs="Times New Roman"/>
                <w:noProof/>
              </w:rPr>
            </w:pPr>
            <w:r>
              <w:rPr>
                <w:noProof/>
              </w:rPr>
              <w:t>A58G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E"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A4.2 Réforme visant à améliorer la situation des parents sur le marché du travail en améliorant l'accès à des structures d'accueil de qualité pour les enfants jusqu'à l'âge de trois ans</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F"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0" w14:textId="77777777" w:rsidR="003C4798" w:rsidRDefault="00417595">
            <w:pPr>
              <w:pStyle w:val="P68B1DB1-Normal020"/>
              <w:pBdr>
                <w:left w:val="nil"/>
                <w:bottom w:val="nil"/>
                <w:right w:val="nil"/>
                <w:between w:val="nil"/>
              </w:pBdr>
              <w:spacing w:after="0" w:line="240" w:lineRule="auto"/>
              <w:rPr>
                <w:rFonts w:eastAsia="Times New Roman" w:cs="Times New Roman"/>
                <w:noProof/>
              </w:rPr>
            </w:pPr>
            <w:r>
              <w:rPr>
                <w:noProof/>
              </w:rPr>
              <w:t>Entrée en vigueur d'une loi modifiant la loi sur la prise en charge des enfants jusqu'à l'âge de trois ans, garantissant le financement national à long terme des services de garde d'enfants jusqu'à l'âge de trois ans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1"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Disposition de la loi modifiant la loi du 4 février 2011 relative à la prise en charge des enfants de moins de trois ans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2"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3"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4"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5"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color w:val="000000" w:themeColor="text1"/>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7"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rPr>
            </w:pPr>
            <w:r>
              <w:rPr>
                <w:noProof/>
              </w:rPr>
              <w:t>Entrée en vigueur d'une loi modifiant la loi du 4 février 2011 relative à la prise en charge des enfants jusqu'à l'âge de trois ans, qui assure un financement à long terme par des ressources nationales pour le fonctionnement des services de garde d'enfants jusqu'à l'âge de trois ans.</w:t>
            </w:r>
          </w:p>
        </w:tc>
      </w:tr>
      <w:tr w:rsidR="003C4798" w14:paraId="1216B5D4"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9"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A59G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A4.2 Réforme visant à améliorer la situation des parents sur le marché du travail en améliorant l'accès à la garde d'enfants jusqu'à l'âge de trois ans</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B" w14:textId="00B2F586"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Étape </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C"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Entrée en vigueur d'une loi modifiant la loi sur la prise en charge des enfants jusqu'à l'âge de trois ans visant à modifier l'organisation du système de financement de la prise en charge des enfants jusqu'à l'âge de trois ans en vue de mettre en œuvre un système unique et cohérent de gestion du financement pour la création et le fonctionnement des services de garde des enfants jusqu'à l'âge de trois ans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D"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loi modifiant la loi du 4 février 2011 relative à la prise en charge des enfants de moins de trois ans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E"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F"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0"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7C25515" w14:textId="77777777" w:rsidR="003C4798" w:rsidRDefault="00417595">
            <w:pPr>
              <w:pStyle w:val="P68B1DB1-Normal020"/>
              <w:pBdr>
                <w:top w:val="nil"/>
                <w:left w:val="nil"/>
                <w:bottom w:val="nil"/>
                <w:right w:val="nil"/>
                <w:between w:val="nil"/>
              </w:pBdr>
              <w:spacing w:after="0" w:line="240" w:lineRule="auto"/>
              <w:rPr>
                <w:noProof/>
              </w:rPr>
            </w:pPr>
            <w:r>
              <w:rPr>
                <w:noProof/>
              </w:rPr>
              <w:t>L'entrée en vigueur d'une loi modifiant la loi du 4 février 2011 relative à la prise en charge des enfants jusqu'à trois ans rationalise la gestion du financement de la création et du fonctionnement des structures d'accueil en:</w:t>
            </w:r>
          </w:p>
          <w:p w14:paraId="5F90D08C" w14:textId="77777777" w:rsidR="003C4798" w:rsidRDefault="00417595">
            <w:pPr>
              <w:pStyle w:val="P68B1DB1-Normal020"/>
              <w:pBdr>
                <w:top w:val="nil"/>
                <w:left w:val="nil"/>
                <w:bottom w:val="nil"/>
                <w:right w:val="nil"/>
                <w:between w:val="nil"/>
              </w:pBdr>
              <w:spacing w:after="0" w:line="240" w:lineRule="auto"/>
              <w:rPr>
                <w:noProof/>
              </w:rPr>
            </w:pPr>
            <w:r>
              <w:rPr>
                <w:noProof/>
              </w:rPr>
              <w:t>- la mise en place d'un système unique et cohérent de gestion du financement pour la création et le fonctionnement des services de garde d'enfants jusqu'à l'âge de trois ans;</w:t>
            </w:r>
          </w:p>
          <w:p w14:paraId="1216B5D3" w14:textId="57AE94D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la gestion des fonds provenant de diverses sources de financement dans le cadre du programme Maluch+.</w:t>
            </w:r>
          </w:p>
        </w:tc>
      </w:tr>
      <w:tr w:rsidR="003C4798" w14:paraId="1216B5E0" w14:textId="77777777" w:rsidTr="00EC21D5">
        <w:trPr>
          <w:trHeight w:val="2448"/>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5"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A60G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6"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A4.2.1 Soutien aux structures de garde d’enfants pour les enfants de moins de trois ans relevant de la catégorie «Enfants en bas âge actifs» (ancien Maluch+)</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7"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8"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Création d’un système informatique pour gérer le financement et la création de structures de garde d’enfants pour les enfants jusqu’à l’âge de trois ans, qui combinent différentes sources de financement de la garde d’enfants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9"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Système informatique pleinement opérationnel</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A"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B"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C"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F" w14:textId="77777777" w:rsidR="003C4798" w:rsidRDefault="00417595">
            <w:pPr>
              <w:pStyle w:val="P68B1DB1-Normal020"/>
              <w:pBdr>
                <w:top w:val="nil"/>
                <w:left w:val="nil"/>
                <w:bottom w:val="nil"/>
                <w:right w:val="nil"/>
                <w:between w:val="nil"/>
              </w:pBdr>
              <w:spacing w:after="0" w:line="240" w:lineRule="auto"/>
              <w:rPr>
                <w:noProof/>
                <w:color w:val="000000"/>
              </w:rPr>
            </w:pPr>
            <w:r>
              <w:rPr>
                <w:noProof/>
              </w:rPr>
              <w:t>la création et le déploiement d’un système informatique opérationnel (ou l’extension de l’un des systèmes existants), qui sera utilisé pour soutenir les projets des bénéficiaires finaux du soutien financier, à savoir les entités qui créent et gèrent des institutions de garde d’enfants, à chaque étape de leur mise en œuvre. Le système est également utilisé par les institutions qui supervisent et mettent en œuvre la réforme. Le système comprend des informations sur les différentes sources de financement des services de garde d'enfants.</w:t>
            </w:r>
          </w:p>
        </w:tc>
      </w:tr>
      <w:tr w:rsidR="003C4798" w14:paraId="1216B5EC"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1"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A61G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2"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A4.2.1 Soutien aux structures de garde d’enfants pour les enfants de moins de trois ans relevant de la catégorie «Enfants en bas âge actifs» (ancien Maluch+)</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3"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Objectif</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4"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Construction, rénovation ou adaptation de structures d'accueil pour les enfants de moins de trois ans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5"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6"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Numéro</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7"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8" w14:textId="77777777"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Fonts w:ascii="Times New Roman" w:eastAsia="Times New Roman" w:hAnsi="Times New Roman" w:cs="Times New Roman"/>
                <w:noProof/>
                <w:color w:val="000000" w:themeColor="text1"/>
                <w:sz w:val="18"/>
                <w:szCs w:val="18"/>
              </w:rPr>
              <w:t>1</w:t>
            </w:r>
            <w:r>
              <w:rPr>
                <w:rFonts w:eastAsia="Times New Roman"/>
                <w:noProof/>
                <w:color w:val="006100"/>
                <w:szCs w:val="24"/>
              </w:rPr>
              <w:t xml:space="preserve"> </w:t>
            </w:r>
            <w:r>
              <w:rPr>
                <w:rFonts w:ascii="Times New Roman" w:eastAsia="Times New Roman" w:hAnsi="Times New Roman" w:cs="Times New Roman"/>
                <w:noProof/>
                <w:color w:val="000000" w:themeColor="text1"/>
                <w:sz w:val="18"/>
                <w:szCs w:val="18"/>
              </w:rPr>
              <w:t>060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9"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A"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B"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Nombre de structures d’accueil pour les enfants de moins de trois ans construites, rénovées ou adaptées.</w:t>
            </w:r>
          </w:p>
        </w:tc>
      </w:tr>
      <w:tr w:rsidR="003C4798" w14:paraId="1216B5F8"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D"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A62G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E"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A4.3 Mise en œuvre du cadre juridique pour les entités de l’économie sociale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F"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0"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loi sur l'économie sociale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1"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loi sur l’économie sociale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2"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3"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4"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5"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7" w14:textId="781DCE9D"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loi sur l’économie sociale qui réglemente les questions fondamentales liées à ce secteur, notamment: la définition d’une entreprise sociale, les principes de fonctionnement et de soutien d’une entreprise de l’économie sociale, les nouveaux modèles de coopération entre les entreprises de l’économie sociale et le gouvernement local dans la mise en œuvre des services sociaux, ainsi que les principes de coordination des politiques dans le domaine du développement de l’économie sociale.</w:t>
            </w:r>
          </w:p>
        </w:tc>
      </w:tr>
      <w:tr w:rsidR="003C4798" w14:paraId="1216B604"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9"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A63G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A4.3.1 Investissements dans les entités de l’économie sociale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B"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Objectif</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C"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Décisions octroyant le statut d'entreprise sociale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D"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F"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1 400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3" w14:textId="2A8C4D21"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Décisions octroyant le statut d'entreprise sociale à 1</w:t>
            </w:r>
            <w:r>
              <w:rPr>
                <w:rFonts w:eastAsia="Times New Roman"/>
                <w:noProof/>
                <w:color w:val="006100"/>
                <w:szCs w:val="24"/>
              </w:rPr>
              <w:t> </w:t>
            </w:r>
            <w:r>
              <w:rPr>
                <w:rFonts w:ascii="Times New Roman" w:hAnsi="Times New Roman"/>
                <w:noProof/>
                <w:color w:val="000000" w:themeColor="text1"/>
                <w:sz w:val="18"/>
                <w:szCs w:val="18"/>
              </w:rPr>
              <w:t>400 entités.</w:t>
            </w:r>
          </w:p>
        </w:tc>
      </w:tr>
      <w:tr w:rsidR="003C4798" w14:paraId="1216B610"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5" w14:textId="5A5362C2" w:rsidR="003C4798" w:rsidRDefault="00417595">
            <w:pPr>
              <w:pStyle w:val="P68B1DB1-Normal018"/>
              <w:pBdr>
                <w:top w:val="nil"/>
                <w:left w:val="nil"/>
                <w:bottom w:val="nil"/>
                <w:right w:val="nil"/>
                <w:between w:val="nil"/>
              </w:pBdr>
              <w:spacing w:after="0" w:line="240" w:lineRule="auto"/>
              <w:jc w:val="center"/>
              <w:rPr>
                <w:noProof/>
              </w:rPr>
            </w:pPr>
            <w:r>
              <w:rPr>
                <w:noProof/>
              </w:rPr>
              <w:t>A64G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6"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A4.3.1 Investissements dans les entités de l’économie sociale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7"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Objectif</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8" w14:textId="058CACAA"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Nombre d’entités de l’économie sociale bénéficiant d’un soutien financier</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9"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C"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1 000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F" w14:textId="43F25A32"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Des conventions de subvention visant à soutenir au moins 1 000 entités de l’économie sociale dans l’octroi d’un soutien financier sont signées. Les conventions de subvention comprennent l’engagement de maintenir l’emploi pendant au moins douze mois à compter de la date de la convention.</w:t>
            </w:r>
          </w:p>
        </w:tc>
      </w:tr>
      <w:tr w:rsidR="003C4798" w14:paraId="1216B61C"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1"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A65G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2"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A4.4 Assouplir les formes d'emploi et introduire le travail à distance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3"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4"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de la loi modifiant le code du travail introduisant l’institution permanente du travail à distance dans les dispositions du code du travail et les formes flexibles d’aménagement du temps de travail</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5"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loi modifiant le Code du travail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6"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8"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9"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B" w14:textId="77777777"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rPr>
              <w:t>Entrée en vigueur de la loi modifiant le code du travail, qui contribuera à mieux concilier les responsabilités professionnelles et privées, à répondre à la crise et à aider les personnes inactives à faible activité économique à trouver un emploi permanent. La réforme consiste à:</w:t>
            </w:r>
            <w:r>
              <w:rPr>
                <w:noProof/>
              </w:rPr>
              <w:br/>
            </w:r>
            <w:r>
              <w:rPr>
                <w:rFonts w:ascii="Times New Roman" w:hAnsi="Times New Roman"/>
                <w:noProof/>
                <w:color w:val="000000" w:themeColor="text1"/>
                <w:sz w:val="18"/>
              </w:rPr>
              <w:t>- introduire la possibilité d'un travail à distance (totalement ou partiellement) en dehors du lieu de travail sur la base d'accords conclus entre le salarié et l'employeur lors de la conclusion du contrat de travail ou pendant l'emploi;</w:t>
            </w:r>
            <w:r>
              <w:rPr>
                <w:noProof/>
              </w:rPr>
              <w:t xml:space="preserve"> </w:t>
            </w:r>
            <w:r>
              <w:rPr>
                <w:noProof/>
              </w:rPr>
              <w:br/>
            </w:r>
            <w:r>
              <w:rPr>
                <w:rFonts w:ascii="Times New Roman" w:hAnsi="Times New Roman"/>
                <w:noProof/>
                <w:color w:val="000000" w:themeColor="text1"/>
                <w:sz w:val="18"/>
              </w:rPr>
              <w:t xml:space="preserve"> - établir des règles sur le travail à distance en accord entre l’employeur et les représentants des travailleurs;</w:t>
            </w:r>
            <w:r>
              <w:rPr>
                <w:noProof/>
              </w:rPr>
              <w:br/>
            </w:r>
            <w:r>
              <w:rPr>
                <w:rFonts w:ascii="Times New Roman" w:hAnsi="Times New Roman"/>
                <w:noProof/>
                <w:color w:val="000000" w:themeColor="text1"/>
                <w:sz w:val="18"/>
              </w:rPr>
              <w:t xml:space="preserve"> - y compris les cas spécifiques dans lesquels le travail à distance pourrait être effectué à la demande de l’employeur (par exemple lors de circonstances extraordinaires);</w:t>
            </w:r>
            <w:r>
              <w:rPr>
                <w:noProof/>
              </w:rPr>
              <w:br/>
            </w:r>
            <w:r>
              <w:rPr>
                <w:rFonts w:ascii="Times New Roman" w:hAnsi="Times New Roman"/>
                <w:noProof/>
                <w:color w:val="000000" w:themeColor="text1"/>
                <w:sz w:val="18"/>
              </w:rPr>
              <w:t xml:space="preserve"> - l’obligation pour l’employeur de fournir le matériel et les outils nécessaires à l’exécution du travail à distance et/ou à l’utilisation de l’équipement privé des employés;</w:t>
            </w:r>
            <w:r>
              <w:rPr>
                <w:noProof/>
              </w:rPr>
              <w:br/>
            </w:r>
            <w:r>
              <w:rPr>
                <w:rFonts w:ascii="Times New Roman" w:hAnsi="Times New Roman"/>
                <w:noProof/>
                <w:color w:val="000000" w:themeColor="text1"/>
                <w:sz w:val="18"/>
              </w:rPr>
              <w:t xml:space="preserve"> - la mise en œuvre de formes flexibles d'aménagement du temps de travail.</w:t>
            </w:r>
          </w:p>
        </w:tc>
      </w:tr>
      <w:tr w:rsidR="003C4798" w14:paraId="1216B628"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D"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A67G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E"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A4.5 Prolonger les carrières et promouvoir le travail au-delà de l'âge légal de la retraite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F"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0"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de la loi modifiant la loi relative à l’impôt sur le revenu des personnes physiques mettant en œuvre à partir de 2023 une réduction de l’impôt sur le revenu des personnes physiques pour celles qui ont atteint l’âge de la retraite mais continuent à travailler</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1"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loi modifiant la loi relative à l'impôt sur le revenu des personnes physiques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2"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3"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4"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5"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7" w14:textId="77777777"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rPr>
              <w:t>Entrée en vigueur de la loi modifiant la loi relative à l’impôt sur le revenu des personnes physiques, qui apporte les modifications suivantes: la réduction de l’impôt sur le revenu des personnes physiques est réservée aux contribuables qui atteignent l’âge légal de la retraite et qui ne décident pas de prendre leur retraite mais continuent à travailler. Ces travailleurs sont exonérés de l’impôt sur le revenu dans une certaine limite de revenu (pas plus que la première tranche d’impôt sur le revenu,</w:t>
            </w:r>
            <w:r>
              <w:rPr>
                <w:rFonts w:eastAsia="Times New Roman"/>
                <w:noProof/>
                <w:color w:val="006100"/>
                <w:szCs w:val="24"/>
              </w:rPr>
              <w:t> </w:t>
            </w:r>
            <w:r>
              <w:rPr>
                <w:rFonts w:ascii="Times New Roman" w:hAnsi="Times New Roman"/>
                <w:noProof/>
                <w:color w:val="000000" w:themeColor="text1"/>
                <w:sz w:val="18"/>
              </w:rPr>
              <w:t>85</w:t>
            </w:r>
            <w:r>
              <w:rPr>
                <w:rFonts w:eastAsia="Times New Roman"/>
                <w:noProof/>
                <w:color w:val="006100"/>
                <w:szCs w:val="24"/>
              </w:rPr>
              <w:t> </w:t>
            </w:r>
            <w:r>
              <w:rPr>
                <w:rFonts w:ascii="Times New Roman" w:hAnsi="Times New Roman"/>
                <w:noProof/>
                <w:color w:val="000000" w:themeColor="text1"/>
                <w:sz w:val="18"/>
              </w:rPr>
              <w:t xml:space="preserve">528 PLN en 2021, et pas plus que le salaire brut moyen </w:t>
            </w:r>
            <w:r>
              <w:rPr>
                <w:rFonts w:ascii="Times New Roman" w:hAnsi="Times New Roman"/>
                <w:noProof/>
                <w:sz w:val="18"/>
              </w:rPr>
              <w:t>dans l’économie</w:t>
            </w:r>
            <w:r>
              <w:rPr>
                <w:rFonts w:ascii="Times New Roman" w:hAnsi="Times New Roman"/>
                <w:noProof/>
                <w:color w:val="000000" w:themeColor="text1"/>
                <w:sz w:val="18"/>
              </w:rPr>
              <w:t xml:space="preserve"> nationale en Pologne). Le taux de l'impôt sur le revenu des personnes physiques au-dessus de la première tranche est réduit. Grâce à cette incitation fiscale, les contribuables gagnent des montants supplémentaires correspondant au montant de l’impôt sur le revenu impayé qui vise à les inciter à prolonger leur carrière.</w:t>
            </w:r>
          </w:p>
        </w:tc>
      </w:tr>
      <w:tr w:rsidR="003C4798" w14:paraId="1216B634"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9"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A68G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A4.5 Prolonger les carrières et promouvoir le travail au-delà de l'âge légal de la retraite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B"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C"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Rapport d'évaluation de l'impact des mesures prises pour relever l'âge effectif de départ à la retraite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D"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Publication du rapport d’évaluation par le ministère de la famille,</w:t>
            </w:r>
            <w:r>
              <w:rPr>
                <w:noProof/>
                <w:szCs w:val="18"/>
              </w:rPr>
              <w:t xml:space="preserve"> du travail</w:t>
            </w:r>
            <w:r>
              <w:rPr>
                <w:noProof/>
              </w:rPr>
              <w:t xml:space="preserve"> et de la politique sociale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E"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F"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0"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3"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L'objectif de ce rapport est d'évaluer l'effet des modifications apportées à l'impôt sur le revenu des particuliers sur l'âge effectif de la retraite deux ans </w:t>
            </w:r>
            <w:r>
              <w:rPr>
                <w:noProof/>
                <w:szCs w:val="18"/>
              </w:rPr>
              <w:t xml:space="preserve">après </w:t>
            </w:r>
            <w:r>
              <w:rPr>
                <w:noProof/>
              </w:rPr>
              <w:t>leur introduction. Elle analyse l’incidence sur la participation au marché du travail, sur la viabilité du système de retraite, sur les finances publiques et sur l’égalité entre les hommes et les femmes.</w:t>
            </w:r>
          </w:p>
        </w:tc>
      </w:tr>
      <w:tr w:rsidR="003C4798" w14:paraId="1216B640"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5"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A69G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6"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A4.6 Accroître la participation de certains groupes au marché du travail en développant les soins de longue durée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7"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8"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Examen stratégique des soins de longue durée en Pologne en vue de définir les priorités en matière de réformes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9"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Publication du rapport d'analyse stratégique par le Ministère de la famille, du travail et de la politique sociale (MRPiPS) et par le Ministère de la santé</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A"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B"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C"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C25EABB" w14:textId="437B182B" w:rsidR="003C4798" w:rsidRDefault="00417595">
            <w:pPr>
              <w:pStyle w:val="P68B1DB1-Normal019"/>
              <w:pBdr>
                <w:top w:val="nil"/>
                <w:left w:val="nil"/>
                <w:bottom w:val="nil"/>
                <w:right w:val="nil"/>
                <w:between w:val="nil"/>
              </w:pBdr>
              <w:spacing w:after="0" w:line="240" w:lineRule="auto"/>
              <w:rPr>
                <w:noProof/>
              </w:rPr>
            </w:pPr>
            <w:r>
              <w:rPr>
                <w:noProof/>
                <w:szCs w:val="18"/>
              </w:rPr>
              <w:t>Achèvement d’une analyse du système de soins de longue durée en Pologne en vue de le réformer à l’avenir et publication d’un rapport pertinent sur le site web Biuletyn Informacji Publicznej du ministère de la famille, du travail et de la politique sociale et sur le site web Biuletyn Informacji Publicznej du ministère de la santé. L'analyse vise en particulier à  déterminer s'il est possible:</w:t>
            </w:r>
          </w:p>
          <w:p w14:paraId="0174858A" w14:textId="77777777" w:rsidR="003C4798" w:rsidRDefault="00417595">
            <w:pPr>
              <w:pStyle w:val="P68B1DB1-Normal020"/>
              <w:pBdr>
                <w:top w:val="nil"/>
                <w:left w:val="nil"/>
                <w:bottom w:val="nil"/>
                <w:right w:val="nil"/>
                <w:between w:val="nil"/>
              </w:pBdr>
              <w:spacing w:after="0" w:line="240" w:lineRule="auto"/>
              <w:rPr>
                <w:noProof/>
              </w:rPr>
            </w:pPr>
            <w:r>
              <w:rPr>
                <w:noProof/>
              </w:rPr>
              <w:t>- intégrer les soins sociaux et de santé de longue durée,</w:t>
            </w:r>
          </w:p>
          <w:p w14:paraId="16A072EF" w14:textId="77777777" w:rsidR="003C4798" w:rsidRDefault="00417595">
            <w:pPr>
              <w:pStyle w:val="P68B1DB1-Normal020"/>
              <w:pBdr>
                <w:top w:val="nil"/>
                <w:left w:val="nil"/>
                <w:bottom w:val="nil"/>
                <w:right w:val="nil"/>
                <w:between w:val="nil"/>
              </w:pBdr>
              <w:spacing w:after="0" w:line="240" w:lineRule="auto"/>
              <w:rPr>
                <w:noProof/>
              </w:rPr>
            </w:pPr>
            <w:r>
              <w:rPr>
                <w:noProof/>
              </w:rPr>
              <w:t>accélérer la désinstitutionnalisation de ces services,</w:t>
            </w:r>
          </w:p>
          <w:p w14:paraId="6F83D2F7" w14:textId="645AF898" w:rsidR="003C4798" w:rsidRDefault="00417595">
            <w:pPr>
              <w:pStyle w:val="P68B1DB1-Normal020"/>
              <w:pBdr>
                <w:top w:val="nil"/>
                <w:left w:val="nil"/>
                <w:bottom w:val="nil"/>
                <w:right w:val="nil"/>
                <w:between w:val="nil"/>
              </w:pBdr>
              <w:spacing w:after="0" w:line="240" w:lineRule="auto"/>
              <w:rPr>
                <w:noProof/>
              </w:rPr>
            </w:pPr>
            <w:r>
              <w:rPr>
                <w:noProof/>
              </w:rPr>
              <w:t>- les placer sous une seule autorité,</w:t>
            </w:r>
          </w:p>
          <w:p w14:paraId="75112C54" w14:textId="77777777" w:rsidR="003C4798" w:rsidRDefault="00417595">
            <w:pPr>
              <w:pStyle w:val="P68B1DB1-Normal020"/>
              <w:pBdr>
                <w:top w:val="nil"/>
                <w:left w:val="nil"/>
                <w:bottom w:val="nil"/>
                <w:right w:val="nil"/>
                <w:between w:val="nil"/>
              </w:pBdr>
              <w:spacing w:after="0" w:line="240" w:lineRule="auto"/>
              <w:rPr>
                <w:noProof/>
              </w:rPr>
            </w:pPr>
            <w:r>
              <w:rPr>
                <w:noProof/>
              </w:rPr>
              <w:t>- réduire la fragmentation de l'offre de soins,</w:t>
            </w:r>
          </w:p>
          <w:p w14:paraId="6E4DC1A7" w14:textId="10FFCA4B" w:rsidR="003C4798" w:rsidRDefault="00417595">
            <w:pPr>
              <w:pStyle w:val="P68B1DB1-Normal019"/>
              <w:pBdr>
                <w:top w:val="nil"/>
                <w:left w:val="nil"/>
                <w:bottom w:val="nil"/>
                <w:right w:val="nil"/>
                <w:between w:val="nil"/>
              </w:pBdr>
              <w:spacing w:after="0" w:line="240" w:lineRule="auto"/>
              <w:rPr>
                <w:noProof/>
              </w:rPr>
            </w:pPr>
            <w:r>
              <w:rPr>
                <w:noProof/>
              </w:rPr>
              <w:t>- réviser les prestations liées aux soins afin de permettre l'exercice d'un emploi,</w:t>
            </w:r>
          </w:p>
          <w:p w14:paraId="3E6508FD" w14:textId="40006860" w:rsidR="003C4798" w:rsidRDefault="00417595">
            <w:pPr>
              <w:pStyle w:val="P68B1DB1-Normal019"/>
              <w:pBdr>
                <w:top w:val="nil"/>
                <w:left w:val="nil"/>
                <w:bottom w:val="nil"/>
                <w:right w:val="nil"/>
                <w:between w:val="nil"/>
              </w:pBdr>
              <w:spacing w:after="0" w:line="240" w:lineRule="auto"/>
              <w:rPr>
                <w:noProof/>
              </w:rPr>
            </w:pPr>
            <w:r>
              <w:rPr>
                <w:noProof/>
              </w:rPr>
              <w:t>créer un système stable de financement adéquat des services de soins de longue durée, en particulier les soins de proximité et les soins à domicile,</w:t>
            </w:r>
          </w:p>
          <w:p w14:paraId="1C781D5E" w14:textId="6A70EBD0" w:rsidR="003C4798" w:rsidRDefault="00417595">
            <w:pPr>
              <w:pStyle w:val="P68B1DB1-Normal019"/>
              <w:pBdr>
                <w:top w:val="nil"/>
                <w:left w:val="nil"/>
                <w:bottom w:val="nil"/>
                <w:right w:val="nil"/>
                <w:between w:val="nil"/>
              </w:pBdr>
              <w:spacing w:after="0" w:line="240" w:lineRule="auto"/>
              <w:rPr>
                <w:noProof/>
              </w:rPr>
            </w:pPr>
            <w:r>
              <w:rPr>
                <w:noProof/>
              </w:rPr>
              <w:t>- introduire un cadre de qualité pour les services de soins de longue durée (exigences pour le personnel, équipements, admission des prestataires de soins de longue durée sur le marché).</w:t>
            </w:r>
          </w:p>
          <w:p w14:paraId="1216B63F" w14:textId="0F71D153"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L’analyse est effectuée en consultation avec les parties prenantes concernées, y compris les partenaires sociaux qui s’occupent de la fourniture de soins de longue durée, les aidants informels, les personnes recevant des soins, celles qui ne reçoivent pas de soins mais devraient en recevoir, et les autorités locales.</w:t>
            </w:r>
          </w:p>
        </w:tc>
      </w:tr>
      <w:tr w:rsidR="003C4798" w14:paraId="1216B655"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1" w14:textId="3B6EED64" w:rsidR="003C4798" w:rsidRDefault="00417595">
            <w:pPr>
              <w:pStyle w:val="P68B1DB1-Normal018"/>
              <w:spacing w:after="0" w:line="240" w:lineRule="auto"/>
              <w:jc w:val="center"/>
              <w:rPr>
                <w:rFonts w:eastAsia="Times New Roman" w:cs="Times New Roman"/>
                <w:noProof/>
                <w:color w:val="000000"/>
              </w:rPr>
            </w:pPr>
            <w:r>
              <w:rPr>
                <w:noProof/>
              </w:rPr>
              <w:t>A70G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2"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A4.6 Accroître la participation de certains groupes au marché du travail en développant les soins de longue durée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3"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4" w14:textId="691C3ADF" w:rsidR="003C4798" w:rsidRDefault="00417595">
            <w:pPr>
              <w:pStyle w:val="P68B1DB1-Normal020"/>
              <w:spacing w:after="0" w:line="240" w:lineRule="auto"/>
              <w:rPr>
                <w:rFonts w:eastAsia="Times New Roman" w:cs="Times New Roman"/>
                <w:noProof/>
                <w:color w:val="000000"/>
              </w:rPr>
            </w:pPr>
            <w:r>
              <w:rPr>
                <w:noProof/>
              </w:rPr>
              <w:t>Entrée en vigueur du ou des actes juridiques et publication de documents non législatifs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5" w14:textId="177AF57D" w:rsidR="003C4798" w:rsidRDefault="00417595">
            <w:pPr>
              <w:pStyle w:val="P68B1DB1-Normal019"/>
              <w:spacing w:after="0" w:line="240" w:lineRule="auto"/>
              <w:rPr>
                <w:noProof/>
                <w:szCs w:val="18"/>
              </w:rPr>
            </w:pPr>
            <w:r>
              <w:rPr>
                <w:noProof/>
                <w:szCs w:val="18"/>
              </w:rPr>
              <w:t>Disposition d’un ou de plusieurs actes juridiques indiquant son entrée en vigueur</w:t>
            </w:r>
            <w:r>
              <w:rPr>
                <w:noProof/>
              </w:rPr>
              <w:t xml:space="preserve"> </w:t>
            </w:r>
            <w:r>
              <w:rPr>
                <w:noProof/>
                <w:szCs w:val="18"/>
              </w:rPr>
              <w:t>et publication de documents relatifs à l’examen des dépenses publiques et au cadre de qualité des soins de longue durée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6"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8"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9" w14:textId="7B0B7771"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A" w14:textId="01F2229D" w:rsidR="003C4798" w:rsidRDefault="00417595">
            <w:pPr>
              <w:pStyle w:val="P68B1DB1-Normal020"/>
              <w:spacing w:after="0" w:line="240" w:lineRule="auto"/>
              <w:jc w:val="center"/>
              <w:rPr>
                <w:noProof/>
                <w:color w:val="000000"/>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8F66965" w14:textId="09136860" w:rsidR="003C4798" w:rsidRDefault="00417595">
            <w:pPr>
              <w:pStyle w:val="P68B1DB1-Normal020"/>
              <w:spacing w:after="0" w:line="240" w:lineRule="auto"/>
              <w:rPr>
                <w:noProof/>
              </w:rPr>
            </w:pPr>
            <w:r>
              <w:rPr>
                <w:noProof/>
              </w:rPr>
              <w:t>Entrée en vigueur d'un ou de plusieurs actes juridiques prévoyant ce qui suit:</w:t>
            </w:r>
          </w:p>
          <w:p w14:paraId="6C771AA7" w14:textId="1701F1D9" w:rsidR="003C4798" w:rsidRDefault="00417595">
            <w:pPr>
              <w:pStyle w:val="P68B1DB1-Normal30"/>
              <w:numPr>
                <w:ilvl w:val="0"/>
                <w:numId w:val="6"/>
              </w:numPr>
              <w:spacing w:after="60" w:line="240" w:lineRule="auto"/>
              <w:ind w:left="357" w:hanging="357"/>
              <w:contextualSpacing/>
              <w:rPr>
                <w:noProof/>
                <w:kern w:val="2"/>
                <w14:ligatures w14:val="standardContextual"/>
              </w:rPr>
            </w:pPr>
            <w:r>
              <w:rPr>
                <w:noProof/>
                <w:kern w:val="2"/>
                <w14:ligatures w14:val="standardContextual"/>
              </w:rPr>
              <w:t>définir la</w:t>
            </w:r>
            <w:r>
              <w:rPr>
                <w:noProof/>
              </w:rPr>
              <w:t xml:space="preserve"> notion de</w:t>
            </w:r>
            <w:r>
              <w:rPr>
                <w:noProof/>
                <w:kern w:val="2"/>
                <w14:ligatures w14:val="standardContextual"/>
              </w:rPr>
              <w:t xml:space="preserve"> «soins de longue durée»;</w:t>
            </w:r>
          </w:p>
          <w:p w14:paraId="5FA42CCE" w14:textId="2F2D83EC" w:rsidR="003C4798" w:rsidRDefault="00417595">
            <w:pPr>
              <w:pStyle w:val="P68B1DB1-Normal31"/>
              <w:numPr>
                <w:ilvl w:val="0"/>
                <w:numId w:val="6"/>
              </w:numPr>
              <w:spacing w:after="60" w:line="240" w:lineRule="auto"/>
              <w:ind w:left="357" w:hanging="357"/>
              <w:contextualSpacing/>
              <w:rPr>
                <w:noProof/>
              </w:rPr>
            </w:pPr>
            <w:r>
              <w:rPr>
                <w:noProof/>
              </w:rPr>
              <w:t>définition des notions de «soignant informel» et de «soins informels»;</w:t>
            </w:r>
          </w:p>
          <w:p w14:paraId="0F6BCC33" w14:textId="7077AE2D" w:rsidR="003C4798" w:rsidRDefault="00417595">
            <w:pPr>
              <w:pStyle w:val="P68B1DB1-Normal32"/>
              <w:numPr>
                <w:ilvl w:val="0"/>
                <w:numId w:val="6"/>
              </w:numPr>
              <w:spacing w:after="60" w:line="240" w:lineRule="auto"/>
              <w:ind w:left="357" w:hanging="357"/>
              <w:contextualSpacing/>
              <w:rPr>
                <w:rFonts w:ascii="Times New Roman" w:hAnsi="Times New Roman"/>
                <w:noProof/>
                <w:kern w:val="2"/>
                <w14:ligatures w14:val="standardContextual"/>
              </w:rPr>
            </w:pPr>
            <w:r>
              <w:rPr>
                <w:rFonts w:ascii="Times New Roman" w:eastAsia="Aptos" w:hAnsi="Times New Roman" w:cs="Arial"/>
                <w:noProof/>
                <w:kern w:val="2"/>
                <w14:ligatures w14:val="standardContextual"/>
              </w:rPr>
              <w:t>l'option</w:t>
            </w:r>
            <w:r>
              <w:rPr>
                <w:rFonts w:ascii="Times New Roman" w:eastAsia="Aptos" w:hAnsi="Times New Roman" w:cs="Arial"/>
                <w:noProof/>
              </w:rPr>
              <w:t xml:space="preserve"> </w:t>
            </w:r>
            <w:r>
              <w:rPr>
                <w:rFonts w:ascii="Times New Roman" w:hAnsi="Times New Roman"/>
                <w:noProof/>
              </w:rPr>
              <w:t xml:space="preserve">des </w:t>
            </w:r>
            <w:r>
              <w:rPr>
                <w:rFonts w:ascii="Times New Roman" w:hAnsi="Times New Roman"/>
                <w:noProof/>
                <w:kern w:val="2"/>
                <w14:ligatures w14:val="standardContextual"/>
              </w:rPr>
              <w:t>dispositions légales relatives aux normes organisationnelles pour les</w:t>
            </w:r>
            <w:r>
              <w:rPr>
                <w:rFonts w:ascii="Times New Roman" w:eastAsia="Aptos" w:hAnsi="Times New Roman" w:cs="Arial"/>
                <w:noProof/>
                <w:kern w:val="2"/>
                <w14:ligatures w14:val="standardContextual"/>
              </w:rPr>
              <w:t xml:space="preserve"> </w:t>
            </w:r>
            <w:r>
              <w:rPr>
                <w:rFonts w:ascii="Times New Roman" w:eastAsia="Aptos" w:hAnsi="Times New Roman" w:cs="Arial"/>
                <w:noProof/>
              </w:rPr>
              <w:t>soins de longue durée dans le système de soins de santé et</w:t>
            </w:r>
            <w:r>
              <w:rPr>
                <w:rFonts w:ascii="Times New Roman" w:eastAsia="Aptos" w:hAnsi="Times New Roman" w:cs="Arial"/>
                <w:noProof/>
                <w:kern w:val="2"/>
                <w14:ligatures w14:val="standardContextual"/>
              </w:rPr>
              <w:t xml:space="preserve"> </w:t>
            </w:r>
            <w:r>
              <w:rPr>
                <w:rFonts w:ascii="Times New Roman" w:eastAsia="Aptos" w:hAnsi="Times New Roman" w:cs="Arial"/>
                <w:noProof/>
              </w:rPr>
              <w:t xml:space="preserve">l'adoption des </w:t>
            </w:r>
            <w:r>
              <w:rPr>
                <w:rFonts w:ascii="Times New Roman" w:eastAsia="Aptos" w:hAnsi="Times New Roman" w:cs="Arial"/>
                <w:noProof/>
                <w:kern w:val="2"/>
                <w14:ligatures w14:val="standardContextual"/>
              </w:rPr>
              <w:t xml:space="preserve">nouvelles </w:t>
            </w:r>
            <w:r>
              <w:rPr>
                <w:rFonts w:ascii="Times New Roman" w:eastAsia="Aptos" w:hAnsi="Times New Roman" w:cs="Arial"/>
                <w:noProof/>
              </w:rPr>
              <w:t xml:space="preserve"> </w:t>
            </w:r>
            <w:r>
              <w:rPr>
                <w:rFonts w:ascii="Times New Roman" w:hAnsi="Times New Roman"/>
                <w:noProof/>
                <w:kern w:val="2"/>
                <w14:ligatures w14:val="standardContextual"/>
              </w:rPr>
              <w:t xml:space="preserve">dispositions légales relatives aux normes pour les </w:t>
            </w:r>
            <w:r>
              <w:rPr>
                <w:rFonts w:ascii="Times New Roman" w:hAnsi="Times New Roman"/>
                <w:noProof/>
              </w:rPr>
              <w:t>services de soins</w:t>
            </w:r>
            <w:r>
              <w:rPr>
                <w:rFonts w:ascii="Times New Roman" w:hAnsi="Times New Roman"/>
                <w:noProof/>
                <w:kern w:val="2"/>
                <w14:ligatures w14:val="standardContextual"/>
              </w:rPr>
              <w:t xml:space="preserve"> fournis sur le lieu de résidence;</w:t>
            </w:r>
            <w:r>
              <w:rPr>
                <w:rFonts w:ascii="Times New Roman" w:eastAsia="Aptos" w:hAnsi="Times New Roman" w:cs="Arial"/>
                <w:noProof/>
              </w:rPr>
              <w:t xml:space="preserve"> </w:t>
            </w:r>
          </w:p>
          <w:p w14:paraId="5C38D69A" w14:textId="4897EE3C" w:rsidR="003C4798" w:rsidRDefault="00417595">
            <w:pPr>
              <w:pStyle w:val="P68B1DB1-Normal26"/>
              <w:numPr>
                <w:ilvl w:val="0"/>
                <w:numId w:val="6"/>
              </w:numPr>
              <w:spacing w:after="60" w:line="240" w:lineRule="auto"/>
              <w:ind w:left="357" w:hanging="357"/>
              <w:contextualSpacing/>
              <w:rPr>
                <w:noProof/>
              </w:rPr>
            </w:pPr>
            <w:r>
              <w:rPr>
                <w:noProof/>
              </w:rPr>
              <w:t>la désignation des organismes chargés de la coordination du système de soins de longue durée, des activités de suivi, d’évaluation et d’information.</w:t>
            </w:r>
          </w:p>
          <w:p w14:paraId="32F7C003" w14:textId="77777777" w:rsidR="003C4798" w:rsidRDefault="003C4798">
            <w:pPr>
              <w:pStyle w:val="Normal0"/>
              <w:spacing w:after="0" w:line="240" w:lineRule="auto"/>
              <w:rPr>
                <w:rFonts w:ascii="Times New Roman" w:hAnsi="Times New Roman"/>
                <w:noProof/>
                <w:color w:val="000000" w:themeColor="text1"/>
                <w:sz w:val="18"/>
              </w:rPr>
            </w:pPr>
          </w:p>
          <w:p w14:paraId="658E1000" w14:textId="4681A823" w:rsidR="003C4798" w:rsidRDefault="00417595">
            <w:pPr>
              <w:pStyle w:val="P68B1DB1-Normal020"/>
              <w:spacing w:after="0" w:line="240" w:lineRule="auto"/>
              <w:rPr>
                <w:noProof/>
              </w:rPr>
            </w:pPr>
            <w:r>
              <w:rPr>
                <w:noProof/>
              </w:rPr>
              <w:t xml:space="preserve">Outre les modifications apportées au cadre juridique, la Pologne prend les mesures suivantes: </w:t>
            </w:r>
          </w:p>
          <w:p w14:paraId="4E884FD8" w14:textId="07E7C2A2" w:rsidR="003C4798" w:rsidRDefault="00417595">
            <w:pPr>
              <w:pStyle w:val="P68B1DB1-Normal020"/>
              <w:numPr>
                <w:ilvl w:val="0"/>
                <w:numId w:val="38"/>
              </w:numPr>
              <w:spacing w:after="0" w:line="240" w:lineRule="auto"/>
              <w:rPr>
                <w:noProof/>
              </w:rPr>
            </w:pPr>
            <w:r>
              <w:rPr>
                <w:noProof/>
              </w:rPr>
              <w:t>publier les services et les avantages des soins de longue durée fournis dans le cadre de la politique de santé et d'aide sociale dans le bulletin public;</w:t>
            </w:r>
          </w:p>
          <w:p w14:paraId="66C15F42" w14:textId="6122888E" w:rsidR="003C4798" w:rsidRDefault="00417595">
            <w:pPr>
              <w:pStyle w:val="P68B1DB1-Normal020"/>
              <w:numPr>
                <w:ilvl w:val="0"/>
                <w:numId w:val="38"/>
              </w:numPr>
              <w:spacing w:after="0" w:line="240" w:lineRule="auto"/>
              <w:rPr>
                <w:noProof/>
              </w:rPr>
            </w:pPr>
            <w:r>
              <w:rPr>
                <w:noProof/>
              </w:rPr>
              <w:t>publier le réexamen des dépenses publiques afin d’évaluer l’état des finances publiques pour les soins de longue durée;</w:t>
            </w:r>
          </w:p>
          <w:p w14:paraId="1216B654" w14:textId="4F18DD1F" w:rsidR="003C4798" w:rsidRDefault="00417595">
            <w:pPr>
              <w:pStyle w:val="P68B1DB1-Normal020"/>
              <w:numPr>
                <w:ilvl w:val="0"/>
                <w:numId w:val="38"/>
              </w:numPr>
              <w:spacing w:after="0" w:line="240" w:lineRule="auto"/>
              <w:rPr>
                <w:noProof/>
              </w:rPr>
            </w:pPr>
            <w:r>
              <w:rPr>
                <w:noProof/>
              </w:rPr>
              <w:t>publier un document proposant une définition harmonisée de la qualité des soins de longue durée dans les systèmes sociaux et de soins de santé ainsi qu’un système de suivi et de collecte de données et son utilisation pour l’évaluation de la qualité des soins de longue durée.</w:t>
            </w:r>
          </w:p>
        </w:tc>
      </w:tr>
      <w:tr w:rsidR="003C4798" w14:paraId="1216B666"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6"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b/>
                <w:bCs/>
                <w:noProof/>
                <w:color w:val="000000"/>
              </w:rPr>
            </w:pPr>
            <w:r>
              <w:rPr>
                <w:noProof/>
              </w:rPr>
              <w:t>A71G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7"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A4.7 Limiter la segmentation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8"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9" w14:textId="04DDA946" w:rsidR="003C4798" w:rsidRDefault="00417595">
            <w:pPr>
              <w:pStyle w:val="P68B1DB1-Normal033"/>
              <w:pBdr>
                <w:top w:val="nil"/>
                <w:left w:val="nil"/>
                <w:bottom w:val="nil"/>
                <w:right w:val="nil"/>
                <w:between w:val="nil"/>
              </w:pBdr>
              <w:spacing w:after="0" w:line="240" w:lineRule="auto"/>
              <w:rPr>
                <w:rFonts w:eastAsia="Times New Roman" w:cs="Times New Roman"/>
                <w:noProof/>
                <w:color w:val="000000"/>
              </w:rPr>
            </w:pPr>
            <w:r>
              <w:rPr>
                <w:noProof/>
              </w:rPr>
              <w:t>Réforme de l'Inspection nationale du travail</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l’acte législatif indiquant son entrée en vigueur</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B"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C"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D"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E"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F" w14:textId="77777777"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2025</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0" w14:textId="77777777" w:rsidR="003C4798" w:rsidRDefault="00417595">
            <w:pPr>
              <w:pStyle w:val="P68B1DB1-Normal26"/>
              <w:pBdr>
                <w:top w:val="nil"/>
                <w:left w:val="nil"/>
                <w:bottom w:val="nil"/>
                <w:right w:val="nil"/>
                <w:between w:val="nil"/>
              </w:pBdr>
              <w:spacing w:after="60" w:line="240" w:lineRule="auto"/>
              <w:rPr>
                <w:noProof/>
              </w:rPr>
            </w:pPr>
            <w:r>
              <w:rPr>
                <w:noProof/>
              </w:rPr>
              <w:t>Entrée en vigueur d'un acte législatif qui prévoit ce qui suit:</w:t>
            </w:r>
          </w:p>
          <w:p w14:paraId="1216B661" w14:textId="77777777" w:rsidR="003C4798" w:rsidRDefault="00417595">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habiliter l'Inspection nationale du travail à prendre des décisions administratives convertissant les contrats de droit civil conclus dans les conditions d'un code du travail en contrats de travail;</w:t>
            </w:r>
          </w:p>
          <w:p w14:paraId="1216B662" w14:textId="77777777" w:rsidR="003C4798" w:rsidRDefault="00417595">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Permettre l'échange de données entre l'inspection du travail de l'État, l'institution d'assurance sociale (ZUS) et l'administration fiscale nationale (KAS) à des fins d'inspection;</w:t>
            </w:r>
          </w:p>
          <w:p w14:paraId="1216B663" w14:textId="77777777" w:rsidR="003C4798" w:rsidRDefault="00417595">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Introduire la possibilité pour l'Inspection nationale du travail d'effectuer des inspections à distance;</w:t>
            </w:r>
          </w:p>
          <w:p w14:paraId="1216B664" w14:textId="77777777" w:rsidR="003C4798" w:rsidRDefault="00417595">
            <w:pPr>
              <w:pStyle w:val="P68B1DB1-Normal30"/>
              <w:numPr>
                <w:ilvl w:val="0"/>
                <w:numId w:val="7"/>
              </w:numPr>
              <w:pBdr>
                <w:top w:val="nil"/>
                <w:left w:val="nil"/>
                <w:bottom w:val="nil"/>
                <w:right w:val="nil"/>
                <w:between w:val="nil"/>
              </w:pBdr>
              <w:spacing w:after="60" w:line="240" w:lineRule="auto"/>
              <w:ind w:left="357" w:hanging="357"/>
              <w:contextualSpacing/>
              <w:rPr>
                <w:noProof/>
                <w:color w:val="000000" w:themeColor="text1"/>
              </w:rPr>
            </w:pPr>
            <w:r>
              <w:rPr>
                <w:noProof/>
              </w:rPr>
              <w:t>Introduire l'obligation pour l'Inspection nationale du travail d'élaborer des plans d'action annuels et à long terme pour les inspections ciblées sur la base d'une analyse des risques;</w:t>
            </w:r>
          </w:p>
          <w:p w14:paraId="1216B665" w14:textId="46B3954E" w:rsidR="003C4798" w:rsidRDefault="00417595">
            <w:pPr>
              <w:pStyle w:val="P68B1DB1-Normal30"/>
              <w:numPr>
                <w:ilvl w:val="0"/>
                <w:numId w:val="7"/>
              </w:numPr>
              <w:pBdr>
                <w:top w:val="nil"/>
                <w:left w:val="nil"/>
                <w:bottom w:val="nil"/>
                <w:right w:val="nil"/>
                <w:between w:val="nil"/>
              </w:pBdr>
              <w:spacing w:after="60" w:line="240" w:lineRule="auto"/>
              <w:ind w:left="357" w:hanging="357"/>
              <w:contextualSpacing/>
              <w:rPr>
                <w:noProof/>
                <w:kern w:val="2"/>
                <w14:ligatures w14:val="standardContextual"/>
              </w:rPr>
            </w:pPr>
            <w:bookmarkStart w:id="5" w:name="_Hlk212214397"/>
            <w:r>
              <w:rPr>
                <w:noProof/>
              </w:rPr>
              <w:t>Augmenter d’au moins deux fois le montant maximal de l’amende que l’inspection nationale du travail peut infliger dans le cadre d’une procédure de mise en demeure.</w:t>
            </w:r>
            <w:bookmarkEnd w:id="5"/>
          </w:p>
        </w:tc>
      </w:tr>
      <w:tr w:rsidR="003C4798" w14:paraId="1216B67C"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7" w14:textId="77777777" w:rsidR="003C4798" w:rsidRDefault="00417595">
            <w:pPr>
              <w:pStyle w:val="P68B1DB1-Normal018"/>
              <w:spacing w:line="240" w:lineRule="auto"/>
              <w:jc w:val="center"/>
              <w:rPr>
                <w:noProof/>
              </w:rPr>
            </w:pPr>
            <w:r>
              <w:rPr>
                <w:noProof/>
              </w:rPr>
              <w:t>A72G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8" w14:textId="77777777" w:rsidR="003C4798" w:rsidRDefault="00417595">
            <w:pPr>
              <w:pStyle w:val="P68B1DB1-Normal033"/>
              <w:spacing w:line="240" w:lineRule="auto"/>
              <w:rPr>
                <w:noProof/>
              </w:rPr>
            </w:pPr>
            <w:r>
              <w:rPr>
                <w:noProof/>
              </w:rPr>
              <w:t>A4.7 Limiter la segmentation du marché du travail</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9" w14:textId="77777777" w:rsidR="003C4798" w:rsidRDefault="00417595">
            <w:pPr>
              <w:pStyle w:val="P68B1DB1-Normal020"/>
              <w:spacing w:line="240" w:lineRule="auto"/>
              <w:rPr>
                <w:noProof/>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A" w14:textId="77777777" w:rsidR="003C4798" w:rsidRDefault="00417595">
            <w:pPr>
              <w:pStyle w:val="P68B1DB1-Normal029"/>
              <w:spacing w:line="240" w:lineRule="auto"/>
              <w:rPr>
                <w:noProof/>
              </w:rPr>
            </w:pPr>
            <w:r>
              <w:rPr>
                <w:noProof/>
              </w:rPr>
              <w:t>Mesures de renforcement des capacités de l'Inspection nationale du travail</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B" w14:textId="77777777" w:rsidR="003C4798" w:rsidRDefault="00417595">
            <w:pPr>
              <w:pStyle w:val="P68B1DB1-Normal020"/>
              <w:spacing w:line="240" w:lineRule="auto"/>
              <w:rPr>
                <w:noProof/>
              </w:rPr>
            </w:pPr>
            <w:r>
              <w:rPr>
                <w:noProof/>
              </w:rPr>
              <w:t>Adoption de l'ensemble d'actions visant à renforcer les capacités de l'Inspection nationale du travail</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C" w14:textId="77777777" w:rsidR="003C4798" w:rsidRDefault="003C4798">
            <w:pPr>
              <w:pStyle w:val="Normal0"/>
              <w:spacing w:line="240" w:lineRule="auto"/>
              <w:jc w:val="center"/>
              <w:rPr>
                <w:rFonts w:ascii="Times New Roman" w:hAnsi="Times New Roman"/>
                <w:noProof/>
                <w:color w:val="000000" w:themeColor="text1"/>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D" w14:textId="77777777" w:rsidR="003C4798" w:rsidRDefault="003C4798">
            <w:pPr>
              <w:pStyle w:val="Normal0"/>
              <w:spacing w:line="240" w:lineRule="auto"/>
              <w:jc w:val="center"/>
              <w:rPr>
                <w:rFonts w:ascii="Times New Roman" w:hAnsi="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E" w14:textId="77777777" w:rsidR="003C4798" w:rsidRDefault="003C4798">
            <w:pPr>
              <w:pStyle w:val="Normal0"/>
              <w:spacing w:line="240" w:lineRule="auto"/>
              <w:jc w:val="center"/>
              <w:rPr>
                <w:rFonts w:ascii="Times New Roman" w:hAnsi="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F" w14:textId="77777777" w:rsidR="003C4798" w:rsidRDefault="00417595">
            <w:pPr>
              <w:pStyle w:val="P68B1DB1-Normal020"/>
              <w:spacing w:line="240" w:lineRule="auto"/>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0" w14:textId="77777777" w:rsidR="003C4798" w:rsidRDefault="00417595">
            <w:pPr>
              <w:pStyle w:val="P68B1DB1-Normal020"/>
              <w:spacing w:line="240" w:lineRule="auto"/>
              <w:jc w:val="center"/>
              <w:rPr>
                <w:noProof/>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1" w14:textId="77777777" w:rsidR="003C4798" w:rsidRDefault="00417595">
            <w:pPr>
              <w:pStyle w:val="P68B1DB1-Normal30"/>
              <w:pBdr>
                <w:top w:val="nil"/>
                <w:left w:val="nil"/>
                <w:bottom w:val="nil"/>
                <w:right w:val="nil"/>
                <w:between w:val="nil"/>
              </w:pBdr>
              <w:spacing w:after="0" w:line="240" w:lineRule="auto"/>
              <w:rPr>
                <w:noProof/>
                <w:kern w:val="2"/>
                <w14:ligatures w14:val="standardContextual"/>
              </w:rPr>
            </w:pPr>
            <w:r>
              <w:rPr>
                <w:noProof/>
              </w:rPr>
              <w:t>Un ensemble d’actions est adopté pour renforcer les capacités de l’inspection du travail de l’État, notamment:</w:t>
            </w:r>
          </w:p>
          <w:p w14:paraId="1216B672" w14:textId="77777777" w:rsidR="003C4798" w:rsidRDefault="00417595">
            <w:pPr>
              <w:pStyle w:val="P68B1DB1-Normal30"/>
              <w:numPr>
                <w:ilvl w:val="0"/>
                <w:numId w:val="8"/>
              </w:numPr>
              <w:pBdr>
                <w:top w:val="nil"/>
                <w:left w:val="nil"/>
                <w:bottom w:val="nil"/>
                <w:right w:val="nil"/>
                <w:between w:val="nil"/>
              </w:pBdr>
              <w:spacing w:after="0" w:line="240" w:lineRule="auto"/>
              <w:ind w:left="431" w:hanging="425"/>
              <w:contextualSpacing/>
              <w:rPr>
                <w:noProof/>
                <w:kern w:val="2"/>
                <w14:ligatures w14:val="standardContextual"/>
              </w:rPr>
            </w:pPr>
            <w:r>
              <w:rPr>
                <w:noProof/>
              </w:rPr>
              <w:t>L'adoption de la stratégie pluriannuelle sur le renforcement des capacités et les conditions de travail, qui prévoit:</w:t>
            </w:r>
          </w:p>
          <w:p w14:paraId="1216B673" w14:textId="77777777" w:rsidR="003C4798" w:rsidRDefault="00417595">
            <w:pPr>
              <w:pStyle w:val="P68B1DB1-Normal34"/>
              <w:numPr>
                <w:ilvl w:val="0"/>
                <w:numId w:val="9"/>
              </w:numPr>
              <w:pBdr>
                <w:top w:val="nil"/>
                <w:left w:val="nil"/>
                <w:bottom w:val="nil"/>
                <w:right w:val="nil"/>
                <w:between w:val="nil"/>
              </w:pBdr>
              <w:spacing w:after="60" w:line="240" w:lineRule="auto"/>
              <w:rPr>
                <w:noProof/>
              </w:rPr>
            </w:pPr>
            <w:r>
              <w:rPr>
                <w:noProof/>
              </w:rPr>
              <w:t>relever le défi des postes vacants;</w:t>
            </w:r>
          </w:p>
          <w:p w14:paraId="1216B674" w14:textId="77777777" w:rsidR="003C4798" w:rsidRDefault="00417595">
            <w:pPr>
              <w:pStyle w:val="P68B1DB1-Normal34"/>
              <w:numPr>
                <w:ilvl w:val="0"/>
                <w:numId w:val="9"/>
              </w:numPr>
              <w:pBdr>
                <w:top w:val="nil"/>
                <w:left w:val="nil"/>
                <w:bottom w:val="nil"/>
                <w:right w:val="nil"/>
                <w:between w:val="nil"/>
              </w:pBdr>
              <w:spacing w:after="60" w:line="240" w:lineRule="auto"/>
              <w:rPr>
                <w:noProof/>
              </w:rPr>
            </w:pPr>
            <w:r>
              <w:rPr>
                <w:noProof/>
              </w:rPr>
              <w:t>le déploiement d’outils informatiques à utiliser pour les inspections à distance;</w:t>
            </w:r>
          </w:p>
          <w:p w14:paraId="1216B675" w14:textId="77777777" w:rsidR="003C4798" w:rsidRDefault="00417595">
            <w:pPr>
              <w:pStyle w:val="P68B1DB1-Normal34"/>
              <w:numPr>
                <w:ilvl w:val="0"/>
                <w:numId w:val="9"/>
              </w:numPr>
              <w:pBdr>
                <w:top w:val="nil"/>
                <w:left w:val="nil"/>
                <w:bottom w:val="nil"/>
                <w:right w:val="nil"/>
                <w:between w:val="nil"/>
              </w:pBdr>
              <w:autoSpaceDE w:val="0"/>
              <w:autoSpaceDN w:val="0"/>
              <w:adjustRightInd w:val="0"/>
              <w:spacing w:after="60" w:line="240" w:lineRule="auto"/>
              <w:rPr>
                <w:noProof/>
                <w:color w:val="000000"/>
              </w:rPr>
            </w:pPr>
            <w:r>
              <w:rPr>
                <w:noProof/>
              </w:rPr>
              <w:t>plan de formation du personnel sur les nouvelles lois, les normes opérationnelles et les outils informatiques;</w:t>
            </w:r>
          </w:p>
          <w:p w14:paraId="1216B676" w14:textId="77777777" w:rsidR="003C4798" w:rsidRDefault="00417595">
            <w:pPr>
              <w:pStyle w:val="P68B1DB1-Normal34"/>
              <w:numPr>
                <w:ilvl w:val="0"/>
                <w:numId w:val="9"/>
              </w:numPr>
              <w:pBdr>
                <w:top w:val="nil"/>
                <w:left w:val="nil"/>
                <w:bottom w:val="nil"/>
                <w:right w:val="nil"/>
                <w:between w:val="nil"/>
              </w:pBdr>
              <w:autoSpaceDE w:val="0"/>
              <w:autoSpaceDN w:val="0"/>
              <w:adjustRightInd w:val="0"/>
              <w:spacing w:after="60" w:line="240" w:lineRule="auto"/>
              <w:rPr>
                <w:noProof/>
                <w:color w:val="000000"/>
              </w:rPr>
            </w:pPr>
            <w:r>
              <w:rPr>
                <w:noProof/>
              </w:rPr>
              <w:t xml:space="preserve">les méthodes de gestion et les outils d’évaluation des risques pour cibler les inspections. </w:t>
            </w:r>
          </w:p>
          <w:p w14:paraId="1216B677" w14:textId="77777777" w:rsidR="003C4798" w:rsidRDefault="00417595">
            <w:pPr>
              <w:pStyle w:val="P68B1DB1-Normal26"/>
              <w:numPr>
                <w:ilvl w:val="0"/>
                <w:numId w:val="8"/>
              </w:numPr>
              <w:pBdr>
                <w:top w:val="nil"/>
                <w:left w:val="nil"/>
                <w:bottom w:val="nil"/>
                <w:right w:val="nil"/>
                <w:between w:val="nil"/>
              </w:pBdr>
              <w:autoSpaceDE w:val="0"/>
              <w:autoSpaceDN w:val="0"/>
              <w:adjustRightInd w:val="0"/>
              <w:spacing w:after="60" w:line="240" w:lineRule="auto"/>
              <w:ind w:left="431" w:hanging="425"/>
              <w:rPr>
                <w:rFonts w:cs="Times New Roman"/>
                <w:noProof/>
                <w:color w:val="000000"/>
              </w:rPr>
            </w:pPr>
            <w:r>
              <w:rPr>
                <w:noProof/>
              </w:rPr>
              <w:t>l’adoption du budget de l’inspection nationale du travail pour 2026, avec une augmentation globale d’au moins 10 % par rapport à 2025;</w:t>
            </w:r>
          </w:p>
          <w:p w14:paraId="1216B678" w14:textId="77777777" w:rsidR="003C4798" w:rsidRDefault="00417595">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Création d ' un groupe de travail interinstitutionnel sur l ' évaluation des risques, avec la participation de représentants de l ' Inspection nationale du travail, de l ' Institut d ' assurance sociale et de l ' Administration fiscale nationale;</w:t>
            </w:r>
          </w:p>
          <w:p w14:paraId="1216B679" w14:textId="7273B7FC" w:rsidR="003C4798" w:rsidRDefault="00417595">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Lancement d'un canal d'échange électronique de données entre l'Inspection nationale du travail (PIP), l'Institution d'assurance sociale (ZUS) et l'Administration nationale du revenu (KAS);</w:t>
            </w:r>
          </w:p>
          <w:p w14:paraId="1216B67A" w14:textId="77777777" w:rsidR="003C4798" w:rsidRDefault="00417595">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la réalisation d’un audit des systèmes de sécurité informatique au sein de l’inspection du travail de l’État; et</w:t>
            </w:r>
          </w:p>
          <w:p w14:paraId="1216B67B" w14:textId="77777777" w:rsidR="003C4798" w:rsidRDefault="00417595">
            <w:pPr>
              <w:pStyle w:val="P68B1DB1-Normal34"/>
              <w:numPr>
                <w:ilvl w:val="0"/>
                <w:numId w:val="8"/>
              </w:numPr>
              <w:pBdr>
                <w:top w:val="nil"/>
                <w:left w:val="nil"/>
                <w:bottom w:val="nil"/>
                <w:right w:val="nil"/>
                <w:between w:val="nil"/>
              </w:pBdr>
              <w:autoSpaceDE w:val="0"/>
              <w:autoSpaceDN w:val="0"/>
              <w:adjustRightInd w:val="0"/>
              <w:spacing w:after="60" w:line="240" w:lineRule="auto"/>
              <w:ind w:left="431" w:hanging="425"/>
              <w:rPr>
                <w:noProof/>
                <w:color w:val="000000"/>
              </w:rPr>
            </w:pPr>
            <w:r>
              <w:rPr>
                <w:noProof/>
              </w:rPr>
              <w:t>L'adoption de l'ordonnance de l'Inspecteur en chef du travail sur les méthodes et normes de gestion pour les inspections du travail.</w:t>
            </w:r>
          </w:p>
        </w:tc>
      </w:tr>
      <w:tr w:rsidR="003C4798" w14:paraId="1216B688"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D" w14:textId="77777777" w:rsidR="003C4798" w:rsidRDefault="00417595">
            <w:pPr>
              <w:pStyle w:val="P68B1DB1-Normal018"/>
              <w:pBdr>
                <w:top w:val="nil"/>
                <w:left w:val="nil"/>
                <w:bottom w:val="nil"/>
                <w:right w:val="nil"/>
                <w:between w:val="nil"/>
              </w:pBdr>
              <w:spacing w:after="0" w:line="240" w:lineRule="auto"/>
              <w:jc w:val="center"/>
              <w:rPr>
                <w:noProof/>
              </w:rPr>
            </w:pPr>
            <w:r>
              <w:rPr>
                <w:noProof/>
              </w:rPr>
              <w:t>A73G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E" w14:textId="77777777" w:rsidR="003C4798" w:rsidRDefault="00417595">
            <w:pPr>
              <w:pStyle w:val="P68B1DB1-Normal020"/>
              <w:pBdr>
                <w:top w:val="nil"/>
                <w:left w:val="nil"/>
                <w:bottom w:val="nil"/>
                <w:right w:val="nil"/>
                <w:between w:val="nil"/>
              </w:pBdr>
              <w:spacing w:after="0" w:line="240" w:lineRule="auto"/>
              <w:rPr>
                <w:noProof/>
                <w:color w:val="000000"/>
              </w:rPr>
            </w:pPr>
            <w:r>
              <w:rPr>
                <w:noProof/>
              </w:rPr>
              <w:t>A5.1 Contribution au compartiment «États membres» au titre du programme InvestEU</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F" w14:textId="77777777" w:rsidR="003C4798" w:rsidRDefault="00417595">
            <w:pPr>
              <w:pStyle w:val="P68B1DB1-Normal020"/>
              <w:pBdr>
                <w:top w:val="nil"/>
                <w:left w:val="nil"/>
                <w:bottom w:val="nil"/>
                <w:right w:val="nil"/>
                <w:between w:val="nil"/>
              </w:pBdr>
              <w:spacing w:after="0" w:line="240" w:lineRule="auto"/>
              <w:rPr>
                <w:noProof/>
                <w:color w:val="000000"/>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0" w14:textId="77777777" w:rsidR="003C4798" w:rsidRDefault="00417595">
            <w:pPr>
              <w:pStyle w:val="P68B1DB1-Normal029"/>
              <w:pBdr>
                <w:top w:val="nil"/>
                <w:left w:val="nil"/>
                <w:bottom w:val="nil"/>
                <w:right w:val="nil"/>
                <w:between w:val="nil"/>
              </w:pBdr>
              <w:spacing w:after="0" w:line="240" w:lineRule="auto"/>
              <w:rPr>
                <w:noProof/>
              </w:rPr>
            </w:pPr>
            <w:r>
              <w:rPr>
                <w:noProof/>
              </w:rPr>
              <w:t>Signature de la convention de contribution entre le gouvernement polonais et la Commission européenne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1" w14:textId="77777777" w:rsidR="003C4798" w:rsidRDefault="00417595">
            <w:pPr>
              <w:pStyle w:val="P68B1DB1-Normal020"/>
              <w:pBdr>
                <w:top w:val="nil"/>
                <w:left w:val="nil"/>
                <w:bottom w:val="nil"/>
                <w:right w:val="nil"/>
                <w:between w:val="nil"/>
              </w:pBdr>
              <w:spacing w:after="0" w:line="240" w:lineRule="auto"/>
              <w:rPr>
                <w:noProof/>
              </w:rPr>
            </w:pPr>
            <w:r>
              <w:rPr>
                <w:noProof/>
              </w:rPr>
              <w:t>Signature de l'accord de contribution</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2"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3"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4"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5" w14:textId="77777777" w:rsidR="003C4798" w:rsidRDefault="00417595">
            <w:pPr>
              <w:pStyle w:val="P68B1DB1-Normal020"/>
              <w:pBdr>
                <w:top w:val="nil"/>
                <w:left w:val="nil"/>
                <w:bottom w:val="nil"/>
                <w:right w:val="nil"/>
                <w:between w:val="nil"/>
              </w:pBdr>
              <w:spacing w:after="0" w:line="240" w:lineRule="auto"/>
              <w:jc w:val="center"/>
              <w:rPr>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6" w14:textId="77777777"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2025</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7" w14:textId="77777777" w:rsidR="003C4798" w:rsidRDefault="00417595">
            <w:pPr>
              <w:pStyle w:val="P68B1DB1-Normal018"/>
              <w:pBdr>
                <w:top w:val="nil"/>
                <w:left w:val="nil"/>
                <w:bottom w:val="nil"/>
                <w:right w:val="nil"/>
                <w:between w:val="nil"/>
              </w:pBdr>
              <w:spacing w:after="0" w:line="240" w:lineRule="auto"/>
              <w:rPr>
                <w:noProof/>
                <w:color w:val="000000" w:themeColor="text1"/>
              </w:rPr>
            </w:pPr>
            <w:r>
              <w:rPr>
                <w:noProof/>
                <w:color w:val="000000" w:themeColor="text1"/>
              </w:rPr>
              <w:t xml:space="preserve">Signature de la convention de contribution au titre d’InvestEU entre le gouvernement polonais et la Commission européenne </w:t>
            </w:r>
            <w:r>
              <w:rPr>
                <w:noProof/>
              </w:rPr>
              <w:t>pour un montant de 339</w:t>
            </w:r>
            <w:r>
              <w:rPr>
                <w:noProof/>
                <w:color w:val="000000" w:themeColor="text1"/>
              </w:rPr>
              <w:t> </w:t>
            </w:r>
            <w:r>
              <w:rPr>
                <w:noProof/>
              </w:rPr>
              <w:t>305</w:t>
            </w:r>
            <w:r>
              <w:rPr>
                <w:noProof/>
                <w:color w:val="000000" w:themeColor="text1"/>
              </w:rPr>
              <w:t> </w:t>
            </w:r>
            <w:r>
              <w:rPr>
                <w:noProof/>
              </w:rPr>
              <w:t>938 EUR.</w:t>
            </w:r>
          </w:p>
        </w:tc>
      </w:tr>
      <w:tr w:rsidR="003C4798" w14:paraId="1216B694"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9" w14:textId="77777777" w:rsidR="003C4798" w:rsidRDefault="00417595">
            <w:pPr>
              <w:pStyle w:val="P68B1DB1-Normal018"/>
              <w:pBdr>
                <w:top w:val="nil"/>
                <w:left w:val="nil"/>
                <w:bottom w:val="nil"/>
                <w:right w:val="nil"/>
                <w:between w:val="nil"/>
              </w:pBdr>
              <w:spacing w:after="0" w:line="240" w:lineRule="auto"/>
              <w:jc w:val="center"/>
              <w:rPr>
                <w:noProof/>
              </w:rPr>
            </w:pPr>
            <w:r>
              <w:rPr>
                <w:noProof/>
              </w:rPr>
              <w:t>A74G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A" w14:textId="77777777" w:rsidR="003C4798" w:rsidRDefault="00417595">
            <w:pPr>
              <w:pStyle w:val="P68B1DB1-Normal020"/>
              <w:spacing w:line="240" w:lineRule="auto"/>
              <w:rPr>
                <w:noProof/>
              </w:rPr>
            </w:pPr>
            <w:r>
              <w:rPr>
                <w:noProof/>
              </w:rPr>
              <w:t>A5.1 Contribution au compartiment «États membres» au titre du programme InvestEU</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B" w14:textId="77777777" w:rsidR="003C4798" w:rsidRDefault="00417595">
            <w:pPr>
              <w:pStyle w:val="P68B1DB1-Normal020"/>
              <w:pBdr>
                <w:top w:val="nil"/>
                <w:left w:val="nil"/>
                <w:bottom w:val="nil"/>
                <w:right w:val="nil"/>
                <w:between w:val="nil"/>
              </w:pBdr>
              <w:spacing w:after="0" w:line="240" w:lineRule="auto"/>
              <w:rPr>
                <w:noProof/>
              </w:rPr>
            </w:pPr>
            <w:r>
              <w:rPr>
                <w:noProof/>
              </w:rPr>
              <w:t>Objectif</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C" w14:textId="77777777" w:rsidR="003C4798" w:rsidRDefault="00417595">
            <w:pPr>
              <w:pStyle w:val="P68B1DB1-Normal029"/>
              <w:pBdr>
                <w:top w:val="nil"/>
                <w:left w:val="nil"/>
                <w:bottom w:val="nil"/>
                <w:right w:val="nil"/>
                <w:between w:val="nil"/>
              </w:pBdr>
              <w:spacing w:after="0" w:line="240" w:lineRule="auto"/>
              <w:rPr>
                <w:noProof/>
              </w:rPr>
            </w:pPr>
            <w:r>
              <w:rPr>
                <w:noProof/>
              </w:rPr>
              <w:t>Opérations de financement ou d’investissement approuvées par le comité d’investissement InvestEU</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D" w14:textId="77777777" w:rsidR="003C4798" w:rsidRDefault="003C4798">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E" w14:textId="77777777"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Pourcentage (%)</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F" w14:textId="77777777"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0" w14:textId="77777777"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100%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1" w14:textId="77777777" w:rsidR="003C4798" w:rsidRDefault="00417595">
            <w:pPr>
              <w:pStyle w:val="P68B1DB1-Normal020"/>
              <w:pBdr>
                <w:top w:val="nil"/>
                <w:left w:val="nil"/>
                <w:bottom w:val="nil"/>
                <w:right w:val="nil"/>
                <w:between w:val="nil"/>
              </w:pBdr>
              <w:spacing w:after="0" w:line="240" w:lineRule="auto"/>
              <w:jc w:val="center"/>
              <w:rPr>
                <w:noProof/>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2" w14:textId="77777777" w:rsidR="003C4798" w:rsidRDefault="00417595">
            <w:pPr>
              <w:pStyle w:val="P68B1DB1-Normal020"/>
              <w:pBdr>
                <w:top w:val="nil"/>
                <w:left w:val="nil"/>
                <w:bottom w:val="nil"/>
                <w:right w:val="nil"/>
                <w:between w:val="nil"/>
              </w:pBdr>
              <w:spacing w:after="0" w:line="240" w:lineRule="auto"/>
              <w:jc w:val="center"/>
              <w:rPr>
                <w:noProof/>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3" w14:textId="77777777" w:rsidR="003C4798" w:rsidRDefault="00417595">
            <w:pPr>
              <w:pStyle w:val="P68B1DB1-Normal020"/>
              <w:pBdr>
                <w:top w:val="nil"/>
                <w:left w:val="nil"/>
                <w:bottom w:val="nil"/>
                <w:right w:val="nil"/>
                <w:between w:val="nil"/>
              </w:pBdr>
              <w:spacing w:after="0" w:line="240" w:lineRule="auto"/>
              <w:rPr>
                <w:noProof/>
              </w:rPr>
            </w:pPr>
            <w:r>
              <w:rPr>
                <w:noProof/>
              </w:rPr>
              <w:t>Les opérations de financement ou d’investissement représentant 100 % du montant total des ressources allouées à l’instrument ont été approuvées par le comité d’investissement InvestEU.</w:t>
            </w:r>
          </w:p>
        </w:tc>
      </w:tr>
      <w:tr w:rsidR="003C4798" w14:paraId="1216B6A2" w14:textId="77777777" w:rsidTr="00EC21D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5" w14:textId="77777777" w:rsidR="003C4798" w:rsidRDefault="00417595">
            <w:pPr>
              <w:pStyle w:val="P68B1DB1-Normal018"/>
              <w:pBdr>
                <w:top w:val="nil"/>
                <w:left w:val="nil"/>
                <w:bottom w:val="nil"/>
                <w:right w:val="nil"/>
                <w:between w:val="nil"/>
              </w:pBdr>
              <w:spacing w:after="0" w:line="240" w:lineRule="auto"/>
              <w:jc w:val="center"/>
              <w:rPr>
                <w:noProof/>
              </w:rPr>
            </w:pPr>
            <w:r>
              <w:rPr>
                <w:noProof/>
              </w:rPr>
              <w:t>A75G</w:t>
            </w:r>
          </w:p>
        </w:tc>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6" w14:textId="77777777" w:rsidR="003C4798" w:rsidRDefault="00417595">
            <w:pPr>
              <w:pStyle w:val="P68B1DB1-Normal020"/>
              <w:spacing w:line="240" w:lineRule="auto"/>
              <w:rPr>
                <w:noProof/>
              </w:rPr>
            </w:pPr>
            <w:r>
              <w:rPr>
                <w:noProof/>
              </w:rPr>
              <w:t>A6.1 Contribution volontaire au programme de l’UE pour une connectivité sécurisée (IRIS</w:t>
            </w:r>
            <w:r>
              <w:rPr>
                <w:noProof/>
                <w:vertAlign w:val="superscript"/>
              </w:rPr>
              <w:t xml:space="preserve"> 2)</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7" w14:textId="77777777" w:rsidR="003C4798" w:rsidRDefault="00417595">
            <w:pPr>
              <w:pStyle w:val="P68B1DB1-Normal020"/>
              <w:pBdr>
                <w:top w:val="nil"/>
                <w:left w:val="nil"/>
                <w:bottom w:val="nil"/>
                <w:right w:val="nil"/>
                <w:between w:val="nil"/>
              </w:pBdr>
              <w:spacing w:after="0" w:line="240" w:lineRule="auto"/>
              <w:rPr>
                <w:noProof/>
              </w:rPr>
            </w:pPr>
            <w:r>
              <w:rPr>
                <w:noProof/>
              </w:rPr>
              <w:t>Étape</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8" w14:textId="77777777" w:rsidR="003C4798" w:rsidRDefault="00417595">
            <w:pPr>
              <w:pStyle w:val="P68B1DB1-Normal035"/>
              <w:pBdr>
                <w:top w:val="nil"/>
                <w:left w:val="nil"/>
                <w:bottom w:val="nil"/>
                <w:right w:val="nil"/>
                <w:between w:val="nil"/>
              </w:pBd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Signature de l’accord de contribution entre le gouvernement polonais et la Commission européenne et affectation d’une contribution volontaire au programme de l’UE pour une connectivité sécurisée (IRIS</w:t>
            </w:r>
            <w:r>
              <w:rPr>
                <w:rFonts w:ascii="Times New Roman" w:hAnsi="Times New Roman"/>
                <w:noProof/>
                <w:vertAlign w:val="superscript"/>
              </w:rPr>
              <w:t xml:space="preserve"> 2)</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9" w14:textId="77777777" w:rsidR="003C4798" w:rsidRDefault="00417595">
            <w:pPr>
              <w:pStyle w:val="P68B1DB1-Normal020"/>
              <w:pBdr>
                <w:top w:val="nil"/>
                <w:left w:val="nil"/>
                <w:bottom w:val="nil"/>
                <w:right w:val="nil"/>
                <w:between w:val="nil"/>
              </w:pBdr>
              <w:spacing w:after="0" w:line="240" w:lineRule="auto"/>
              <w:rPr>
                <w:noProof/>
              </w:rPr>
            </w:pPr>
            <w:r>
              <w:rPr>
                <w:noProof/>
              </w:rPr>
              <w:t>Signature de l'accord de contribution</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A"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B"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C"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D" w14:textId="77777777" w:rsidR="003C4798" w:rsidRDefault="00417595">
            <w:pPr>
              <w:pStyle w:val="P68B1DB1-Normal020"/>
              <w:pBdr>
                <w:top w:val="nil"/>
                <w:left w:val="nil"/>
                <w:bottom w:val="nil"/>
                <w:right w:val="nil"/>
                <w:between w:val="nil"/>
              </w:pBdr>
              <w:spacing w:after="0" w:line="240" w:lineRule="auto"/>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E" w14:textId="77777777" w:rsidR="003C4798" w:rsidRDefault="00417595">
            <w:pPr>
              <w:pStyle w:val="P68B1DB1-Normal020"/>
              <w:pBdr>
                <w:top w:val="nil"/>
                <w:left w:val="nil"/>
                <w:bottom w:val="nil"/>
                <w:right w:val="nil"/>
                <w:between w:val="nil"/>
              </w:pBdr>
              <w:spacing w:after="0" w:line="240" w:lineRule="auto"/>
              <w:jc w:val="center"/>
              <w:rPr>
                <w:noProof/>
              </w:rPr>
            </w:pPr>
            <w:r>
              <w:rPr>
                <w:noProof/>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F" w14:textId="77777777" w:rsidR="003C4798" w:rsidRDefault="00417595">
            <w:pPr>
              <w:pStyle w:val="P68B1DB1-Normal020"/>
              <w:pBdr>
                <w:top w:val="nil"/>
                <w:left w:val="nil"/>
                <w:bottom w:val="nil"/>
                <w:right w:val="nil"/>
                <w:between w:val="nil"/>
              </w:pBdr>
              <w:spacing w:after="0" w:line="240" w:lineRule="auto"/>
              <w:rPr>
                <w:noProof/>
              </w:rPr>
            </w:pPr>
            <w:r>
              <w:rPr>
                <w:noProof/>
              </w:rPr>
              <w:t>Signature de la convention de contribution entre la Pologne et la Commission européenne. Cet accord de contribution comprend les activités qui seraient financées au titre de la contribution volontaire.</w:t>
            </w:r>
          </w:p>
          <w:p w14:paraId="1216B6A0" w14:textId="5B86C6B1" w:rsidR="003C4798" w:rsidRDefault="003C4798">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6A1" w14:textId="426972DD" w:rsidR="003C4798" w:rsidRDefault="00417595">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La Pologne transfère 656 326 691 EUR au programme de l’UE pour une connectivité sécurisée (IRIS</w:t>
            </w:r>
            <w:r>
              <w:rPr>
                <w:rFonts w:ascii="Times New Roman" w:hAnsi="Times New Roman"/>
                <w:noProof/>
                <w:color w:val="000000" w:themeColor="text1"/>
                <w:sz w:val="18"/>
                <w:szCs w:val="18"/>
                <w:vertAlign w:val="superscript"/>
              </w:rPr>
              <w:t xml:space="preserve"> 2).</w:t>
            </w:r>
          </w:p>
        </w:tc>
      </w:tr>
    </w:tbl>
    <w:p w14:paraId="1216B6A4"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645236E8"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sectPr w:rsidR="003C4798" w:rsidSect="006C5441">
          <w:headerReference w:type="even" r:id="rId30"/>
          <w:headerReference w:type="default" r:id="rId31"/>
          <w:footerReference w:type="even" r:id="rId32"/>
          <w:footerReference w:type="default" r:id="rId33"/>
          <w:headerReference w:type="first" r:id="rId34"/>
          <w:footerReference w:type="first" r:id="rId35"/>
          <w:pgSz w:w="16839" w:h="11907" w:orient="landscape"/>
          <w:pgMar w:top="1134" w:right="1134" w:bottom="1134" w:left="1134" w:header="567" w:footer="567" w:gutter="0"/>
          <w:cols w:space="720"/>
          <w:docGrid w:linePitch="299"/>
        </w:sectPr>
      </w:pPr>
    </w:p>
    <w:p w14:paraId="1216B6A7" w14:textId="77777777" w:rsidR="003C4798" w:rsidRDefault="00417595">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themeColor="text1"/>
          <w:sz w:val="24"/>
          <w:szCs w:val="24"/>
        </w:rPr>
        <w:t xml:space="preserve">A.3. </w:t>
      </w:r>
      <w:r>
        <w:rPr>
          <w:noProof/>
        </w:rPr>
        <w:t xml:space="preserve"> </w:t>
      </w:r>
      <w:r>
        <w:rPr>
          <w:rFonts w:ascii="Times New Roman" w:hAnsi="Times New Roman"/>
          <w:b/>
          <w:noProof/>
          <w:color w:val="000000" w:themeColor="text1"/>
          <w:sz w:val="24"/>
          <w:szCs w:val="24"/>
        </w:rPr>
        <w:t xml:space="preserve">Description des réformes et des investissements pour le prêt </w:t>
      </w:r>
    </w:p>
    <w:p w14:paraId="1216B6A8"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000000"/>
          <w:sz w:val="24"/>
          <w:szCs w:val="24"/>
        </w:rPr>
      </w:pPr>
    </w:p>
    <w:p w14:paraId="1216B6A9" w14:textId="77777777" w:rsidR="003C4798" w:rsidRDefault="00417595">
      <w:pPr>
        <w:pStyle w:val="P68B1DB1-Normal036"/>
        <w:spacing w:before="120" w:after="120" w:line="240" w:lineRule="auto"/>
        <w:jc w:val="both"/>
        <w:rPr>
          <w:rFonts w:eastAsia="Times New Roman" w:cs="Times New Roman"/>
          <w:bCs/>
          <w:noProof/>
        </w:rPr>
      </w:pPr>
      <w:r>
        <w:rPr>
          <w:noProof/>
        </w:rPr>
        <w:t>A2.5 Renforcer le potentiel du secteur culturel et des industries culturelles pour le développement économique</w:t>
      </w:r>
    </w:p>
    <w:p w14:paraId="1216B6AA" w14:textId="77777777" w:rsidR="003C4798" w:rsidRDefault="00417595">
      <w:pPr>
        <w:pStyle w:val="P68B1DB1-Normal037"/>
        <w:spacing w:before="120" w:after="120" w:line="240" w:lineRule="auto"/>
        <w:jc w:val="both"/>
        <w:rPr>
          <w:rFonts w:eastAsia="Times New Roman" w:cs="Times New Roman"/>
          <w:noProof/>
        </w:rPr>
      </w:pPr>
      <w:r>
        <w:rPr>
          <w:noProof/>
        </w:rPr>
        <w:t>L’objectif général de cette réforme est de concevoir et de créer un cadre pour soutenir les secteurs de la culture et de la création au lendemain de la pandémie de COVID-19. La réforme consiste en l'adoption d'un document d'orientation portant sur les questions suivantes: (i) identifier les principaux défis à moyen et long terme dans le CSS; ii) veiller au respect des principes horizontaux de l’Union, y compris l’égalité entre les hommes et les femmes et la non-discrimination; iii) déterminer le potentiel des outils et plateformes écologiques et numériques pour relever ces défis; iv) élaborer des concepts de coopération et de transfert de connaissances et de compétences entre les secteurs de la culture et de la création et avec les secteurs de la science, de l’éducation, de la technologie et des entreprises, en mettant l’accent sur les principes généraux de l’UE, y compris l’égalité entre les hommes et les femmes et la non-discrimination; v) recenser les options privilégiées pour apporter un soutien public aux actions menées dans les secteurs de la culture et de la création.</w:t>
      </w:r>
    </w:p>
    <w:p w14:paraId="1216B6AB" w14:textId="77777777" w:rsidR="003C4798" w:rsidRDefault="00417595">
      <w:pPr>
        <w:pStyle w:val="P68B1DB1-Normal38"/>
        <w:spacing w:before="120" w:after="120" w:line="240" w:lineRule="auto"/>
        <w:jc w:val="both"/>
        <w:rPr>
          <w:rFonts w:eastAsia="Times New Roman" w:cs="Times New Roman"/>
          <w:noProof/>
        </w:rPr>
      </w:pPr>
      <w:r>
        <w:rPr>
          <w:noProof/>
        </w:rPr>
        <w:t>La mise en œuvre de la réforme est achevée au plus tard le 31 décembre 2022.</w:t>
      </w:r>
    </w:p>
    <w:p w14:paraId="1216B6AC" w14:textId="77777777" w:rsidR="003C4798" w:rsidRDefault="003C4798">
      <w:pPr>
        <w:pStyle w:val="Normal0"/>
        <w:spacing w:before="120" w:after="120" w:line="240" w:lineRule="auto"/>
        <w:jc w:val="both"/>
        <w:rPr>
          <w:rFonts w:ascii="Times New Roman" w:eastAsia="Times New Roman" w:hAnsi="Times New Roman" w:cs="Times New Roman"/>
          <w:noProof/>
          <w:color w:val="000000" w:themeColor="text1"/>
          <w:sz w:val="24"/>
          <w:szCs w:val="24"/>
        </w:rPr>
      </w:pPr>
    </w:p>
    <w:p w14:paraId="1216B6AD" w14:textId="77777777" w:rsidR="003C4798" w:rsidRDefault="00417595">
      <w:pPr>
        <w:pStyle w:val="P68B1DB1-Normal39"/>
        <w:jc w:val="both"/>
        <w:rPr>
          <w:noProof/>
        </w:rPr>
      </w:pPr>
      <w:r>
        <w:rPr>
          <w:noProof/>
        </w:rPr>
        <w:t xml:space="preserve">A2.5.1 </w:t>
      </w:r>
      <w:bookmarkStart w:id="6" w:name="_Hlk209001986"/>
      <w:r>
        <w:rPr>
          <w:noProof/>
        </w:rPr>
        <w:t>Programme de soutien aux activités des entités des secteurs de la culture et de la création</w:t>
      </w:r>
    </w:p>
    <w:bookmarkEnd w:id="6"/>
    <w:p w14:paraId="1216B6AE" w14:textId="77777777" w:rsidR="003C4798" w:rsidRDefault="00417595">
      <w:pPr>
        <w:pStyle w:val="P68B1DB1-Normal38"/>
        <w:spacing w:after="120" w:line="240" w:lineRule="auto"/>
        <w:jc w:val="both"/>
        <w:rPr>
          <w:rFonts w:eastAsia="Times New Roman" w:cs="Times New Roman"/>
          <w:noProof/>
          <w:color w:val="000000"/>
        </w:rPr>
      </w:pPr>
      <w:r>
        <w:rPr>
          <w:noProof/>
        </w:rPr>
        <w:t>L’objectif de cet investissement est de prévenir les effets négatifs à long terme de la pandémie de COVID-19 et d’encourager la transition écologique et numérique dans les secteurs de la culture et de la création. Cette mesure consiste à fournir: (i) un programme de subventions pour des projets dans le secteur de la culture et de la création (SCC) et (ii) un programme de bourses pour les personnes dans le secteur de la culture et de la création.</w:t>
      </w:r>
    </w:p>
    <w:p w14:paraId="1216B6AF" w14:textId="77777777" w:rsidR="003C4798" w:rsidRDefault="003C4798">
      <w:pPr>
        <w:jc w:val="both"/>
        <w:rPr>
          <w:rFonts w:ascii="Times New Roman" w:hAnsi="Times New Roman"/>
          <w:noProof/>
          <w:color w:val="000000" w:themeColor="text1"/>
          <w:sz w:val="24"/>
          <w:szCs w:val="24"/>
        </w:rPr>
      </w:pPr>
    </w:p>
    <w:p w14:paraId="1216B6B0"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A2.6 Réforme du système national de surveillance des services, produits, outils d'analyse, services et infrastructures d'accompagnement utilisant les données satellitaires</w:t>
      </w:r>
    </w:p>
    <w:p w14:paraId="1216B6B1" w14:textId="17279828" w:rsidR="003C4798" w:rsidRDefault="00417595">
      <w:pPr>
        <w:pStyle w:val="P68B1DB1-Normal037"/>
        <w:pBdr>
          <w:top w:val="nil"/>
          <w:left w:val="nil"/>
          <w:bottom w:val="nil"/>
          <w:right w:val="nil"/>
          <w:between w:val="nil"/>
        </w:pBdr>
        <w:spacing w:before="120" w:after="120" w:line="240" w:lineRule="auto"/>
        <w:jc w:val="both"/>
        <w:rPr>
          <w:noProof/>
        </w:rPr>
      </w:pPr>
      <w:r>
        <w:rPr>
          <w:noProof/>
        </w:rPr>
        <w:t>L'objectif de la réforme est de faciliter l'utilisation des données satellitaires.</w:t>
      </w:r>
    </w:p>
    <w:p w14:paraId="1216B6B2" w14:textId="650501AF" w:rsidR="003C4798" w:rsidRDefault="00417595">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Cette mesure consiste en l'adoption d'une loi sur les activités spatiales.</w:t>
      </w:r>
    </w:p>
    <w:p w14:paraId="1216B6B3"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6B4"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A2.6.1 Investissements dans le Système national d'information par satellite (SNIS) et les satellites</w:t>
      </w:r>
    </w:p>
    <w:p w14:paraId="1216B6B5" w14:textId="77777777" w:rsidR="003C4798" w:rsidRDefault="00417595">
      <w:pPr>
        <w:pStyle w:val="P68B1DB1-Normal037"/>
        <w:pBdr>
          <w:top w:val="nil"/>
          <w:left w:val="nil"/>
          <w:bottom w:val="nil"/>
          <w:right w:val="nil"/>
          <w:between w:val="nil"/>
        </w:pBdr>
        <w:spacing w:before="120" w:after="120" w:line="240" w:lineRule="auto"/>
        <w:jc w:val="both"/>
        <w:rPr>
          <w:noProof/>
        </w:rPr>
      </w:pPr>
      <w:r>
        <w:rPr>
          <w:noProof/>
        </w:rPr>
        <w:t>L’objectif de cet investissement est de faciliter l’utilisation de l’observation de la Terre par satellite en Pologne et d’assurer la production et la fourniture d’informations d’observation de la Terre traitées.</w:t>
      </w:r>
    </w:p>
    <w:p w14:paraId="1216B6B6" w14:textId="77777777" w:rsidR="003C4798" w:rsidRDefault="00417595">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L'investissement consiste en la plate-forme informatique du système national d'information par satellite (NSIS) pour les services de surveillance utilisant l'observation de la Terre par satellite et la construction de quatre satellites.</w:t>
      </w:r>
    </w:p>
    <w:p w14:paraId="1216B6B7"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6B8" w14:textId="7A96AB89" w:rsidR="003C4798" w:rsidRDefault="00417595">
      <w:pPr>
        <w:pStyle w:val="P68B1DB1-Normal40"/>
        <w:spacing w:before="120" w:after="160" w:line="257" w:lineRule="auto"/>
        <w:rPr>
          <w:noProof/>
        </w:rPr>
      </w:pPr>
      <w:r>
        <w:rPr>
          <w:noProof/>
        </w:rPr>
        <w:t>A2.7.1 Fonds pour la sécurité et la défense</w:t>
      </w:r>
    </w:p>
    <w:p w14:paraId="1216B6B9" w14:textId="0C1E7789" w:rsidR="003C4798" w:rsidRDefault="00417595">
      <w:pPr>
        <w:pStyle w:val="P68B1DB1-Normal41"/>
        <w:spacing w:before="120" w:after="120" w:line="240" w:lineRule="auto"/>
        <w:jc w:val="both"/>
        <w:rPr>
          <w:noProof/>
        </w:rPr>
      </w:pPr>
      <w:r>
        <w:rPr>
          <w:noProof/>
        </w:rPr>
        <w:t>Cette mesure vise à renforcer la résilience de l’économie polonaise en ajustant structurellement le niveau de soutien public disponible pour remédier aux défaillances et aux inefficacités du marché dans les secteurs de la sécurité et de la défense de l’économie.</w:t>
      </w:r>
    </w:p>
    <w:p w14:paraId="1216B6BA" w14:textId="2FF05DB7" w:rsidR="003C4798" w:rsidRDefault="00417595">
      <w:pPr>
        <w:pStyle w:val="P68B1DB1-Normal41"/>
        <w:spacing w:before="120" w:after="120" w:line="240" w:lineRule="auto"/>
        <w:jc w:val="both"/>
        <w:rPr>
          <w:noProof/>
        </w:rPr>
      </w:pPr>
      <w:r>
        <w:rPr>
          <w:noProof/>
        </w:rPr>
        <w:t xml:space="preserve">La mesure consistera en une injection de fonds propres d’un montant de 5 471 689 564 EUR dans une entreprise (ci-après le «Fonds») afin de financer des investissements dans la défense et la sécurité, comme indiqué ci-dessous. </w:t>
      </w:r>
    </w:p>
    <w:p w14:paraId="1216B6BB" w14:textId="77777777" w:rsidR="003C4798" w:rsidRDefault="00417595">
      <w:pPr>
        <w:pStyle w:val="P68B1DB1-Normal41"/>
        <w:spacing w:before="120" w:after="120" w:line="240" w:lineRule="auto"/>
        <w:jc w:val="both"/>
        <w:rPr>
          <w:noProof/>
        </w:rPr>
      </w:pPr>
      <w:r>
        <w:rPr>
          <w:noProof/>
        </w:rPr>
        <w:t>La Banque Gospodarstwa Krajowego (BGK) est habilitée par la loi à créer et à superviser le Fonds. La loi comprend les éléments suivants:</w:t>
      </w:r>
    </w:p>
    <w:p w14:paraId="1216B6BC" w14:textId="77777777" w:rsidR="003C4798" w:rsidRDefault="00417595">
      <w:pPr>
        <w:pStyle w:val="P68B1DB1-ListParagraph42"/>
        <w:numPr>
          <w:ilvl w:val="0"/>
          <w:numId w:val="10"/>
        </w:numPr>
        <w:spacing w:before="120" w:after="120" w:line="240" w:lineRule="auto"/>
        <w:ind w:left="425" w:hanging="357"/>
        <w:jc w:val="both"/>
        <w:rPr>
          <w:noProof/>
        </w:rPr>
      </w:pPr>
      <w:r>
        <w:rPr>
          <w:noProof/>
        </w:rPr>
        <w:t>Une définition des objectifs du Fonds et des domaines d'investissement éligibles que le Fonds peut soutenir: (i) le développement de bâtiments de protection et d’infrastructures de protection civile, (ii) la construction et la modernisation d’infrastructures à double usage, (iii) les investissements dans la cybersécurité et (iv) la modernisation des entreprises, y compris le soutien à la R&amp;D.</w:t>
      </w:r>
    </w:p>
    <w:p w14:paraId="1216B6BD" w14:textId="77777777" w:rsidR="003C4798" w:rsidRDefault="00417595">
      <w:pPr>
        <w:pStyle w:val="P68B1DB1-ListParagraph42"/>
        <w:numPr>
          <w:ilvl w:val="0"/>
          <w:numId w:val="10"/>
        </w:numPr>
        <w:spacing w:before="120" w:after="120" w:line="240" w:lineRule="auto"/>
        <w:ind w:left="425" w:hanging="357"/>
        <w:jc w:val="both"/>
        <w:rPr>
          <w:rFonts w:eastAsia="Times New Roman"/>
          <w:noProof/>
        </w:rPr>
      </w:pPr>
      <w:r>
        <w:rPr>
          <w:noProof/>
        </w:rPr>
        <w:t>La loi précise que le Fonds fonctionne conformément aux objectifs de la facilité pour la reprise et la résilience. La loi prévoit également l’obligation de veiller à ce que la portée des investissements à mettre en œuvre soit conforme à ce qui peut être financé au titre du budget de l’Union, y compris en vertu du traité sur le fonctionnement de l’Union européenne.</w:t>
      </w:r>
    </w:p>
    <w:p w14:paraId="1216B6BE" w14:textId="77777777" w:rsidR="003C4798" w:rsidRDefault="00417595">
      <w:pPr>
        <w:pStyle w:val="P68B1DB1-ListParagraph42"/>
        <w:numPr>
          <w:ilvl w:val="0"/>
          <w:numId w:val="10"/>
        </w:numPr>
        <w:spacing w:before="120" w:after="120" w:line="240" w:lineRule="auto"/>
        <w:ind w:left="425" w:hanging="357"/>
        <w:jc w:val="both"/>
        <w:rPr>
          <w:noProof/>
        </w:rPr>
      </w:pPr>
      <w:r>
        <w:rPr>
          <w:noProof/>
        </w:rPr>
        <w:t>L'exigence que le Fonds soit une filiale de la BGK et que la BGK soit l'unique propriétaire du Fonds. Une partie des fonds propres injectés dans le Fonds est confiée par le Fonds à la BGK pour l'octroi de prêts aux bénéficiaires finaux et la BGK gère directement ces opérations de prêt. Le reste des fonds propres injectés est consacré à des investissements en fonds propres. BGK sera impliquée dans les décisions d'investissement du Fonds pour ces investissements en actions.</w:t>
      </w:r>
    </w:p>
    <w:p w14:paraId="1216B6BF" w14:textId="77777777" w:rsidR="003C4798" w:rsidRDefault="00417595">
      <w:pPr>
        <w:pStyle w:val="P68B1DB1-ListParagraph42"/>
        <w:numPr>
          <w:ilvl w:val="0"/>
          <w:numId w:val="10"/>
        </w:numPr>
        <w:spacing w:before="120" w:after="120" w:line="240" w:lineRule="auto"/>
        <w:ind w:left="425" w:hanging="357"/>
        <w:jc w:val="both"/>
        <w:rPr>
          <w:noProof/>
        </w:rPr>
      </w:pPr>
      <w:r>
        <w:rPr>
          <w:noProof/>
        </w:rPr>
        <w:t>La structure de gouvernance du Fonds, la composition et les responsabilités des différents organes de gouvernance, organes de direction et comités d’investissement concernés, ainsi que leurs modalités de nomination.</w:t>
      </w:r>
    </w:p>
    <w:p w14:paraId="1216B6C0" w14:textId="77777777" w:rsidR="003C4798" w:rsidRDefault="00417595">
      <w:pPr>
        <w:pStyle w:val="P68B1DB1-ListParagraph42"/>
        <w:numPr>
          <w:ilvl w:val="0"/>
          <w:numId w:val="10"/>
        </w:numPr>
        <w:spacing w:before="120" w:after="120" w:line="240" w:lineRule="auto"/>
        <w:ind w:left="425" w:hanging="357"/>
        <w:jc w:val="both"/>
        <w:rPr>
          <w:noProof/>
        </w:rPr>
      </w:pPr>
      <w:r>
        <w:rPr>
          <w:noProof/>
        </w:rPr>
        <w:t>L'exigence selon laquelle les décisions d'investissement du Fonds doivent être prises par les organes compétents et approuvées à la majorité des voix des membres indépendants du gouvernement polonais.</w:t>
      </w:r>
    </w:p>
    <w:p w14:paraId="1216B6C1" w14:textId="77777777" w:rsidR="003C4798" w:rsidRDefault="00417595">
      <w:pPr>
        <w:pStyle w:val="P68B1DB1-Normal41"/>
        <w:numPr>
          <w:ilvl w:val="0"/>
          <w:numId w:val="10"/>
        </w:numPr>
        <w:spacing w:before="120" w:after="120" w:line="240" w:lineRule="auto"/>
        <w:ind w:left="425" w:hanging="357"/>
        <w:jc w:val="both"/>
        <w:rPr>
          <w:noProof/>
        </w:rPr>
      </w:pPr>
      <w:r>
        <w:rPr>
          <w:noProof/>
        </w:rPr>
        <w:t>L’obligation pour le Fonds d’appliquer le système d’audit et de contrôle de BGK qui a été évalué positivement par la Commission conformément à l’article 157 du règlement (UE, Euratom) 2024/2509.</w:t>
      </w:r>
    </w:p>
    <w:p w14:paraId="1216B6C2" w14:textId="77777777" w:rsidR="003C4798" w:rsidRDefault="00417595">
      <w:pPr>
        <w:pStyle w:val="P68B1DB1-ListParagraph42"/>
        <w:numPr>
          <w:ilvl w:val="0"/>
          <w:numId w:val="10"/>
        </w:numPr>
        <w:spacing w:before="120" w:after="120" w:line="240" w:lineRule="auto"/>
        <w:ind w:left="425" w:hanging="357"/>
        <w:jc w:val="both"/>
        <w:rPr>
          <w:noProof/>
        </w:rPr>
      </w:pPr>
      <w:r>
        <w:rPr>
          <w:noProof/>
        </w:rPr>
        <w:t>L'exigence selon laquelle les fonds propres injectés dans le Fonds doivent être utilisés sur la base d'une politique d'investissement.</w:t>
      </w:r>
    </w:p>
    <w:p w14:paraId="1216B6C3" w14:textId="77777777" w:rsidR="003C4798" w:rsidRDefault="00417595">
      <w:pPr>
        <w:pStyle w:val="P68B1DB1-Normal41"/>
        <w:spacing w:before="120" w:after="120" w:line="240" w:lineRule="auto"/>
        <w:ind w:left="66"/>
        <w:jc w:val="both"/>
        <w:rPr>
          <w:noProof/>
        </w:rPr>
      </w:pPr>
      <w:r>
        <w:rPr>
          <w:noProof/>
        </w:rPr>
        <w:t>La politique d'investissement pour l'utilisation des fonds propres injectés dans le Fonds comprend les éléments suivants:</w:t>
      </w:r>
    </w:p>
    <w:p w14:paraId="1216B6C4" w14:textId="77777777" w:rsidR="003C4798" w:rsidRDefault="00417595">
      <w:pPr>
        <w:pStyle w:val="P68B1DB1-ListParagraph42"/>
        <w:numPr>
          <w:ilvl w:val="0"/>
          <w:numId w:val="11"/>
        </w:numPr>
        <w:spacing w:before="120" w:after="120" w:line="240" w:lineRule="auto"/>
        <w:jc w:val="both"/>
        <w:rPr>
          <w:noProof/>
        </w:rPr>
      </w:pPr>
      <w:r>
        <w:rPr>
          <w:noProof/>
        </w:rPr>
        <w:t>Description des zones d’investissement du Fonds, conformément aux zones éligibles établies dans la loi.</w:t>
      </w:r>
    </w:p>
    <w:p w14:paraId="1216B6C5" w14:textId="77777777" w:rsidR="003C4798" w:rsidRDefault="00417595">
      <w:pPr>
        <w:pStyle w:val="P68B1DB1-ListParagraph42"/>
        <w:numPr>
          <w:ilvl w:val="0"/>
          <w:numId w:val="11"/>
        </w:numPr>
        <w:spacing w:before="120" w:after="120" w:line="240" w:lineRule="auto"/>
        <w:jc w:val="both"/>
        <w:rPr>
          <w:noProof/>
        </w:rPr>
      </w:pPr>
      <w:r>
        <w:rPr>
          <w:noProof/>
        </w:rPr>
        <w:t>La description des produits financiers, y compris les prêts et les fonds propres, les objectifs du Fonds, la manière dont le Fonds fournira le soutien et les bénéficiaires finaux éligibles attendus que le Fonds soutiendra initialement. Ces produits financiers sont conformes à la loi instituant le Fonds, y compris à ce qui peut être financé au titre du budget de l’Union.</w:t>
      </w:r>
    </w:p>
    <w:p w14:paraId="1216B6C6" w14:textId="77777777" w:rsidR="003C4798" w:rsidRDefault="00417595">
      <w:pPr>
        <w:pStyle w:val="P68B1DB1-ListParagraph42"/>
        <w:numPr>
          <w:ilvl w:val="0"/>
          <w:numId w:val="11"/>
        </w:numPr>
        <w:spacing w:before="120" w:after="120" w:line="240" w:lineRule="auto"/>
        <w:jc w:val="both"/>
        <w:rPr>
          <w:noProof/>
        </w:rPr>
      </w:pPr>
      <w:r>
        <w:rPr>
          <w:noProof/>
        </w:rPr>
        <w:t>Le calendrier envisagé pour les étapes de mise en œuvre des investissements initiaux.</w:t>
      </w:r>
    </w:p>
    <w:p w14:paraId="1216B6C7" w14:textId="77777777" w:rsidR="003C4798" w:rsidRDefault="00417595">
      <w:pPr>
        <w:pStyle w:val="P68B1DB1-ListParagraph42"/>
        <w:numPr>
          <w:ilvl w:val="0"/>
          <w:numId w:val="11"/>
        </w:numPr>
        <w:spacing w:before="120" w:after="120" w:line="240" w:lineRule="auto"/>
        <w:jc w:val="both"/>
        <w:rPr>
          <w:noProof/>
        </w:rPr>
      </w:pPr>
      <w:r>
        <w:rPr>
          <w:noProof/>
        </w:rPr>
        <w:t xml:space="preserve">L’application du </w:t>
      </w:r>
      <w:r>
        <w:rPr>
          <w:i/>
          <w:noProof/>
        </w:rPr>
        <w:t>principe consistant à «ne pas causer de préjudice important»</w:t>
      </w:r>
      <w:r>
        <w:rPr>
          <w:noProof/>
        </w:rPr>
        <w:t xml:space="preserve"> (DNSH), tel qu’énoncé dans les orientations techniques relatives au principe consistant à «ne pas causer de préjudice important» (2021/C58/01):</w:t>
      </w:r>
    </w:p>
    <w:p w14:paraId="1216B6C8" w14:textId="77777777" w:rsidR="003C4798" w:rsidRDefault="00417595">
      <w:pPr>
        <w:pStyle w:val="LegalNumPar3"/>
        <w:spacing w:before="120" w:after="120" w:line="240" w:lineRule="auto"/>
        <w:ind w:left="1134" w:hanging="425"/>
        <w:jc w:val="both"/>
        <w:rPr>
          <w:rFonts w:ascii="Times New Roman" w:hAnsi="Times New Roman" w:cs="Times New Roman"/>
          <w:noProof/>
        </w:rPr>
      </w:pPr>
      <w:r>
        <w:rPr>
          <w:rFonts w:ascii="Times New Roman" w:hAnsi="Times New Roman" w:cs="Times New Roman"/>
          <w:noProof/>
        </w:rPr>
        <w:t>Pour les prêts ou les instruments équivalents, la politique d'investissement exclut de l'éligibilité la liste suivante d'activités et d'actifs: (i) les activités et les actifs liés aux combustibles fossiles, y compris l’utilisation en aval</w:t>
      </w:r>
      <w:r w:rsidRPr="005D4A71">
        <w:rPr>
          <w:rFonts w:ascii="Times New Roman" w:hAnsi="Times New Roman" w:cs="Times New Roman"/>
          <w:noProof/>
          <w:vertAlign w:val="superscript"/>
        </w:rPr>
        <w:footnoteReference w:id="14"/>
      </w:r>
      <w:r w:rsidRPr="005D4A71">
        <w:rPr>
          <w:rFonts w:ascii="Times New Roman" w:hAnsi="Times New Roman" w:cs="Times New Roman"/>
          <w:noProof/>
          <w:vertAlign w:val="superscript"/>
        </w:rPr>
        <w:t>,</w:t>
      </w:r>
      <w:r>
        <w:rPr>
          <w:rFonts w:ascii="Times New Roman" w:hAnsi="Times New Roman" w:cs="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sidRPr="005D4A71">
        <w:rPr>
          <w:rFonts w:ascii="Times New Roman" w:hAnsi="Times New Roman" w:cs="Times New Roman"/>
          <w:noProof/>
          <w:vertAlign w:val="superscript"/>
        </w:rPr>
        <w:footnoteReference w:id="15"/>
      </w:r>
      <w:r>
        <w:rPr>
          <w:rFonts w:ascii="Times New Roman" w:hAnsi="Times New Roman" w:cs="Times New Roman"/>
          <w:noProof/>
        </w:rPr>
        <w:t>, (iii) les activités et les actifs liés aux décharges de déchets, aux incinérateurs</w:t>
      </w:r>
      <w:r>
        <w:rPr>
          <w:rStyle w:val="FootnoteReference"/>
          <w:rFonts w:ascii="Times New Roman" w:hAnsi="Times New Roman" w:cs="Times New Roman"/>
          <w:noProof/>
        </w:rPr>
        <w:footnoteReference w:id="16"/>
      </w:r>
      <w:r>
        <w:rPr>
          <w:rFonts w:ascii="Times New Roman" w:hAnsi="Times New Roman" w:cs="Times New Roman"/>
          <w:noProof/>
        </w:rPr>
        <w:t xml:space="preserve"> et aux usines de traitement biologique mécanique</w:t>
      </w:r>
      <w:r>
        <w:rPr>
          <w:rStyle w:val="FootnoteReference"/>
          <w:rFonts w:ascii="Times New Roman" w:hAnsi="Times New Roman" w:cs="Times New Roman"/>
          <w:noProof/>
        </w:rPr>
        <w:footnoteReference w:id="17"/>
      </w:r>
      <w:r>
        <w:rPr>
          <w:rFonts w:ascii="Times New Roman" w:hAnsi="Times New Roman" w:cs="Times New Roman"/>
          <w:noProof/>
        </w:rPr>
        <w:t>.</w:t>
      </w:r>
    </w:p>
    <w:p w14:paraId="1216B6C9" w14:textId="77777777" w:rsidR="003C4798" w:rsidRDefault="00417595">
      <w:pPr>
        <w:pStyle w:val="P68B1DB1-LegalNumPar343"/>
        <w:spacing w:before="120" w:after="120" w:line="240" w:lineRule="auto"/>
        <w:ind w:left="1134" w:hanging="425"/>
        <w:jc w:val="both"/>
        <w:rPr>
          <w:noProof/>
        </w:rPr>
      </w:pPr>
      <w:r>
        <w:rPr>
          <w:noProof/>
        </w:rPr>
        <w:t>En ce qui concerne les fonds propres, la politique d'investissement exclut les entreprises qui mettent fortement</w:t>
      </w:r>
      <w:r w:rsidRPr="005D4A71">
        <w:rPr>
          <w:noProof/>
          <w:vertAlign w:val="superscript"/>
        </w:rPr>
        <w:footnoteReference w:id="18"/>
      </w:r>
      <w:r>
        <w:rPr>
          <w:noProof/>
        </w:rPr>
        <w:t xml:space="preserve"> l'accent sur les secteurs suivants: i) la production d’énergie à partir de combustibles fossiles et les activités connexes;</w:t>
      </w:r>
      <w:r w:rsidRPr="005D4A71">
        <w:rPr>
          <w:noProof/>
          <w:vertAlign w:val="superscript"/>
        </w:rPr>
        <w:footnoteReference w:id="19"/>
      </w:r>
      <w:r>
        <w:rPr>
          <w:noProof/>
        </w:rPr>
        <w:t xml:space="preserve"> ii) les industries à forte intensité énergétique et/ou à forte émission de CO2;</w:t>
      </w:r>
      <w:r w:rsidRPr="005D4A71">
        <w:rPr>
          <w:noProof/>
          <w:vertAlign w:val="superscript"/>
        </w:rPr>
        <w:footnoteReference w:id="20"/>
      </w:r>
      <w:r>
        <w:rPr>
          <w:noProof/>
        </w:rPr>
        <w:t xml:space="preserve"> iii) la production, la location ou la vente de véhicules polluants;</w:t>
      </w:r>
      <w:r w:rsidRPr="005D4A71">
        <w:rPr>
          <w:noProof/>
          <w:vertAlign w:val="superscript"/>
        </w:rPr>
        <w:footnoteReference w:id="21"/>
      </w:r>
      <w:r w:rsidRPr="005D4A71">
        <w:rPr>
          <w:noProof/>
          <w:vertAlign w:val="superscript"/>
        </w:rPr>
        <w:t xml:space="preserve"> </w:t>
      </w:r>
      <w:r>
        <w:rPr>
          <w:noProof/>
        </w:rPr>
        <w:t>iv) la collecte, le traitement et</w:t>
      </w:r>
      <w:r w:rsidRPr="005D4A71">
        <w:rPr>
          <w:noProof/>
          <w:vertAlign w:val="superscript"/>
        </w:rPr>
        <w:footnoteReference w:id="22"/>
      </w:r>
      <w:r>
        <w:rPr>
          <w:noProof/>
        </w:rPr>
        <w:t xml:space="preserve"> l’élimination des déchets, v) le traitement du combustible nucléaire et la production d’énergie nucléaire. En outre, la politique d’investissement exige le</w:t>
      </w:r>
      <w:r>
        <w:rPr>
          <w:b/>
          <w:noProof/>
        </w:rPr>
        <w:t xml:space="preserve"> </w:t>
      </w:r>
      <w:r>
        <w:rPr>
          <w:noProof/>
        </w:rPr>
        <w:t>respect de la législation environnementale pertinente de l’UE et des États membres par les bénéficiaires finaux de la facilité.</w:t>
      </w:r>
    </w:p>
    <w:p w14:paraId="1216B6CA" w14:textId="77777777" w:rsidR="003C4798" w:rsidRDefault="003C4798">
      <w:pPr>
        <w:pStyle w:val="ListParagraph"/>
        <w:spacing w:before="120" w:after="120" w:line="240" w:lineRule="auto"/>
        <w:rPr>
          <w:rFonts w:ascii="Times New Roman" w:hAnsi="Times New Roman" w:cs="Times New Roman"/>
          <w:noProof/>
          <w:sz w:val="24"/>
          <w:szCs w:val="24"/>
        </w:rPr>
      </w:pPr>
    </w:p>
    <w:p w14:paraId="1216B6CB"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b/>
          <w:noProof/>
          <w:color w:val="000000"/>
          <w:sz w:val="24"/>
        </w:rPr>
      </w:pPr>
    </w:p>
    <w:p w14:paraId="1216B6CC"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b/>
          <w:noProof/>
          <w:color w:val="000000"/>
          <w:sz w:val="24"/>
        </w:rPr>
        <w:sectPr w:rsidR="003C4798" w:rsidSect="006C5441">
          <w:headerReference w:type="even" r:id="rId36"/>
          <w:headerReference w:type="default" r:id="rId37"/>
          <w:footerReference w:type="even" r:id="rId38"/>
          <w:footerReference w:type="default" r:id="rId39"/>
          <w:headerReference w:type="first" r:id="rId40"/>
          <w:footerReference w:type="first" r:id="rId41"/>
          <w:pgSz w:w="11907" w:h="16839"/>
          <w:pgMar w:top="1134" w:right="1134" w:bottom="1134" w:left="1134" w:header="567" w:footer="567" w:gutter="0"/>
          <w:cols w:space="720"/>
          <w:docGrid w:linePitch="299"/>
        </w:sectPr>
      </w:pPr>
    </w:p>
    <w:p w14:paraId="1216B6CD" w14:textId="77777777" w:rsidR="003C4798" w:rsidRDefault="00417595">
      <w:pPr>
        <w:pStyle w:val="P68B1DB1-Normal016"/>
        <w:pBdr>
          <w:top w:val="nil"/>
          <w:left w:val="nil"/>
          <w:bottom w:val="nil"/>
          <w:right w:val="nil"/>
          <w:between w:val="nil"/>
        </w:pBdr>
        <w:spacing w:before="120" w:after="120" w:line="240" w:lineRule="auto"/>
        <w:jc w:val="both"/>
        <w:rPr>
          <w:rFonts w:eastAsia="Times New Roman" w:cs="Times New Roman"/>
          <w:noProof/>
          <w:szCs w:val="24"/>
        </w:rPr>
      </w:pPr>
      <w:r>
        <w:rPr>
          <w:noProof/>
        </w:rPr>
        <w:t>A.4. Étapes, objectifs, indicateurs et calendrier du suivi et de la mise en œuvre du prêt</w:t>
      </w:r>
    </w:p>
    <w:p w14:paraId="1216B6CE" w14:textId="77777777" w:rsidR="003C4798" w:rsidRDefault="00417595">
      <w:pPr>
        <w:pStyle w:val="P68B1DB1-Normal016"/>
        <w:pBdr>
          <w:top w:val="nil"/>
          <w:left w:val="nil"/>
          <w:bottom w:val="nil"/>
          <w:right w:val="nil"/>
          <w:between w:val="nil"/>
        </w:pBdr>
        <w:spacing w:before="120" w:after="120" w:line="240" w:lineRule="auto"/>
        <w:jc w:val="both"/>
        <w:rPr>
          <w:rFonts w:eastAsia="Times New Roman" w:cs="Times New Roman"/>
          <w:noProof/>
          <w:szCs w:val="24"/>
        </w:rPr>
      </w:pPr>
      <w:r>
        <w:rPr>
          <w:noProof/>
        </w:rPr>
        <w:t>A2 – INNOVATION</w:t>
      </w:r>
    </w:p>
    <w:tbl>
      <w:tblPr>
        <w:tblW w:w="1587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1916"/>
        <w:gridCol w:w="1244"/>
        <w:gridCol w:w="2359"/>
        <w:gridCol w:w="1536"/>
        <w:gridCol w:w="1106"/>
        <w:gridCol w:w="1194"/>
        <w:gridCol w:w="993"/>
        <w:gridCol w:w="1134"/>
        <w:gridCol w:w="850"/>
        <w:gridCol w:w="2699"/>
      </w:tblGrid>
      <w:tr w:rsidR="003C4798" w14:paraId="1216B6D7" w14:textId="77777777" w:rsidTr="00EC21D5">
        <w:trPr>
          <w:trHeight w:val="752"/>
          <w:tblHeader/>
          <w:jc w:val="center"/>
        </w:trPr>
        <w:tc>
          <w:tcPr>
            <w:tcW w:w="846" w:type="dxa"/>
            <w:vMerge w:val="restart"/>
            <w:tcBorders>
              <w:top w:val="single" w:sz="4" w:space="0" w:color="000000" w:themeColor="text1"/>
            </w:tcBorders>
            <w:shd w:val="clear" w:color="auto" w:fill="BDD7EE"/>
            <w:vAlign w:val="center"/>
          </w:tcPr>
          <w:p w14:paraId="1216B6CF"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1916" w:type="dxa"/>
            <w:vMerge w:val="restart"/>
            <w:tcBorders>
              <w:top w:val="single" w:sz="4" w:space="0" w:color="000000" w:themeColor="text1"/>
            </w:tcBorders>
            <w:shd w:val="clear" w:color="auto" w:fill="BDD7EE"/>
            <w:vAlign w:val="center"/>
          </w:tcPr>
          <w:p w14:paraId="1216B6D0"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Mesure connexe (réforme ou investissement)</w:t>
            </w:r>
          </w:p>
        </w:tc>
        <w:tc>
          <w:tcPr>
            <w:tcW w:w="1244" w:type="dxa"/>
            <w:vMerge w:val="restart"/>
            <w:tcBorders>
              <w:top w:val="single" w:sz="4" w:space="0" w:color="000000" w:themeColor="text1"/>
            </w:tcBorders>
            <w:shd w:val="clear" w:color="auto" w:fill="BDD7EE"/>
            <w:vAlign w:val="center"/>
          </w:tcPr>
          <w:p w14:paraId="1216B6D1"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2359" w:type="dxa"/>
            <w:vMerge w:val="restart"/>
            <w:tcBorders>
              <w:top w:val="single" w:sz="4" w:space="0" w:color="000000" w:themeColor="text1"/>
            </w:tcBorders>
            <w:shd w:val="clear" w:color="auto" w:fill="BDD7EE"/>
            <w:vAlign w:val="center"/>
          </w:tcPr>
          <w:p w14:paraId="1216B6D2"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536" w:type="dxa"/>
            <w:vMerge w:val="restart"/>
            <w:tcBorders>
              <w:top w:val="single" w:sz="4" w:space="0" w:color="000000" w:themeColor="text1"/>
            </w:tcBorders>
            <w:shd w:val="clear" w:color="auto" w:fill="BDD7EE"/>
            <w:vAlign w:val="center"/>
          </w:tcPr>
          <w:p w14:paraId="1216B6D3" w14:textId="16238AF2"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qualitatifs</w:t>
            </w:r>
            <w:r>
              <w:rPr>
                <w:noProof/>
              </w:rPr>
              <w:br/>
            </w:r>
            <w:r>
              <w:rPr>
                <w:rFonts w:ascii="Times New Roman" w:hAnsi="Times New Roman"/>
                <w:b/>
                <w:noProof/>
                <w:color w:val="000000"/>
                <w:sz w:val="18"/>
              </w:rPr>
              <w:t>(pour les jalons)</w:t>
            </w:r>
          </w:p>
        </w:tc>
        <w:tc>
          <w:tcPr>
            <w:tcW w:w="3293" w:type="dxa"/>
            <w:gridSpan w:val="3"/>
            <w:tcBorders>
              <w:top w:val="single" w:sz="4" w:space="0" w:color="000000" w:themeColor="text1"/>
            </w:tcBorders>
            <w:shd w:val="clear" w:color="auto" w:fill="BDD7EE"/>
            <w:vAlign w:val="center"/>
          </w:tcPr>
          <w:p w14:paraId="1216B6D4" w14:textId="578C49A7"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quantitatifs</w:t>
            </w:r>
            <w:r>
              <w:rPr>
                <w:noProof/>
              </w:rPr>
              <w:br/>
            </w:r>
            <w:r>
              <w:rPr>
                <w:rFonts w:ascii="Times New Roman" w:hAnsi="Times New Roman"/>
                <w:b/>
                <w:noProof/>
                <w:color w:val="000000"/>
                <w:sz w:val="18"/>
              </w:rPr>
              <w:t>(pour les objectifs)</w:t>
            </w:r>
          </w:p>
        </w:tc>
        <w:tc>
          <w:tcPr>
            <w:tcW w:w="1984" w:type="dxa"/>
            <w:gridSpan w:val="2"/>
            <w:tcBorders>
              <w:top w:val="single" w:sz="4" w:space="0" w:color="000000" w:themeColor="text1"/>
            </w:tcBorders>
            <w:shd w:val="clear" w:color="auto" w:fill="BDD7EE"/>
            <w:vAlign w:val="center"/>
          </w:tcPr>
          <w:p w14:paraId="1216B6D5"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Calendrier indicatif d'achèvement</w:t>
            </w:r>
          </w:p>
        </w:tc>
        <w:tc>
          <w:tcPr>
            <w:tcW w:w="2699" w:type="dxa"/>
            <w:vMerge w:val="restart"/>
            <w:tcBorders>
              <w:top w:val="single" w:sz="4" w:space="0" w:color="000000" w:themeColor="text1"/>
            </w:tcBorders>
            <w:shd w:val="clear" w:color="auto" w:fill="BDD7EE"/>
            <w:vAlign w:val="center"/>
          </w:tcPr>
          <w:p w14:paraId="1216B6D6"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3C4798" w14:paraId="1216B6E3" w14:textId="77777777" w:rsidTr="00EC21D5">
        <w:trPr>
          <w:trHeight w:val="563"/>
          <w:jc w:val="center"/>
        </w:trPr>
        <w:tc>
          <w:tcPr>
            <w:tcW w:w="846" w:type="dxa"/>
            <w:vMerge/>
            <w:vAlign w:val="center"/>
          </w:tcPr>
          <w:p w14:paraId="1216B6D8"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16" w:type="dxa"/>
            <w:vMerge/>
            <w:vAlign w:val="center"/>
          </w:tcPr>
          <w:p w14:paraId="1216B6D9"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44" w:type="dxa"/>
            <w:vMerge/>
            <w:vAlign w:val="center"/>
          </w:tcPr>
          <w:p w14:paraId="1216B6DA"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359" w:type="dxa"/>
            <w:vMerge/>
            <w:vAlign w:val="center"/>
          </w:tcPr>
          <w:p w14:paraId="1216B6DB"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36" w:type="dxa"/>
            <w:vMerge/>
            <w:vAlign w:val="center"/>
          </w:tcPr>
          <w:p w14:paraId="1216B6DC"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06" w:type="dxa"/>
            <w:shd w:val="clear" w:color="auto" w:fill="BDD7EE"/>
            <w:vAlign w:val="center"/>
          </w:tcPr>
          <w:p w14:paraId="1216B6DD"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1194" w:type="dxa"/>
            <w:shd w:val="clear" w:color="auto" w:fill="BDD7EE"/>
            <w:vAlign w:val="center"/>
          </w:tcPr>
          <w:p w14:paraId="1216B6DE"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993" w:type="dxa"/>
            <w:shd w:val="clear" w:color="auto" w:fill="BDD7EE"/>
            <w:vAlign w:val="center"/>
          </w:tcPr>
          <w:p w14:paraId="1216B6DF"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134" w:type="dxa"/>
            <w:shd w:val="clear" w:color="auto" w:fill="BDD7EE"/>
            <w:vAlign w:val="center"/>
          </w:tcPr>
          <w:p w14:paraId="1216B6E0"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850" w:type="dxa"/>
            <w:shd w:val="clear" w:color="auto" w:fill="BDD7EE"/>
            <w:vAlign w:val="center"/>
          </w:tcPr>
          <w:p w14:paraId="1216B6E1"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2699" w:type="dxa"/>
            <w:vMerge/>
            <w:vAlign w:val="center"/>
          </w:tcPr>
          <w:p w14:paraId="1216B6E2"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C4798" w14:paraId="1216B6F5" w14:textId="77777777" w:rsidTr="00EC21D5">
        <w:trPr>
          <w:trHeight w:val="1361"/>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4"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A1L</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5"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A2.5 Renforcer le potentiel du secteur culturel et des industries culturelles pour le développement économique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7"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Adoption d’un document d’orientation pour soutenir les actions vertes et numériques dans les secteurs de la culture et de la création</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8"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Publication d'un document d'orientation</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9"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A"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B"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C"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E" w14:textId="77777777" w:rsidR="003C4798" w:rsidRDefault="00417595">
            <w:pPr>
              <w:pStyle w:val="P68B1DB1-Normal019"/>
              <w:pBdr>
                <w:top w:val="nil"/>
                <w:left w:val="nil"/>
                <w:bottom w:val="nil"/>
                <w:right w:val="nil"/>
                <w:between w:val="nil"/>
              </w:pBdr>
              <w:spacing w:line="240" w:lineRule="auto"/>
              <w:rPr>
                <w:rFonts w:eastAsia="Times New Roman" w:cs="Times New Roman"/>
                <w:noProof/>
                <w:szCs w:val="18"/>
              </w:rPr>
            </w:pPr>
            <w:r>
              <w:rPr>
                <w:noProof/>
              </w:rPr>
              <w:t>À la suite d'une consultation publique, adoption par le ministre chargé des affaires culturelles d'un document d'orientation visant à soutenir les secteurs de la culture et de la création (SCC). En particulier, le document aborde les questions suivantes:</w:t>
            </w:r>
          </w:p>
          <w:p w14:paraId="1216B6EF" w14:textId="77777777" w:rsidR="003C4798" w:rsidRDefault="00417595">
            <w:pPr>
              <w:pStyle w:val="P68B1DB1-Normal44"/>
              <w:numPr>
                <w:ilvl w:val="0"/>
                <w:numId w:val="12"/>
              </w:numPr>
              <w:pBdr>
                <w:top w:val="nil"/>
                <w:left w:val="nil"/>
                <w:bottom w:val="nil"/>
                <w:right w:val="nil"/>
                <w:between w:val="nil"/>
              </w:pBdr>
              <w:spacing w:after="0" w:line="240" w:lineRule="auto"/>
              <w:ind w:left="351"/>
              <w:rPr>
                <w:rFonts w:eastAsia="Times New Roman" w:cs="Times New Roman"/>
                <w:noProof/>
                <w:color w:val="000000"/>
                <w:szCs w:val="18"/>
              </w:rPr>
            </w:pPr>
            <w:r>
              <w:rPr>
                <w:noProof/>
              </w:rPr>
              <w:t>recenser les principaux défis à moyen et long terme dans les secteurs de la culture et de la création, y compris les enseignements tirés de la crise de la COVID-19;</w:t>
            </w:r>
          </w:p>
          <w:p w14:paraId="1216B6F0" w14:textId="77777777" w:rsidR="003C4798" w:rsidRDefault="00417595">
            <w:pPr>
              <w:pStyle w:val="P68B1DB1-Normal44"/>
              <w:numPr>
                <w:ilvl w:val="0"/>
                <w:numId w:val="12"/>
              </w:numPr>
              <w:spacing w:after="0" w:line="240" w:lineRule="auto"/>
              <w:ind w:left="351" w:right="600"/>
              <w:rPr>
                <w:rFonts w:eastAsia="Times New Roman" w:cs="Times New Roman"/>
                <w:noProof/>
                <w:color w:val="000000"/>
                <w:szCs w:val="18"/>
              </w:rPr>
            </w:pPr>
            <w:r>
              <w:rPr>
                <w:noProof/>
              </w:rPr>
              <w:t>veiller à ce que le respect des principes généraux de l’UE, y compris l’égalité entre les hommes et les femmes et la non-discrimination, soit pris en compte dans les projets à soutenir;</w:t>
            </w:r>
          </w:p>
          <w:p w14:paraId="1216B6F1" w14:textId="77777777" w:rsidR="003C4798" w:rsidRDefault="00417595">
            <w:pPr>
              <w:pStyle w:val="P68B1DB1-Normal44"/>
              <w:numPr>
                <w:ilvl w:val="0"/>
                <w:numId w:val="12"/>
              </w:numPr>
              <w:pBdr>
                <w:top w:val="nil"/>
                <w:left w:val="nil"/>
                <w:bottom w:val="nil"/>
                <w:right w:val="nil"/>
                <w:between w:val="nil"/>
              </w:pBdr>
              <w:spacing w:after="0" w:line="240" w:lineRule="auto"/>
              <w:ind w:left="351"/>
              <w:rPr>
                <w:rFonts w:eastAsia="Times New Roman" w:cs="Times New Roman"/>
                <w:noProof/>
                <w:color w:val="000000"/>
                <w:szCs w:val="18"/>
              </w:rPr>
            </w:pPr>
            <w:r>
              <w:rPr>
                <w:noProof/>
              </w:rPr>
              <w:t>recenser le potentiel des outils et plateformes écologiques et numériques pour relever ces défis;</w:t>
            </w:r>
          </w:p>
          <w:p w14:paraId="1216B6F2" w14:textId="77777777" w:rsidR="003C4798" w:rsidRDefault="00417595">
            <w:pPr>
              <w:pStyle w:val="P68B1DB1-Normal44"/>
              <w:numPr>
                <w:ilvl w:val="0"/>
                <w:numId w:val="12"/>
              </w:numPr>
              <w:pBdr>
                <w:top w:val="nil"/>
                <w:left w:val="nil"/>
                <w:bottom w:val="nil"/>
                <w:right w:val="nil"/>
                <w:between w:val="nil"/>
              </w:pBdr>
              <w:spacing w:after="0" w:line="240" w:lineRule="auto"/>
              <w:ind w:left="351"/>
              <w:rPr>
                <w:rFonts w:eastAsia="Times New Roman" w:cs="Times New Roman"/>
                <w:noProof/>
                <w:color w:val="000000"/>
                <w:szCs w:val="18"/>
              </w:rPr>
            </w:pPr>
            <w:r>
              <w:rPr>
                <w:noProof/>
              </w:rPr>
              <w:t>Élaborer des concepts de coopération et de transfert de connaissances et de compétences entre les secteurs de la culture et de la création et avec les secteurs de la science, de l’éducation, de la technologie et des entreprises, en mettant l’accent sur les principes généraux de l’UE, y compris l’égalité entre les hommes et les femmes et la non-discrimination, l’écologie et le numérique.</w:t>
            </w:r>
          </w:p>
          <w:p w14:paraId="1216B6F3" w14:textId="77777777" w:rsidR="003C4798" w:rsidRDefault="003C4798">
            <w:pPr>
              <w:pStyle w:val="Normal0"/>
              <w:pBdr>
                <w:top w:val="nil"/>
                <w:left w:val="nil"/>
                <w:bottom w:val="nil"/>
                <w:right w:val="nil"/>
                <w:between w:val="nil"/>
              </w:pBdr>
              <w:spacing w:after="0" w:line="240" w:lineRule="auto"/>
              <w:rPr>
                <w:rFonts w:ascii="Times New Roman" w:hAnsi="Times New Roman"/>
                <w:noProof/>
                <w:color w:val="000000"/>
                <w:sz w:val="18"/>
              </w:rPr>
            </w:pPr>
          </w:p>
          <w:p w14:paraId="1216B6F4"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Identifier les options privilégiées pour apporter un soutien public aux actions dans les secteurs de la culture et de la création.</w:t>
            </w:r>
          </w:p>
        </w:tc>
      </w:tr>
      <w:tr w:rsidR="003C4798" w14:paraId="1216B70A" w14:textId="77777777" w:rsidTr="00EC21D5">
        <w:trPr>
          <w:trHeight w:val="85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6"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A2L</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7"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A2.5.1 Un programme pour soutenir les activités des entités des industries culturelles et créatives afin de stimuler leur développement</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8"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9" w14:textId="20AA5DA0" w:rsidR="003C4798" w:rsidRDefault="00417595">
            <w:pPr>
              <w:pStyle w:val="P68B1DB1-Normal019"/>
              <w:pBdr>
                <w:top w:val="nil"/>
                <w:left w:val="nil"/>
                <w:bottom w:val="nil"/>
                <w:right w:val="nil"/>
                <w:between w:val="nil"/>
              </w:pBdr>
              <w:spacing w:after="0" w:line="240" w:lineRule="auto"/>
              <w:rPr>
                <w:noProof/>
              </w:rPr>
            </w:pPr>
            <w:r>
              <w:rPr>
                <w:noProof/>
              </w:rPr>
              <w:t>Critères de sélection pour le soutien de projets dans les secteurs de la culture et de la création (SCC)</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Publication des critères de sélection et mise en place du comité de sélection indépendant</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B"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C"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D"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F"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2022</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0" w14:textId="24F3099B"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Le ministère de la culture et du patrimoine national adopte et publie les critères de sélection pour aider les PME, les institutions culturelles et les ONG à créer des projets dans les secteurs de la culture et de la création (SCC).</w:t>
            </w:r>
          </w:p>
          <w:p w14:paraId="1216B702"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En outre, un comité de sélection indépendant composé d’experts de différentes disciplines est mis en place, comprenant des représentants d’organisations et d’institutions de CSC indépendantes. Le comité de sélection décide de l'octroi des subventions et bourses.</w:t>
            </w:r>
          </w:p>
          <w:p w14:paraId="1216B703"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p w14:paraId="1216B704"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Les critères de sélection des demandes de subventions de projets émanant d'institutions culturelles, d'ONG, de PME et de microentreprises dans les secteurs de la culture et de la création, correspondant à l'un des secteurs de la NACE définis par Eurostat:</w:t>
            </w:r>
          </w:p>
          <w:p w14:paraId="1216B705"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 donner la préférence aux projets susceptibles d'avoir un impact durable sur les transitions numérique et écologique dans les secteurs de la culture et de la création;</w:t>
            </w:r>
          </w:p>
          <w:p w14:paraId="1216B706" w14:textId="77777777" w:rsidR="003C4798" w:rsidRDefault="00417595">
            <w:pPr>
              <w:pStyle w:val="P68B1DB1-Normal018"/>
              <w:pBdr>
                <w:top w:val="nil"/>
                <w:left w:val="nil"/>
                <w:bottom w:val="nil"/>
                <w:right w:val="nil"/>
                <w:between w:val="nil"/>
              </w:pBdr>
              <w:spacing w:after="0" w:line="240" w:lineRule="auto"/>
              <w:rPr>
                <w:rFonts w:eastAsia="Times New Roman" w:cs="Times New Roman"/>
                <w:noProof/>
                <w:color w:val="000000"/>
              </w:rPr>
            </w:pPr>
            <w:r>
              <w:rPr>
                <w:noProof/>
                <w:color w:val="000000" w:themeColor="text1"/>
              </w:rPr>
              <w:t>b)</w:t>
            </w:r>
            <w:r>
              <w:rPr>
                <w:noProof/>
              </w:rPr>
              <w:t xml:space="preserve"> </w:t>
            </w:r>
            <w:r>
              <w:rPr>
                <w:noProof/>
                <w:color w:val="000000" w:themeColor="text1"/>
              </w:rPr>
              <w:t>donner la préférence aux bénéficiaires qui disposent d'un plan d'entreprise sur la manière dont les subventions seront utilisées pour financer les coûts du projet;</w:t>
            </w:r>
          </w:p>
          <w:p w14:paraId="1216B707" w14:textId="6C58A74A"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c) donner la préférence aux bénéficiaires qui ont un historique d'activités ou de projets au cours des 24 derniers mois liés à la proposition de projet.</w:t>
            </w:r>
          </w:p>
          <w:p w14:paraId="1216B708"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p w14:paraId="1216B709"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Les principes généraux de l’UE, y compris l’égalité entre les hommes et les femmes et la non-discrimination, sont pris en considération dans tous les projets.</w:t>
            </w:r>
          </w:p>
        </w:tc>
      </w:tr>
      <w:tr w:rsidR="003C4798" w14:paraId="1216B716" w14:textId="77777777" w:rsidTr="00EC21D5">
        <w:trPr>
          <w:trHeight w:val="85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B"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b/>
                <w:noProof/>
                <w:color w:val="000000"/>
                <w:szCs w:val="18"/>
              </w:rPr>
            </w:pPr>
            <w:r>
              <w:rPr>
                <w:noProof/>
              </w:rPr>
              <w:t>A3L</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C"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bookmarkStart w:id="7" w:name="_Hlk200619572"/>
            <w:r>
              <w:rPr>
                <w:noProof/>
              </w:rPr>
              <w:t>A2.5.1 Programme d'appui aux activités des entités des secteurs de la culture et de la création</w:t>
            </w:r>
            <w:bookmarkEnd w:id="7"/>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E"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Nombre de contrats signés pour des projets dans les secteurs de la culture et de la création (SCC)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F"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11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2" w14:textId="77777777" w:rsidR="003C4798" w:rsidRDefault="00417595">
            <w:pPr>
              <w:pStyle w:val="Normal0"/>
              <w:spacing w:after="0" w:line="240" w:lineRule="auto"/>
              <w:jc w:val="center"/>
              <w:rPr>
                <w:rFonts w:ascii="Times New Roman" w:hAnsi="Times New Roman"/>
                <w:noProof/>
                <w:color w:val="000000"/>
                <w:sz w:val="18"/>
                <w:szCs w:val="18"/>
              </w:rPr>
            </w:pPr>
            <w:r>
              <w:rPr>
                <w:rFonts w:ascii="Times New Roman" w:hAnsi="Times New Roman"/>
                <w:noProof/>
                <w:color w:val="000000" w:themeColor="text1"/>
                <w:sz w:val="18"/>
                <w:szCs w:val="18"/>
              </w:rPr>
              <w:t>1</w:t>
            </w:r>
            <w:r>
              <w:rPr>
                <w:rFonts w:eastAsia="Times New Roman"/>
                <w:noProof/>
                <w:color w:val="006100"/>
                <w:szCs w:val="24"/>
              </w:rPr>
              <w:t xml:space="preserve"> </w:t>
            </w:r>
            <w:r>
              <w:rPr>
                <w:rFonts w:ascii="Times New Roman" w:hAnsi="Times New Roman"/>
                <w:noProof/>
                <w:color w:val="000000" w:themeColor="text1"/>
                <w:sz w:val="18"/>
                <w:szCs w:val="18"/>
              </w:rPr>
              <w:t>873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3"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4"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5" w14:textId="2016B340"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themeColor="text1"/>
                <w:sz w:val="18"/>
                <w:szCs w:val="18"/>
              </w:rPr>
              <w:t>1</w:t>
            </w:r>
            <w:r>
              <w:rPr>
                <w:rFonts w:eastAsia="Times New Roman"/>
                <w:noProof/>
                <w:color w:val="006100"/>
                <w:szCs w:val="24"/>
              </w:rPr>
              <w:t> </w:t>
            </w:r>
            <w:r>
              <w:rPr>
                <w:rFonts w:ascii="Times New Roman" w:hAnsi="Times New Roman"/>
                <w:noProof/>
                <w:color w:val="000000" w:themeColor="text1"/>
                <w:sz w:val="18"/>
                <w:szCs w:val="18"/>
              </w:rPr>
              <w:t>873 contrats seront signés pour des projets dans les secteurs de la culture et de la création (SCC).</w:t>
            </w:r>
          </w:p>
        </w:tc>
      </w:tr>
      <w:tr w:rsidR="003C4798" w14:paraId="1216B722" w14:textId="77777777" w:rsidTr="00EC21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5"/>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7"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b/>
                <w:noProof/>
                <w:color w:val="000000"/>
                <w:szCs w:val="18"/>
              </w:rPr>
            </w:pPr>
            <w:r>
              <w:rPr>
                <w:noProof/>
              </w:rPr>
              <w:t>A4L</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8"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A2.5.1 Programme d'appui aux activités des entités des secteurs de la culture et de la création</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9"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Nombre de bourses octroyées dans les secteurs de la culture et de la création (SCC)</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B"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C"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11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E" w14:textId="77777777" w:rsidR="003C4798" w:rsidRDefault="00417595">
            <w:pPr>
              <w:pStyle w:val="P68B1DB1-Normal020"/>
              <w:spacing w:after="0" w:line="240" w:lineRule="auto"/>
              <w:jc w:val="center"/>
              <w:rPr>
                <w:rFonts w:eastAsia="Times New Roman" w:cs="Times New Roman"/>
                <w:noProof/>
                <w:color w:val="000000"/>
              </w:rPr>
            </w:pPr>
            <w:r>
              <w:rPr>
                <w:noProof/>
              </w:rPr>
              <w:t>945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F"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1" w14:textId="21E77159"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945 bourses seront attribuées à des personnes dans les secteurs de la culture et de la création (SCC).</w:t>
            </w:r>
          </w:p>
        </w:tc>
      </w:tr>
      <w:tr w:rsidR="003C4798" w14:paraId="1216B72E" w14:textId="77777777" w:rsidTr="00EC21D5">
        <w:trPr>
          <w:trHeight w:val="1417"/>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3" w14:textId="77777777" w:rsidR="003C4798" w:rsidRDefault="00417595">
            <w:pPr>
              <w:pStyle w:val="P68B1DB1-Normal023"/>
              <w:pBdr>
                <w:top w:val="nil"/>
                <w:left w:val="nil"/>
                <w:bottom w:val="nil"/>
                <w:right w:val="nil"/>
                <w:between w:val="nil"/>
              </w:pBdr>
              <w:spacing w:after="0" w:line="240" w:lineRule="auto"/>
              <w:jc w:val="center"/>
              <w:rPr>
                <w:rFonts w:cs="Times New Roman"/>
                <w:noProof/>
                <w:szCs w:val="18"/>
              </w:rPr>
            </w:pPr>
            <w:r>
              <w:rPr>
                <w:noProof/>
              </w:rPr>
              <w:t>A7L</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4" w14:textId="46F427AB"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A2.6 Réforme du système national de surveillance des services, produits, outils d'analyse, services et infrastructures d'accompagnement utilisant les données satellitaires</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5"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6" w14:textId="1FA297C6"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Entrée en vigueur d'une loi sur les activités spatiales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7"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Disposition de la loi indiquant son entrée en vigueur</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8"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9"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A"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C"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2025</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D" w14:textId="3235A9F0"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Une loi doit, entre autres, faciliter l'utilisation des données satellitaires par l'administration publique. La loi institue un administrateur national des données satellitaires. La loi établit l'obligation pour l'administrateur national de diffuser les connaissances sur les données satellitaires et d'en promouvoir l'utilisation, y compris en organisant des formations à l'intention des entités intéressées. La loi établit également les règles et les conditions d'exercice des activités spatiales et de leur supervision, la responsabilité pour les dommages causés par un objet spatial, ainsi que les règles de fonctionnement du registre national des objets spatiaux.</w:t>
            </w:r>
          </w:p>
        </w:tc>
      </w:tr>
      <w:tr w:rsidR="003C4798" w14:paraId="1216B73A" w14:textId="77777777" w:rsidTr="00EC21D5">
        <w:trPr>
          <w:trHeight w:val="114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F" w14:textId="77777777" w:rsidR="003C4798" w:rsidRDefault="00417595">
            <w:pPr>
              <w:pStyle w:val="P68B1DB1-Normal018"/>
              <w:pBdr>
                <w:top w:val="nil"/>
                <w:left w:val="nil"/>
                <w:bottom w:val="nil"/>
                <w:right w:val="nil"/>
                <w:between w:val="nil"/>
              </w:pBdr>
              <w:spacing w:after="0" w:line="240" w:lineRule="auto"/>
              <w:jc w:val="center"/>
              <w:rPr>
                <w:rFonts w:cs="Times New Roman"/>
                <w:noProof/>
              </w:rPr>
            </w:pPr>
            <w:r>
              <w:rPr>
                <w:noProof/>
              </w:rPr>
              <w:t>A8L</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0" w14:textId="77777777" w:rsidR="003C4798" w:rsidRDefault="00417595">
            <w:pPr>
              <w:pStyle w:val="P68B1DB1-Normal020"/>
              <w:spacing w:after="0" w:line="240" w:lineRule="auto"/>
              <w:rPr>
                <w:rFonts w:eastAsia="Times New Roman" w:cs="Times New Roman"/>
                <w:noProof/>
                <w:color w:val="000000"/>
              </w:rPr>
            </w:pPr>
            <w:r>
              <w:rPr>
                <w:noProof/>
              </w:rPr>
              <w:t>A2.6.1 Investissements dans le Système national d'information par satellite (SNIS) et les satellites</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1"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2"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Système national d'information par satellite (NSIS)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3" w14:textId="5CD10209"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Disponibilité en ligne du Système national d'information par satellite (SNIS)</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4"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5"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6"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7"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8"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2025</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9"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bookmarkStart w:id="8" w:name="_Hlk200453198"/>
            <w:r>
              <w:rPr>
                <w:noProof/>
              </w:rPr>
              <w:t xml:space="preserve">Le système national d'information par satellite (NSIS) </w:t>
            </w:r>
            <w:bookmarkEnd w:id="8"/>
            <w:r>
              <w:rPr>
                <w:noProof/>
              </w:rPr>
              <w:t xml:space="preserve">est disponible en ligne. </w:t>
            </w:r>
          </w:p>
        </w:tc>
      </w:tr>
      <w:tr w:rsidR="003C4798" w14:paraId="1216B746" w14:textId="77777777" w:rsidTr="00EC21D5">
        <w:trPr>
          <w:trHeight w:val="1417"/>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B" w14:textId="77777777" w:rsidR="003C4798" w:rsidRDefault="00417595">
            <w:pPr>
              <w:pStyle w:val="P68B1DB1-Normal018"/>
              <w:pBdr>
                <w:top w:val="nil"/>
                <w:left w:val="nil"/>
                <w:bottom w:val="nil"/>
                <w:right w:val="nil"/>
                <w:between w:val="nil"/>
              </w:pBdr>
              <w:spacing w:after="0" w:line="240" w:lineRule="auto"/>
              <w:jc w:val="center"/>
              <w:rPr>
                <w:rFonts w:cs="Times New Roman"/>
                <w:noProof/>
              </w:rPr>
            </w:pPr>
            <w:r>
              <w:rPr>
                <w:noProof/>
              </w:rPr>
              <w:t>A11L</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C"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A2.6.1 Investissements dans le Système national d'information par satellite (SNIS) et les satellites</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D"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E"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Construction de quatre satellites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F"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11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3"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4"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5" w14:textId="3BA559CD"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Nombre de satellites construits, ainsi que la livraison du segment terrestre.</w:t>
            </w:r>
          </w:p>
        </w:tc>
      </w:tr>
      <w:tr w:rsidR="003C4798" w14:paraId="1216B752" w14:textId="77777777" w:rsidTr="00EC21D5">
        <w:trPr>
          <w:trHeight w:val="1417"/>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7" w14:textId="77777777" w:rsidR="003C4798" w:rsidRDefault="00417595">
            <w:pPr>
              <w:pStyle w:val="P68B1DB1-Normal023"/>
              <w:pBdr>
                <w:top w:val="nil"/>
                <w:left w:val="nil"/>
                <w:bottom w:val="nil"/>
                <w:right w:val="nil"/>
                <w:between w:val="nil"/>
              </w:pBdr>
              <w:spacing w:after="0" w:line="240" w:lineRule="auto"/>
              <w:jc w:val="center"/>
              <w:rPr>
                <w:noProof/>
              </w:rPr>
            </w:pPr>
            <w:r>
              <w:rPr>
                <w:noProof/>
              </w:rPr>
              <w:t>A12L</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8" w14:textId="77777777" w:rsidR="003C4798" w:rsidRDefault="00417595">
            <w:pPr>
              <w:pStyle w:val="P68B1DB1-Normal018"/>
              <w:pBdr>
                <w:top w:val="nil"/>
                <w:left w:val="nil"/>
                <w:bottom w:val="nil"/>
                <w:right w:val="nil"/>
                <w:between w:val="nil"/>
              </w:pBdr>
              <w:spacing w:after="0" w:line="240" w:lineRule="auto"/>
              <w:rPr>
                <w:noProof/>
                <w:color w:val="000000" w:themeColor="text1"/>
              </w:rPr>
            </w:pPr>
            <w:r>
              <w:rPr>
                <w:noProof/>
              </w:rPr>
              <w:t>A2.7.1 Fonds pour la sécurité et la défense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9" w14:textId="77777777" w:rsidR="003C4798" w:rsidRDefault="00417595">
            <w:pPr>
              <w:pStyle w:val="P68B1DB1-Normal019"/>
              <w:pBdr>
                <w:top w:val="nil"/>
                <w:left w:val="nil"/>
                <w:bottom w:val="nil"/>
                <w:right w:val="nil"/>
                <w:between w:val="nil"/>
              </w:pBdr>
              <w:spacing w:after="0" w:line="240" w:lineRule="auto"/>
              <w:jc w:val="center"/>
              <w:rPr>
                <w:noProof/>
                <w:color w:val="000000" w:themeColor="text1"/>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A" w14:textId="77777777" w:rsidR="003C4798" w:rsidRDefault="00417595">
            <w:pPr>
              <w:pStyle w:val="P68B1DB1-Normal018"/>
              <w:pBdr>
                <w:top w:val="nil"/>
                <w:left w:val="nil"/>
                <w:bottom w:val="nil"/>
                <w:right w:val="nil"/>
                <w:between w:val="nil"/>
              </w:pBdr>
              <w:spacing w:after="0" w:line="240" w:lineRule="auto"/>
              <w:rPr>
                <w:noProof/>
                <w:color w:val="000000" w:themeColor="text1"/>
              </w:rPr>
            </w:pPr>
            <w:r>
              <w:rPr>
                <w:noProof/>
              </w:rPr>
              <w:t>Établissement du cadre juridique du Fonds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B" w14:textId="5172E344" w:rsidR="003C4798" w:rsidRDefault="00417595">
            <w:pPr>
              <w:pStyle w:val="P68B1DB1-Normal023"/>
              <w:pBdr>
                <w:top w:val="nil"/>
                <w:left w:val="nil"/>
                <w:bottom w:val="nil"/>
                <w:right w:val="nil"/>
                <w:between w:val="nil"/>
              </w:pBdr>
              <w:spacing w:after="0" w:line="240" w:lineRule="auto"/>
              <w:rPr>
                <w:noProof/>
                <w:color w:val="000000" w:themeColor="text1"/>
              </w:rPr>
            </w:pPr>
            <w:r>
              <w:rPr>
                <w:noProof/>
              </w:rPr>
              <w:t>Disposition de la loi indiquant son entrée en vigueur</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C"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D"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E"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F" w14:textId="77777777" w:rsidR="003C4798" w:rsidRDefault="00417595">
            <w:pPr>
              <w:pStyle w:val="P68B1DB1-Normal023"/>
              <w:pBdr>
                <w:top w:val="nil"/>
                <w:left w:val="nil"/>
                <w:bottom w:val="nil"/>
                <w:right w:val="nil"/>
                <w:between w:val="nil"/>
              </w:pBdr>
              <w:spacing w:after="0" w:line="240" w:lineRule="auto"/>
              <w:jc w:val="center"/>
              <w:rPr>
                <w:noProof/>
                <w:color w:val="000000"/>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0" w14:textId="77777777" w:rsidR="003C4798" w:rsidRDefault="00417595">
            <w:pPr>
              <w:pStyle w:val="P68B1DB1-Normal023"/>
              <w:pBdr>
                <w:top w:val="nil"/>
                <w:left w:val="nil"/>
                <w:bottom w:val="nil"/>
                <w:right w:val="nil"/>
                <w:between w:val="nil"/>
              </w:pBdr>
              <w:spacing w:after="0" w:line="240" w:lineRule="auto"/>
              <w:jc w:val="center"/>
              <w:rPr>
                <w:noProof/>
                <w:color w:val="000000" w:themeColor="text1"/>
              </w:rPr>
            </w:pPr>
            <w:r>
              <w:rPr>
                <w:noProof/>
              </w:rPr>
              <w:t>2025</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1" w14:textId="77777777" w:rsidR="003C4798" w:rsidRDefault="00417595">
            <w:pPr>
              <w:pStyle w:val="P68B1DB1-Normal45"/>
              <w:spacing w:after="0" w:line="240" w:lineRule="auto"/>
              <w:rPr>
                <w:noProof/>
                <w:color w:val="000000" w:themeColor="text1"/>
              </w:rPr>
            </w:pPr>
            <w:r>
              <w:rPr>
                <w:noProof/>
              </w:rPr>
              <w:t>Entrée en vigueur de la loi établissant le cadre juridique du Fonds. La loi incorpore les éléments qui figurent dans la description de la mesure.</w:t>
            </w:r>
          </w:p>
        </w:tc>
      </w:tr>
      <w:tr w:rsidR="003C4798" w14:paraId="1216B75E" w14:textId="77777777" w:rsidTr="00EC21D5">
        <w:trPr>
          <w:trHeight w:val="1417"/>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3" w14:textId="77777777" w:rsidR="003C4798" w:rsidRDefault="00417595">
            <w:pPr>
              <w:pStyle w:val="P68B1DB1-Normal023"/>
              <w:pBdr>
                <w:top w:val="nil"/>
                <w:left w:val="nil"/>
                <w:bottom w:val="nil"/>
                <w:right w:val="nil"/>
                <w:between w:val="nil"/>
              </w:pBdr>
              <w:spacing w:after="0" w:line="240" w:lineRule="auto"/>
              <w:jc w:val="center"/>
              <w:rPr>
                <w:noProof/>
              </w:rPr>
            </w:pPr>
            <w:r>
              <w:rPr>
                <w:noProof/>
              </w:rPr>
              <w:t>A13L</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4" w14:textId="77777777" w:rsidR="003C4798" w:rsidRDefault="00417595">
            <w:pPr>
              <w:pStyle w:val="P68B1DB1-Normal018"/>
              <w:pBdr>
                <w:top w:val="nil"/>
                <w:left w:val="nil"/>
                <w:bottom w:val="nil"/>
                <w:right w:val="nil"/>
                <w:between w:val="nil"/>
              </w:pBdr>
              <w:spacing w:after="0" w:line="240" w:lineRule="auto"/>
              <w:rPr>
                <w:noProof/>
                <w:color w:val="000000" w:themeColor="text1"/>
              </w:rPr>
            </w:pPr>
            <w:r>
              <w:rPr>
                <w:noProof/>
              </w:rPr>
              <w:t>A2.7.1 Fonds pour la sécurité et la défense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5" w14:textId="77777777" w:rsidR="003C4798" w:rsidRDefault="00417595">
            <w:pPr>
              <w:pStyle w:val="P68B1DB1-Normal019"/>
              <w:pBdr>
                <w:top w:val="nil"/>
                <w:left w:val="nil"/>
                <w:bottom w:val="nil"/>
                <w:right w:val="nil"/>
                <w:between w:val="nil"/>
              </w:pBdr>
              <w:spacing w:after="0" w:line="240" w:lineRule="auto"/>
              <w:jc w:val="center"/>
              <w:rPr>
                <w:noProof/>
                <w:color w:val="000000" w:themeColor="text1"/>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6" w14:textId="77777777" w:rsidR="003C4798" w:rsidRDefault="00417595">
            <w:pPr>
              <w:pStyle w:val="P68B1DB1-Normal018"/>
              <w:pBdr>
                <w:top w:val="nil"/>
                <w:left w:val="nil"/>
                <w:bottom w:val="nil"/>
                <w:right w:val="nil"/>
                <w:between w:val="nil"/>
              </w:pBdr>
              <w:spacing w:after="0" w:line="240" w:lineRule="auto"/>
              <w:rPr>
                <w:noProof/>
                <w:color w:val="000000" w:themeColor="text1"/>
              </w:rPr>
            </w:pPr>
            <w:r>
              <w:rPr>
                <w:noProof/>
              </w:rPr>
              <w:t xml:space="preserve">Adoption de la politique d'investissement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7" w14:textId="77777777" w:rsidR="003C4798" w:rsidRDefault="00417595">
            <w:pPr>
              <w:pStyle w:val="P68B1DB1-Normal018"/>
              <w:pBdr>
                <w:top w:val="nil"/>
                <w:left w:val="nil"/>
                <w:bottom w:val="nil"/>
                <w:right w:val="nil"/>
                <w:between w:val="nil"/>
              </w:pBdr>
              <w:spacing w:after="0" w:line="240" w:lineRule="auto"/>
              <w:rPr>
                <w:noProof/>
                <w:color w:val="000000" w:themeColor="text1"/>
              </w:rPr>
            </w:pPr>
            <w:r>
              <w:rPr>
                <w:noProof/>
              </w:rPr>
              <w:t xml:space="preserve">Adoption de la politique d'investissement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8"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9"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A"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B" w14:textId="77777777" w:rsidR="003C4798" w:rsidRDefault="00417595">
            <w:pPr>
              <w:pStyle w:val="P68B1DB1-Normal023"/>
              <w:pBdr>
                <w:top w:val="nil"/>
                <w:left w:val="nil"/>
                <w:bottom w:val="nil"/>
                <w:right w:val="nil"/>
                <w:between w:val="nil"/>
              </w:pBdr>
              <w:spacing w:after="0" w:line="240" w:lineRule="auto"/>
              <w:jc w:val="center"/>
              <w:rPr>
                <w:noProof/>
                <w:color w:val="000000"/>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C" w14:textId="77777777" w:rsidR="003C4798" w:rsidRDefault="00417595">
            <w:pPr>
              <w:pStyle w:val="P68B1DB1-Normal023"/>
              <w:pBdr>
                <w:top w:val="nil"/>
                <w:left w:val="nil"/>
                <w:bottom w:val="nil"/>
                <w:right w:val="nil"/>
                <w:between w:val="nil"/>
              </w:pBdr>
              <w:spacing w:after="0" w:line="240" w:lineRule="auto"/>
              <w:jc w:val="center"/>
              <w:rPr>
                <w:noProof/>
                <w:color w:val="000000" w:themeColor="text1"/>
              </w:rPr>
            </w:pPr>
            <w:r>
              <w:rPr>
                <w:noProof/>
              </w:rPr>
              <w:t>2025</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D" w14:textId="77777777" w:rsidR="003C4798" w:rsidRDefault="00417595">
            <w:pPr>
              <w:pStyle w:val="P68B1DB1-Normal45"/>
              <w:spacing w:after="0" w:line="240" w:lineRule="auto"/>
              <w:rPr>
                <w:noProof/>
              </w:rPr>
            </w:pPr>
            <w:r>
              <w:rPr>
                <w:noProof/>
              </w:rPr>
              <w:t>BGK et/ou le Fonds adoptent une politique d'investissement pour l'utilisation des fonds propres injectés. La politique d'investissement intègre les éléments qui figurent dans la description de la mesure.</w:t>
            </w:r>
          </w:p>
        </w:tc>
      </w:tr>
      <w:tr w:rsidR="003C4798" w14:paraId="1216B76E" w14:textId="77777777" w:rsidTr="00EC21D5">
        <w:trPr>
          <w:trHeight w:val="50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F" w14:textId="77777777" w:rsidR="003C4798" w:rsidRDefault="00417595">
            <w:pPr>
              <w:pStyle w:val="P68B1DB1-Normal018"/>
              <w:pBdr>
                <w:top w:val="nil"/>
                <w:left w:val="nil"/>
                <w:bottom w:val="nil"/>
                <w:right w:val="nil"/>
                <w:between w:val="nil"/>
              </w:pBdr>
              <w:spacing w:after="0" w:line="240" w:lineRule="auto"/>
              <w:jc w:val="center"/>
              <w:rPr>
                <w:noProof/>
              </w:rPr>
            </w:pPr>
            <w:r>
              <w:rPr>
                <w:noProof/>
              </w:rPr>
              <w:t>A14L</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0" w14:textId="77777777" w:rsidR="003C4798" w:rsidRDefault="00417595">
            <w:pPr>
              <w:pStyle w:val="P68B1DB1-Normal018"/>
              <w:pBdr>
                <w:top w:val="nil"/>
                <w:left w:val="nil"/>
                <w:bottom w:val="nil"/>
                <w:right w:val="nil"/>
                <w:between w:val="nil"/>
              </w:pBdr>
              <w:spacing w:after="0" w:line="240" w:lineRule="auto"/>
              <w:rPr>
                <w:noProof/>
                <w:color w:val="000000" w:themeColor="text1"/>
              </w:rPr>
            </w:pPr>
            <w:r>
              <w:rPr>
                <w:noProof/>
              </w:rPr>
              <w:t>A2.7.1 Fonds pour la sécurité et la défense</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1" w14:textId="77777777" w:rsidR="003C4798" w:rsidRDefault="00417595">
            <w:pPr>
              <w:pStyle w:val="P68B1DB1-Normal019"/>
              <w:pBdr>
                <w:top w:val="nil"/>
                <w:left w:val="nil"/>
                <w:bottom w:val="nil"/>
                <w:right w:val="nil"/>
                <w:between w:val="nil"/>
              </w:pBdr>
              <w:spacing w:after="0" w:line="240" w:lineRule="auto"/>
              <w:jc w:val="center"/>
              <w:rPr>
                <w:noProof/>
                <w:color w:val="000000" w:themeColor="text1"/>
              </w:rPr>
            </w:pPr>
            <w:r>
              <w:rPr>
                <w:noProof/>
              </w:rPr>
              <w:t>Étape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2" w14:textId="77777777" w:rsidR="003C4798" w:rsidRDefault="00417595">
            <w:pPr>
              <w:pStyle w:val="P68B1DB1-Normal018"/>
              <w:pBdr>
                <w:top w:val="nil"/>
                <w:left w:val="nil"/>
                <w:bottom w:val="nil"/>
                <w:right w:val="nil"/>
                <w:between w:val="nil"/>
              </w:pBdr>
              <w:spacing w:after="0" w:line="240" w:lineRule="auto"/>
              <w:rPr>
                <w:noProof/>
                <w:color w:val="000000" w:themeColor="text1"/>
              </w:rPr>
            </w:pPr>
            <w:r>
              <w:rPr>
                <w:noProof/>
              </w:rPr>
              <w:t>Injection de fonds propres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3" w14:textId="77777777" w:rsidR="003C4798" w:rsidRDefault="00417595">
            <w:pPr>
              <w:pStyle w:val="P68B1DB1-Normal023"/>
              <w:pBdr>
                <w:top w:val="nil"/>
                <w:left w:val="nil"/>
                <w:bottom w:val="nil"/>
                <w:right w:val="nil"/>
                <w:between w:val="nil"/>
              </w:pBdr>
              <w:spacing w:after="0" w:line="240" w:lineRule="auto"/>
              <w:rPr>
                <w:noProof/>
                <w:color w:val="000000" w:themeColor="text1"/>
              </w:rPr>
            </w:pPr>
            <w:r>
              <w:rPr>
                <w:noProof/>
                <w:szCs w:val="18"/>
              </w:rPr>
              <w:t>Certificat</w:t>
            </w:r>
            <w:r>
              <w:rPr>
                <w:noProof/>
              </w:rPr>
              <w:t xml:space="preserve"> de transfert</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4"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5"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6"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7" w14:textId="77777777" w:rsidR="003C4798" w:rsidRDefault="00417595">
            <w:pPr>
              <w:pStyle w:val="P68B1DB1-Normal018"/>
              <w:pBdr>
                <w:top w:val="nil"/>
                <w:left w:val="nil"/>
                <w:bottom w:val="nil"/>
                <w:right w:val="nil"/>
                <w:between w:val="nil"/>
              </w:pBdr>
              <w:spacing w:after="0" w:line="240" w:lineRule="auto"/>
              <w:jc w:val="center"/>
              <w:rPr>
                <w:noProof/>
                <w:color w:val="000000"/>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8" w14:textId="77777777" w:rsidR="003C4798" w:rsidRDefault="00417595">
            <w:pPr>
              <w:pStyle w:val="P68B1DB1-Normal023"/>
              <w:pBdr>
                <w:top w:val="nil"/>
                <w:left w:val="nil"/>
                <w:bottom w:val="nil"/>
                <w:right w:val="nil"/>
                <w:between w:val="nil"/>
              </w:pBdr>
              <w:spacing w:after="0" w:line="240" w:lineRule="auto"/>
              <w:jc w:val="center"/>
              <w:rPr>
                <w:noProof/>
                <w:color w:val="000000" w:themeColor="text1"/>
              </w:rPr>
            </w:pPr>
            <w:r>
              <w:rPr>
                <w:noProof/>
              </w:rPr>
              <w:t>2026</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9" w14:textId="5DB98098" w:rsidR="003C4798" w:rsidRDefault="00417595">
            <w:pPr>
              <w:spacing w:after="0" w:line="240" w:lineRule="auto"/>
              <w:rPr>
                <w:rFonts w:ascii="Times New Roman" w:hAnsi="Times New Roman" w:cs="Times New Roman"/>
                <w:noProof/>
                <w:sz w:val="18"/>
                <w:szCs w:val="18"/>
              </w:rPr>
            </w:pPr>
            <w:r>
              <w:rPr>
                <w:rFonts w:ascii="Times New Roman" w:hAnsi="Times New Roman"/>
                <w:noProof/>
                <w:sz w:val="18"/>
                <w:szCs w:val="18"/>
              </w:rPr>
              <w:t>Un montant de 5 471 689 564 EUR en fonds propres est injecté dans le Fonds.</w:t>
            </w:r>
          </w:p>
          <w:p w14:paraId="1216B76A" w14:textId="77777777" w:rsidR="003C4798" w:rsidRDefault="003C4798">
            <w:pPr>
              <w:spacing w:after="0" w:line="240" w:lineRule="auto"/>
              <w:rPr>
                <w:rFonts w:ascii="Times New Roman" w:hAnsi="Times New Roman" w:cs="Times New Roman"/>
                <w:noProof/>
                <w:sz w:val="18"/>
                <w:szCs w:val="18"/>
              </w:rPr>
            </w:pPr>
          </w:p>
          <w:p w14:paraId="1216B76B" w14:textId="3F8580B8" w:rsidR="003C4798" w:rsidRDefault="00417595">
            <w:pPr>
              <w:pStyle w:val="P68B1DB1-Normal22"/>
              <w:spacing w:after="0" w:line="240" w:lineRule="auto"/>
              <w:rPr>
                <w:noProof/>
              </w:rPr>
            </w:pPr>
            <w:r>
              <w:rPr>
                <w:noProof/>
              </w:rPr>
              <w:t>Les accords nécessaires prévus par la loi pour la mise en œuvre de la présente mesure sont entrés en vigueur.</w:t>
            </w:r>
          </w:p>
          <w:p w14:paraId="1216B76C" w14:textId="77777777" w:rsidR="003C4798" w:rsidRDefault="003C4798">
            <w:pPr>
              <w:spacing w:after="0" w:line="240" w:lineRule="auto"/>
              <w:rPr>
                <w:rFonts w:ascii="Times New Roman" w:hAnsi="Times New Roman" w:cs="Times New Roman"/>
                <w:noProof/>
                <w:sz w:val="18"/>
                <w:szCs w:val="18"/>
              </w:rPr>
            </w:pPr>
          </w:p>
          <w:p w14:paraId="1216B76D" w14:textId="77777777" w:rsidR="003C4798" w:rsidRDefault="00417595">
            <w:pPr>
              <w:pStyle w:val="P68B1DB1-Normal22"/>
              <w:pBdr>
                <w:top w:val="nil"/>
                <w:left w:val="nil"/>
                <w:bottom w:val="nil"/>
                <w:right w:val="nil"/>
                <w:between w:val="nil"/>
              </w:pBdr>
              <w:spacing w:after="0" w:line="240" w:lineRule="auto"/>
              <w:rPr>
                <w:rFonts w:eastAsia="Times New Roman"/>
                <w:noProof/>
                <w:color w:val="000000" w:themeColor="text1"/>
              </w:rPr>
            </w:pPr>
            <w:r>
              <w:rPr>
                <w:noProof/>
              </w:rPr>
              <w:t>Au-delà de l’injection de fonds propres dans le Fonds qui constitue l’investissement au titre de la FRR, la Pologne transmet un rapport décrivant les mesures prises par le Fonds au plus tard le 16 août 2026 pour mettre en œuvre la politique d’investissement, y compris les mesures prises pour la mise en œuvre des produits financiers que les fonds propres supplémentaires devraient initialement soutenir, ainsi que les mesures attendues pour la poursuite de la mise en œuvre de ces produits.</w:t>
            </w:r>
          </w:p>
        </w:tc>
      </w:tr>
    </w:tbl>
    <w:p w14:paraId="1216B76F" w14:textId="77777777" w:rsidR="003C4798" w:rsidRDefault="003C4798">
      <w:pPr>
        <w:rPr>
          <w:rFonts w:ascii="Times New Roman" w:hAnsi="Times New Roman"/>
          <w:noProof/>
          <w:color w:val="000000" w:themeColor="text1"/>
        </w:rPr>
        <w:sectPr w:rsidR="003C4798" w:rsidSect="006C5441">
          <w:headerReference w:type="even" r:id="rId42"/>
          <w:headerReference w:type="default" r:id="rId43"/>
          <w:footerReference w:type="even" r:id="rId44"/>
          <w:footerReference w:type="default" r:id="rId45"/>
          <w:headerReference w:type="first" r:id="rId46"/>
          <w:footerReference w:type="first" r:id="rId47"/>
          <w:pgSz w:w="16839" w:h="11907" w:orient="landscape"/>
          <w:pgMar w:top="1134" w:right="1134" w:bottom="1134" w:left="1134" w:header="567" w:footer="567" w:gutter="0"/>
          <w:cols w:space="720"/>
          <w:docGrid w:linePitch="299"/>
        </w:sectPr>
      </w:pPr>
    </w:p>
    <w:p w14:paraId="1216B770" w14:textId="77777777" w:rsidR="003C4798" w:rsidRDefault="00417595">
      <w:pPr>
        <w:pStyle w:val="P68B1DB1-Normal046"/>
        <w:keepNext/>
        <w:pBdr>
          <w:top w:val="nil"/>
          <w:left w:val="nil"/>
          <w:bottom w:val="nil"/>
          <w:right w:val="nil"/>
          <w:between w:val="nil"/>
        </w:pBdr>
        <w:tabs>
          <w:tab w:val="left" w:pos="850"/>
        </w:tabs>
        <w:spacing w:before="360" w:after="120" w:line="240" w:lineRule="auto"/>
        <w:ind w:left="850" w:hanging="850"/>
        <w:jc w:val="both"/>
        <w:rPr>
          <w:rFonts w:eastAsia="Times New Roman" w:cs="Times New Roman"/>
          <w:noProof/>
          <w:color w:val="000000"/>
        </w:rPr>
      </w:pPr>
      <w:r>
        <w:rPr>
          <w:noProof/>
        </w:rPr>
        <w:t xml:space="preserve">B. Élément B: « RÉDUCTION DE L’ÉNERGIE ET DE L’INTENSITÉ ÉNERGÉTIQUE » </w:t>
      </w:r>
    </w:p>
    <w:p w14:paraId="1216B771" w14:textId="77777777" w:rsidR="003C4798" w:rsidRDefault="00417595">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szCs w:val="24"/>
        </w:rPr>
        <w:t xml:space="preserve">Le volet du plan polonais pour la reprise et la résilience vise à relever plusieurs défis auxquels le secteur énergétique polonais est actuellement confronté en ce qui concerne la décarbonation et la pollution atmosphérique. Premièrement, la dépendance de la Pologne à l’égard du charbon reste beaucoup plus élevée que dans d’autres États membres, ce qui rend difficile la transition énergétique vers la neutralité carbone. Deuxièmement, environ 70 % des logements unifamiliaux et de nombreux immeubles collectifs et publics ne répondent pas aux normes d'efficacité énergétique. Ceci, combiné à une utilisation encore répandue du charbon de mauvaise qualité dans les systèmes de chauffage individuels, conduit à une mauvaise qualité de l'air. Troisièmement, les faibles niveaux de rétention et les pénuries d'eau (y compris d'eau potable) dans les zones rurales constituent un problème majeur. </w:t>
      </w:r>
      <w:r>
        <w:rPr>
          <w:noProof/>
        </w:rPr>
        <w:t>L’objectif principal de ce volet est de réorienter le bouquet énergétique vers des technologies à faible intensité de carbone en facilitant le déploiement des énergies renouvelables et en augmentant l’utilisation de sources d’énergie alternatives telles que l’hydrogène et le biogaz. Le volet vise également à réduire la consommation d’énergie en faisant progresser la rénovation en profondeur des bâtiments, y compris la modernisation thermique; et en réduisant l’intensité énergétique de l’industrie et des services ainsi que des ménages. Enfin, le volet vise également à réduire l’impact humain sur l’environnement, notamment par des investissements dans la neutralisation des menaces et la réhabilitation des zones dégradées à grande échelle et de la mer Baltique.</w:t>
      </w:r>
    </w:p>
    <w:p w14:paraId="1216B772" w14:textId="77777777" w:rsidR="003C4798" w:rsidRDefault="00417595">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Le volet soutient la mise en œuvre des recommandations par pays visant à axer la politique économique liée aux investissements sur l’innovation, les transports, notamment sur leur durabilité, les infrastructures numériques et énergétiques, les soins de santé et l’énergie propre, en tenant compte des disparités régionales (recommandation par pays no 3 de 2019) et à concentrer les investissements sur les transitions écologique et numérique, en particulier les infrastructures numériques, la production et l’utilisation d’énergie propre et efficace et les transports durables, contribuant à la décarbonation progressive de l’économie, y compris dans les régions charbonnières (recommandation par pays no 3 de 2020).</w:t>
      </w:r>
    </w:p>
    <w:p w14:paraId="1216B773" w14:textId="7FA7E496" w:rsidR="003C4798" w:rsidRDefault="00417595">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 58/01). Pour toutes les mesures relevant de ce volet qui impliquent le développement d’infrastructures, le respect de la législation de l’Union est requis afin d’éviter de nuire à l’objectif en matière de biodiversité. Il s’agit en particulier de la directive EIE (2011/92/UE) et, pour les sites/opérations situés dans ou à proximité de zones sensibles pour la biodiversité, de l’article 6, paragraphe 3, et de l’article 12 de la directive «Habitats» (92/43/CEE), ainsi que de l’article 5 de la directive «Oiseaux» (2009/147/CE).</w:t>
      </w:r>
    </w:p>
    <w:p w14:paraId="1216B774"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noProof/>
          <w:sz w:val="24"/>
        </w:rPr>
      </w:pPr>
    </w:p>
    <w:p w14:paraId="1216B775" w14:textId="77777777" w:rsidR="003C4798" w:rsidRDefault="00417595">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B.1. </w:t>
      </w:r>
      <w:r>
        <w:rPr>
          <w:noProof/>
        </w:rPr>
        <w:t xml:space="preserve"> </w:t>
      </w:r>
      <w:r>
        <w:rPr>
          <w:rFonts w:ascii="Times New Roman" w:hAnsi="Times New Roman"/>
          <w:b/>
          <w:noProof/>
          <w:color w:val="000000" w:themeColor="text1"/>
          <w:sz w:val="24"/>
        </w:rPr>
        <w:t>Description des réformes et des investissements pour le soutien financier non remboursable</w:t>
      </w:r>
    </w:p>
    <w:p w14:paraId="1216B776" w14:textId="77777777" w:rsidR="003C4798" w:rsidRDefault="00417595">
      <w:pPr>
        <w:pStyle w:val="P68B1DB1-Normal048"/>
        <w:pBdr>
          <w:top w:val="nil"/>
          <w:left w:val="nil"/>
          <w:bottom w:val="nil"/>
          <w:right w:val="nil"/>
          <w:between w:val="nil"/>
        </w:pBdr>
        <w:spacing w:before="120" w:after="120" w:line="240" w:lineRule="auto"/>
        <w:jc w:val="both"/>
        <w:rPr>
          <w:rFonts w:eastAsia="Times New Roman" w:cs="Times New Roman"/>
          <w:noProof/>
          <w:szCs w:val="24"/>
        </w:rPr>
      </w:pPr>
      <w:r>
        <w:rPr>
          <w:noProof/>
        </w:rPr>
        <w:t>B1.1 Air pur et efficacité énergétique</w:t>
      </w:r>
    </w:p>
    <w:p w14:paraId="1216B777" w14:textId="66F95536" w:rsidR="003C4798" w:rsidRDefault="00417595">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L'objectif de la réforme est de réduire les émissions de gaz à effet de serre et d'accroître l'efficacité énergétique de certains secteurs économiques. Il vise également à améliorer la qualité de l'air en accélérant le processus de remplacement des sources polluantes de production de chaleur et d'électricité.</w:t>
      </w:r>
    </w:p>
    <w:p w14:paraId="1216B778" w14:textId="5843594C" w:rsidR="003C4798" w:rsidRDefault="00417595">
      <w:pPr>
        <w:pStyle w:val="P68B1DB1-Normal049"/>
        <w:pBdr>
          <w:top w:val="nil"/>
          <w:left w:val="nil"/>
          <w:bottom w:val="nil"/>
          <w:right w:val="nil"/>
          <w:between w:val="nil"/>
        </w:pBdr>
        <w:spacing w:before="120" w:after="120" w:line="240" w:lineRule="auto"/>
        <w:jc w:val="both"/>
        <w:rPr>
          <w:rFonts w:eastAsia="Times New Roman" w:cs="Times New Roman"/>
          <w:noProof/>
          <w:szCs w:val="24"/>
        </w:rPr>
      </w:pPr>
      <w:r>
        <w:rPr>
          <w:noProof/>
          <w:color w:val="000000" w:themeColor="text1"/>
        </w:rPr>
        <w:t xml:space="preserve">Ces objectifs sont atteints, premièrement, au moyen d’un ensemble de mesures visant à optimiser le soutien aux investissements dans l’efficacité énergétique, principalement dans le cadre du régime d’obligations en matière d’efficacité énergétique. Elles comprennent la facilitation de l’utilisation des contrats de performance énergétique dans le secteur public, la possibilité pour les entités couvertes par le régime d’obligations en matière d’efficacité énergétique de régler leurs obligations en matière d’économies d’énergie dans le cadre de programmes dits de subventions et la possibilité pour les entreprises de services énergétiques de participer au régime d’obligations en matière d’efficacité énergétique. Cet objectif est atteint au moyen d’une modification de la loi sur l’efficacité énergétique en liaison avec des modifications de la loi sur le soutien à la thermomodernisation et aux rénovations et sur le registre central des émissions des bâtiments; la loi sur le soutien financier à la création de locaux résidentiels à louer; la loi sur certains types d'aide au </w:t>
      </w:r>
      <w:r>
        <w:rPr>
          <w:noProof/>
        </w:rPr>
        <w:t>logement; et la loi sur les sources d’énergie renouvelables. Ces actes juridiques devaient entrer en vigueur au plus tard le 31 mars 2022.</w:t>
      </w:r>
    </w:p>
    <w:p w14:paraId="1216B779" w14:textId="1984A98C" w:rsidR="003C4798" w:rsidRDefault="00417595">
      <w:pPr>
        <w:pStyle w:val="P68B1DB1-Normal050"/>
        <w:pBdr>
          <w:top w:val="nil"/>
          <w:left w:val="nil"/>
          <w:bottom w:val="nil"/>
          <w:right w:val="nil"/>
          <w:between w:val="nil"/>
        </w:pBdr>
        <w:spacing w:before="120" w:after="120" w:line="240" w:lineRule="auto"/>
        <w:jc w:val="both"/>
        <w:rPr>
          <w:rFonts w:eastAsia="Times New Roman" w:cs="Times New Roman"/>
          <w:noProof/>
        </w:rPr>
      </w:pPr>
      <w:r>
        <w:rPr>
          <w:noProof/>
        </w:rPr>
        <w:t>Deuxièmement, les objectifs de la réforme «Air pur et efficacité énergétique» sont atteints par l’élaboration du programme prioritaire «Air pur» conformément à la stratégie de rénovation à long terme au titre de la directive sur la performance énergétique des bâtiments (2010/31/UE), qui constitue le principal vecteur des mesures d’efficacité énergétique dans les bâtiments. L’efficacité de la mise en œuvre de l’actuel programme «Air pur» sera donc accrue par la rationalisation des procédures de demande. Il développe un soutien spécifique ciblant les ménages à faible revenu et à revenu faible et les ménages à revenu élevé, dans le cas de ces derniers, notamment avec la participation du secteur bancaire qui accorde des prêts combinés à des subventions. Ces modifications jettent les bases du déploiement de l’aide au titre de l’investissement B1.1.2</w:t>
      </w:r>
      <w:r>
        <w:rPr>
          <w:i/>
          <w:noProof/>
        </w:rPr>
        <w:t xml:space="preserve"> «Remplacement des sources de chaleur et amélioration de l’efficacité énergétique dans les bâtiments résidentiels unifamiliaux», ce qui permet d’augmenter </w:t>
      </w:r>
      <w:r>
        <w:rPr>
          <w:noProof/>
        </w:rPr>
        <w:t>considérablement le taux de rénovation des bâtiments et de remplacement des appareils de chauffage soutenus au titre de ce programme. Les mises à jour du programme prioritaire «Air pur» sont adoptées au plus tard le 31 mars 2023.</w:t>
      </w:r>
    </w:p>
    <w:p w14:paraId="1216B77A" w14:textId="5DA7ED8D" w:rsidR="003C4798" w:rsidRDefault="00417595">
      <w:pPr>
        <w:pStyle w:val="P68B1DB1-Normal049"/>
        <w:pBdr>
          <w:top w:val="nil"/>
          <w:left w:val="nil"/>
          <w:bottom w:val="nil"/>
          <w:right w:val="nil"/>
          <w:between w:val="nil"/>
        </w:pBdr>
        <w:spacing w:before="120" w:after="120" w:line="240" w:lineRule="auto"/>
        <w:jc w:val="both"/>
        <w:rPr>
          <w:rFonts w:eastAsia="Times New Roman" w:cs="Times New Roman"/>
          <w:noProof/>
          <w:szCs w:val="24"/>
        </w:rPr>
      </w:pPr>
      <w:r>
        <w:rPr>
          <w:noProof/>
        </w:rPr>
        <w:t>Le troisième élément qui sous-tend cette réforme est une mise à jour du programme national de protection de l’air. Le programme définit un ensemble complet et à long terme d’exigences et de conditions favorisantes pour les autorités régionales et locales afin d’assurer une amélioration de la qualité de l’air. Ces autorités sont chargées de prendre des mesures spécifiques pour abaisser le niveau de polluants atmosphériques émis par le chauffage et les transports domestiques lorsqu’un seuil de pollution atmosphérique donné est dépassé. Les collectivités locales et régionales se voient également allouer un budget spécifique pour faire respecter les règles en matière de protection de l’air, notamment dans le cadre des «résolutions anti-smog». Le programme national actualisé de protection de l’air impose la fin de tout soutien public aux investissements dans de nouveaux dispositifs de chauffage au charbon au plus tard le 31 décembre 2021.</w:t>
      </w:r>
    </w:p>
    <w:p w14:paraId="1216B77B" w14:textId="0E512094" w:rsidR="003C4798" w:rsidRDefault="00417595">
      <w:pPr>
        <w:pStyle w:val="P68B1DB1-Normal050"/>
        <w:pBdr>
          <w:top w:val="nil"/>
          <w:left w:val="nil"/>
          <w:bottom w:val="nil"/>
          <w:right w:val="nil"/>
          <w:between w:val="nil"/>
        </w:pBdr>
        <w:spacing w:after="0" w:line="240" w:lineRule="auto"/>
        <w:jc w:val="both"/>
        <w:rPr>
          <w:noProof/>
        </w:rPr>
      </w:pPr>
      <w:r>
        <w:rPr>
          <w:noProof/>
        </w:rPr>
        <w:t>Le quatrième élément de la réforme sera un règlement modifié du ministre du climat et de l’environnement établissant des normes pour les combustibles solides. Pour les combustibles solides issus de la biomasse, le règlement fixe des normes de qualité uniquement pour ceux destinés à un usage domestique, y compris les granulés de bois. À la suite de l’interdiction du charbon de mauvaise qualité pour le chauffage domestique promulguée en 2018, cette modification fixera également des normes minimales pour les combustibles solides.</w:t>
      </w:r>
    </w:p>
    <w:p w14:paraId="1216B77C" w14:textId="77777777" w:rsidR="003C4798" w:rsidRDefault="003C4798">
      <w:pPr>
        <w:pStyle w:val="Normal0"/>
        <w:pBdr>
          <w:top w:val="nil"/>
          <w:left w:val="nil"/>
          <w:bottom w:val="nil"/>
          <w:right w:val="nil"/>
          <w:between w:val="nil"/>
        </w:pBdr>
        <w:spacing w:after="0" w:line="240" w:lineRule="auto"/>
        <w:jc w:val="both"/>
        <w:rPr>
          <w:rFonts w:ascii="Times New Roman" w:eastAsia="Times New Roman" w:hAnsi="Times New Roman" w:cs="Times New Roman"/>
          <w:noProof/>
          <w:sz w:val="24"/>
          <w:szCs w:val="24"/>
        </w:rPr>
      </w:pPr>
    </w:p>
    <w:p w14:paraId="1216B77D" w14:textId="77777777" w:rsidR="003C4798" w:rsidRDefault="00417595">
      <w:pPr>
        <w:pStyle w:val="P68B1DB1-Normal051"/>
        <w:pBdr>
          <w:top w:val="nil"/>
          <w:left w:val="nil"/>
          <w:bottom w:val="nil"/>
          <w:right w:val="nil"/>
          <w:between w:val="nil"/>
        </w:pBdr>
        <w:spacing w:before="120" w:after="120" w:line="240" w:lineRule="auto"/>
        <w:jc w:val="both"/>
        <w:rPr>
          <w:rFonts w:eastAsia="Times New Roman" w:cs="Times New Roman"/>
          <w:bCs/>
          <w:noProof/>
          <w:szCs w:val="24"/>
        </w:rPr>
      </w:pPr>
      <w:r>
        <w:rPr>
          <w:noProof/>
        </w:rPr>
        <w:t>B1.1.1 Investissements dans les sources de chaleur dans les systèmes de chauffage urbain</w:t>
      </w:r>
    </w:p>
    <w:p w14:paraId="1216B77E" w14:textId="77777777" w:rsidR="003C4798" w:rsidRDefault="00417595">
      <w:pPr>
        <w:pStyle w:val="P68B1DB1-Normal050"/>
        <w:pBdr>
          <w:top w:val="nil"/>
          <w:left w:val="nil"/>
          <w:bottom w:val="nil"/>
          <w:right w:val="nil"/>
          <w:between w:val="nil"/>
        </w:pBdr>
        <w:spacing w:before="120" w:after="120" w:line="240" w:lineRule="auto"/>
        <w:jc w:val="both"/>
        <w:rPr>
          <w:noProof/>
          <w:color w:val="000000" w:themeColor="text1"/>
        </w:rPr>
      </w:pPr>
      <w:r>
        <w:rPr>
          <w:noProof/>
        </w:rPr>
        <w:t xml:space="preserve">L’objectif de cet investissement est de moderniser le chauffage urbain et de réduire ses émissions de gaz à effet de serre. Cet investissement consiste en des accords signés </w:t>
      </w:r>
      <w:r>
        <w:rPr>
          <w:noProof/>
          <w:color w:val="000000" w:themeColor="text1"/>
        </w:rPr>
        <w:t>pour des installations de production de chaleur pour le chauffage urbain.</w:t>
      </w:r>
    </w:p>
    <w:p w14:paraId="1216B77F" w14:textId="2AC5916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780"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noProof/>
          <w:color w:val="000000"/>
        </w:rPr>
      </w:pPr>
      <w:r>
        <w:rPr>
          <w:noProof/>
        </w:rPr>
        <w:t>B1.1.2 Remplacement des sources de chaleur et amélioration de l'efficacité énergétique dans les bâtiments résidentiels unifamiliaux</w:t>
      </w:r>
    </w:p>
    <w:p w14:paraId="1216B781" w14:textId="77777777" w:rsidR="003C4798" w:rsidRDefault="00417595">
      <w:pPr>
        <w:pStyle w:val="P68B1DB1-Normal037"/>
        <w:spacing w:before="120" w:after="120" w:line="240" w:lineRule="auto"/>
        <w:jc w:val="both"/>
        <w:rPr>
          <w:noProof/>
        </w:rPr>
      </w:pPr>
      <w:r>
        <w:rPr>
          <w:noProof/>
        </w:rPr>
        <w:t>L’objectif de l’investissement est d’accroître l’efficacité énergétique des bâtiments résidentiels unifamiliaux. L’investissement consiste à soutenir i) le remplacement des sources de chaleur; ou ii) la modernisation thermique des bâtiments unifamiliaux; ou iii) installation de sources d’énergie renouvelables.</w:t>
      </w:r>
    </w:p>
    <w:p w14:paraId="1216B782" w14:textId="77777777" w:rsidR="003C4798" w:rsidRDefault="003C4798">
      <w:pPr>
        <w:pStyle w:val="Normal0"/>
        <w:spacing w:before="120" w:after="120" w:line="240" w:lineRule="auto"/>
        <w:jc w:val="both"/>
        <w:rPr>
          <w:rFonts w:ascii="Times New Roman" w:eastAsia="Times New Roman" w:hAnsi="Times New Roman" w:cs="Times New Roman"/>
          <w:noProof/>
          <w:color w:val="000000"/>
          <w:sz w:val="24"/>
          <w:szCs w:val="24"/>
          <w:u w:val="single"/>
        </w:rPr>
      </w:pPr>
    </w:p>
    <w:p w14:paraId="1216B783"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noProof/>
          <w:color w:val="000000"/>
        </w:rPr>
      </w:pPr>
      <w:r>
        <w:rPr>
          <w:noProof/>
        </w:rPr>
        <w:t>B1.1.3 Modernisation thermique des établissements d'enseignement</w:t>
      </w:r>
    </w:p>
    <w:p w14:paraId="1216B784" w14:textId="595B85E3" w:rsidR="003C4798" w:rsidRDefault="00417595">
      <w:pPr>
        <w:pStyle w:val="P68B1DB1-Normal037"/>
        <w:spacing w:before="120" w:after="120" w:line="240" w:lineRule="auto"/>
        <w:jc w:val="both"/>
        <w:rPr>
          <w:noProof/>
        </w:rPr>
      </w:pPr>
      <w:r>
        <w:rPr>
          <w:noProof/>
        </w:rPr>
        <w:t>L'objectif de cet investissement est d'accroître l'efficacité énergétique des établissements d'enseignement. Cette mesure consiste en des contrats signés pour des installations ou des modernisations de sources de chaleur, des installations de sources d’énergie renouvelables ou des modernisations thermiques dans des bâtiments d’établissements d’enseignement.</w:t>
      </w:r>
    </w:p>
    <w:p w14:paraId="1216B786" w14:textId="272C312E" w:rsidR="003C4798" w:rsidRDefault="00417595">
      <w:pPr>
        <w:pStyle w:val="P68B1DB1-Normal048"/>
        <w:pBdr>
          <w:top w:val="nil"/>
          <w:left w:val="nil"/>
          <w:bottom w:val="nil"/>
          <w:right w:val="nil"/>
          <w:between w:val="nil"/>
        </w:pBdr>
        <w:spacing w:before="120" w:after="120" w:line="240" w:lineRule="auto"/>
        <w:jc w:val="both"/>
        <w:rPr>
          <w:rFonts w:eastAsia="Times New Roman" w:cs="Times New Roman"/>
          <w:bCs/>
          <w:noProof/>
          <w:szCs w:val="24"/>
        </w:rPr>
      </w:pPr>
      <w:r>
        <w:rPr>
          <w:noProof/>
        </w:rPr>
        <w:t>B1.1.4 Accroître l'efficacité énergétique des installations d'activités sociales</w:t>
      </w:r>
    </w:p>
    <w:p w14:paraId="1216B787" w14:textId="77777777" w:rsidR="003C4798" w:rsidRDefault="00417595">
      <w:pPr>
        <w:pStyle w:val="P68B1DB1-Normal037"/>
        <w:pBdr>
          <w:top w:val="nil"/>
          <w:left w:val="nil"/>
          <w:bottom w:val="nil"/>
          <w:right w:val="nil"/>
          <w:between w:val="nil"/>
        </w:pBdr>
        <w:spacing w:before="120" w:after="120" w:line="240" w:lineRule="auto"/>
        <w:jc w:val="both"/>
        <w:rPr>
          <w:noProof/>
        </w:rPr>
      </w:pPr>
      <w:r>
        <w:rPr>
          <w:noProof/>
        </w:rPr>
        <w:t>L'objectif de cet investissement est d'accroître l'efficacité énergétique des installations d'activités sociales. Cette mesure consiste en la thermomodernisation d'installations d'activités sociales (bibliothèques, centres culturels ou communautaires), ce qui peut inclure l'installation de sources de chaleur et/ou de sources d'énergie renouvelables.</w:t>
      </w:r>
    </w:p>
    <w:p w14:paraId="1216B788" w14:textId="77777777" w:rsidR="003C4798" w:rsidRDefault="00417595">
      <w:pPr>
        <w:pStyle w:val="P68B1DB1-Normal037"/>
        <w:pBdr>
          <w:top w:val="nil"/>
          <w:left w:val="nil"/>
          <w:bottom w:val="nil"/>
          <w:right w:val="nil"/>
          <w:between w:val="nil"/>
        </w:pBdr>
        <w:spacing w:before="120" w:after="120" w:line="240" w:lineRule="auto"/>
        <w:jc w:val="both"/>
        <w:rPr>
          <w:noProof/>
          <w:color w:val="000000"/>
        </w:rPr>
      </w:pPr>
      <w:r>
        <w:rPr>
          <w:noProof/>
        </w:rPr>
        <w:t xml:space="preserve"> </w:t>
      </w:r>
    </w:p>
    <w:p w14:paraId="1216B789" w14:textId="1838F92E"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B1.1.5 Investissements dans l'efficacité énergétique des immeubles résidentiels comprenant plusieurs appartements</w:t>
      </w:r>
    </w:p>
    <w:p w14:paraId="1216B78A" w14:textId="1AC43DF4" w:rsidR="003C4798" w:rsidRDefault="00417595">
      <w:pPr>
        <w:pStyle w:val="P68B1DB1-Normal050"/>
        <w:spacing w:before="120" w:after="120" w:line="240" w:lineRule="auto"/>
        <w:jc w:val="both"/>
        <w:rPr>
          <w:noProof/>
        </w:rPr>
      </w:pPr>
      <w:r>
        <w:rPr>
          <w:noProof/>
          <w:color w:val="000000" w:themeColor="text1"/>
        </w:rPr>
        <w:t xml:space="preserve">L'objectif de cet investissement est d'accroître l'efficacité énergétique des immeubles comprenant plusieurs appartements. L’investissement </w:t>
      </w:r>
      <w:r>
        <w:rPr>
          <w:noProof/>
        </w:rPr>
        <w:t>consiste en i) la modernisation thermique de bâtiments résidentiels comprenant plusieurs appartements; ou ii) l’installation de sources d’énergie renouvelables dans ces bâtiments.</w:t>
      </w:r>
    </w:p>
    <w:p w14:paraId="1216B78B" w14:textId="77777777" w:rsidR="003C4798" w:rsidRDefault="003C4798">
      <w:pPr>
        <w:pStyle w:val="Normal0"/>
        <w:spacing w:before="120" w:after="120" w:line="240" w:lineRule="auto"/>
        <w:jc w:val="both"/>
        <w:rPr>
          <w:rFonts w:ascii="Times New Roman" w:eastAsia="Times New Roman" w:hAnsi="Times New Roman" w:cs="Times New Roman"/>
          <w:noProof/>
          <w:sz w:val="24"/>
          <w:szCs w:val="24"/>
          <w:u w:val="single"/>
        </w:rPr>
      </w:pPr>
    </w:p>
    <w:p w14:paraId="1216B78C" w14:textId="77777777" w:rsidR="003C4798" w:rsidRDefault="00417595">
      <w:pPr>
        <w:pStyle w:val="P68B1DB1-Normal048"/>
        <w:pBdr>
          <w:top w:val="nil"/>
          <w:left w:val="nil"/>
          <w:bottom w:val="nil"/>
          <w:right w:val="nil"/>
          <w:between w:val="nil"/>
        </w:pBdr>
        <w:spacing w:before="120" w:after="120" w:line="240" w:lineRule="auto"/>
        <w:jc w:val="both"/>
        <w:rPr>
          <w:rFonts w:eastAsia="Times New Roman" w:cs="Times New Roman"/>
          <w:noProof/>
          <w:szCs w:val="24"/>
        </w:rPr>
      </w:pPr>
      <w:r>
        <w:rPr>
          <w:noProof/>
        </w:rPr>
        <w:t>B2.1 Améliorer les conditions de développement des technologies de l’hydrogène et d’autres gaz décarbonés</w:t>
      </w:r>
    </w:p>
    <w:p w14:paraId="1216B78D" w14:textId="77777777" w:rsidR="003C4798" w:rsidRDefault="00417595">
      <w:pPr>
        <w:pStyle w:val="P68B1DB1-Normal047"/>
        <w:pBdr>
          <w:top w:val="nil"/>
          <w:left w:val="nil"/>
          <w:bottom w:val="nil"/>
          <w:right w:val="nil"/>
          <w:between w:val="nil"/>
        </w:pBdr>
        <w:spacing w:before="120" w:after="120" w:line="240" w:lineRule="auto"/>
        <w:jc w:val="both"/>
        <w:rPr>
          <w:noProof/>
          <w:color w:val="000000"/>
        </w:rPr>
      </w:pPr>
      <w:r>
        <w:rPr>
          <w:noProof/>
        </w:rPr>
        <w:t>L’objectif de la réforme est de développer un marché de l’hydrogène renouvelable et bas carbone et d’autres carburants alternatifs.</w:t>
      </w:r>
    </w:p>
    <w:p w14:paraId="1216B78E" w14:textId="77777777" w:rsidR="003C4798" w:rsidRDefault="00417595">
      <w:pPr>
        <w:pStyle w:val="P68B1DB1-Normal047"/>
        <w:pBdr>
          <w:top w:val="nil"/>
          <w:left w:val="nil"/>
          <w:bottom w:val="nil"/>
          <w:right w:val="nil"/>
          <w:between w:val="nil"/>
        </w:pBdr>
        <w:spacing w:before="120" w:after="120" w:line="240" w:lineRule="auto"/>
        <w:jc w:val="both"/>
        <w:rPr>
          <w:noProof/>
          <w:color w:val="000000"/>
        </w:rPr>
      </w:pPr>
      <w:r>
        <w:rPr>
          <w:noProof/>
        </w:rPr>
        <w:t>La mesure se compose de deux actions. Le premier vise à créer un cadre réglementaire pour le fonctionnement de l’hydrogène en tant que carburant de substitution pour les transports en introduisant des dispositions relatives à la construction, à l’exploitation sûre et à la modernisation des stations d’hydrogène, ainsi qu’aux autorités chargées d’autoriser l’utilisation des stations d’hydrogène et à leur contrôle technique nécessaire. Il établit également un système de surveillance et de contrôle de la qualité des carburants hydrogène utilisés pour la propulsion des véhicules. La mise en œuvre de l’action devait être achevée au plus tard le 30 décembre 2021.</w:t>
      </w:r>
    </w:p>
    <w:p w14:paraId="1216B78F" w14:textId="77777777" w:rsidR="003C4798" w:rsidRDefault="00417595">
      <w:pPr>
        <w:pStyle w:val="P68B1DB1-Normal047"/>
        <w:pBdr>
          <w:top w:val="nil"/>
          <w:left w:val="nil"/>
          <w:bottom w:val="nil"/>
          <w:right w:val="nil"/>
          <w:between w:val="nil"/>
        </w:pBdr>
        <w:spacing w:before="120" w:after="120" w:line="240" w:lineRule="auto"/>
        <w:jc w:val="both"/>
        <w:rPr>
          <w:noProof/>
          <w:color w:val="000000"/>
        </w:rPr>
      </w:pPr>
      <w:r>
        <w:rPr>
          <w:noProof/>
        </w:rPr>
        <w:t>La deuxième action vise à mettre en place une infrastructure et une conception des marchés de l’hydrogène visant à soutenir l’adoption par le marché de l’hydrogène renouvelable et bas carbone, l’intégration de la production d’hydrogène sur d’autres marchés de l’énergie ainsi que des infrastructures existantes et spécifiques visant à créer une prévisibilité réglementaire pour les investisseurs et à soutenir l’adoption de l’hydrogène renouvelable et bas carbone. Les réformes sont conformes aux orientations techniques «Ne pas causer de préjudice important» (2021/C 58/01), qui garantissent que la réforme ne rend pas l’utilisation et la commercialisation de l’hydrogène renouvelable plus difficiles que d’autres sources d’hydrogène. La réforme vise à développer l’hydrogène renouvelable ou l’hydrogène produit à partir d’électrolyseurs et à promouvoir l’hydrogène bas carbone conforme à la stratégie de l’UE en matière d’hydrogène.</w:t>
      </w:r>
    </w:p>
    <w:p w14:paraId="1216B790" w14:textId="77777777" w:rsidR="003C4798" w:rsidRDefault="00417595">
      <w:pPr>
        <w:pStyle w:val="P68B1DB1-Normal047"/>
        <w:spacing w:before="120" w:after="120" w:line="240" w:lineRule="auto"/>
        <w:jc w:val="both"/>
        <w:rPr>
          <w:noProof/>
        </w:rPr>
      </w:pPr>
      <w:r>
        <w:rPr>
          <w:noProof/>
        </w:rPr>
        <w:t>La mise en œuvre de la présente action est achevée au plus tard le 31 décembre 2023.</w:t>
      </w:r>
    </w:p>
    <w:p w14:paraId="477FDAF8"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b/>
          <w:noProof/>
          <w:color w:val="000000" w:themeColor="text1"/>
          <w:sz w:val="24"/>
          <w:u w:val="single"/>
        </w:rPr>
      </w:pPr>
    </w:p>
    <w:p w14:paraId="1216B793" w14:textId="5E85A10A" w:rsidR="003C4798" w:rsidRDefault="00417595">
      <w:pPr>
        <w:pStyle w:val="P68B1DB1-Normal048"/>
        <w:pBdr>
          <w:top w:val="nil"/>
          <w:left w:val="nil"/>
          <w:bottom w:val="nil"/>
          <w:right w:val="nil"/>
          <w:between w:val="nil"/>
        </w:pBdr>
        <w:spacing w:before="120" w:after="120" w:line="240" w:lineRule="auto"/>
        <w:jc w:val="both"/>
        <w:rPr>
          <w:rFonts w:eastAsia="Times New Roman" w:cs="Times New Roman"/>
          <w:bCs/>
          <w:noProof/>
          <w:szCs w:val="24"/>
        </w:rPr>
      </w:pPr>
      <w:r>
        <w:rPr>
          <w:noProof/>
        </w:rPr>
        <w:t>B2.1.1 Investissements dans l’hydrogène, la fabrication, le stockage et le transport de l’hydrogène</w:t>
      </w:r>
    </w:p>
    <w:p w14:paraId="1216B794" w14:textId="77777777" w:rsidR="003C4798" w:rsidRDefault="00417595">
      <w:pPr>
        <w:pStyle w:val="P68B1DB1-Normal052"/>
        <w:pBdr>
          <w:top w:val="nil"/>
          <w:left w:val="nil"/>
          <w:bottom w:val="nil"/>
          <w:right w:val="nil"/>
          <w:between w:val="nil"/>
        </w:pBdr>
        <w:spacing w:before="120" w:after="120" w:line="240" w:lineRule="auto"/>
        <w:jc w:val="both"/>
        <w:rPr>
          <w:rFonts w:eastAsia="Times New Roman" w:cs="Times New Roman"/>
          <w:noProof/>
          <w:color w:val="000000" w:themeColor="text1"/>
          <w:sz w:val="24"/>
          <w:szCs w:val="24"/>
        </w:rPr>
      </w:pPr>
      <w:r>
        <w:rPr>
          <w:noProof/>
          <w:color w:val="000000" w:themeColor="text1"/>
          <w:sz w:val="24"/>
          <w:szCs w:val="24"/>
        </w:rPr>
        <w:t>L’objectif de l’investissement est de créer une industrie de l’hydrogène en Pologne et d’accroître l’utilisation de l’hydrogène renouvelable et bas carbone.</w:t>
      </w:r>
      <w:r>
        <w:rPr>
          <w:noProof/>
        </w:rPr>
        <w:t xml:space="preserve"> </w:t>
      </w:r>
      <w:r>
        <w:rPr>
          <w:noProof/>
          <w:color w:val="000000" w:themeColor="text1"/>
          <w:sz w:val="24"/>
          <w:szCs w:val="24"/>
        </w:rPr>
        <w:t>L'investissement consiste en deux actions.</w:t>
      </w:r>
    </w:p>
    <w:p w14:paraId="1216B795" w14:textId="43300188" w:rsidR="003C4798" w:rsidRDefault="00417595">
      <w:pPr>
        <w:pStyle w:val="P68B1DB1-paragraph53"/>
        <w:spacing w:before="120" w:beforeAutospacing="0" w:after="120" w:afterAutospacing="0"/>
        <w:jc w:val="both"/>
        <w:textAlignment w:val="baseline"/>
        <w:rPr>
          <w:noProof/>
        </w:rPr>
      </w:pPr>
      <w:r>
        <w:rPr>
          <w:noProof/>
        </w:rPr>
        <w:t>Premièrement, un investissement consistant en la conception et la construction d’un prototype de véhicule de transport ferroviaire de passagers à hydrogène et/ou en l’expansion de la capacité de production de véhicules à hydrogène.</w:t>
      </w:r>
    </w:p>
    <w:p w14:paraId="1216B796" w14:textId="77777777" w:rsidR="003C4798" w:rsidRDefault="00417595">
      <w:pPr>
        <w:pStyle w:val="paragraph"/>
        <w:spacing w:before="120" w:beforeAutospacing="0" w:after="120" w:afterAutospacing="0"/>
        <w:jc w:val="both"/>
        <w:textAlignment w:val="baseline"/>
        <w:rPr>
          <w:noProof/>
        </w:rPr>
      </w:pPr>
      <w:r>
        <w:rPr>
          <w:rStyle w:val="normaltextrun"/>
          <w:rFonts w:ascii="Times" w:hAnsi="Times"/>
          <w:noProof/>
        </w:rPr>
        <w:t>Deuxièmement, un investissement public</w:t>
      </w:r>
      <w:r>
        <w:rPr>
          <w:noProof/>
        </w:rPr>
        <w:t xml:space="preserve"> dans un régime de subventions est réalisé afin d’encourager l’investissement privé et d’améliorer l’accès au financement dans le secteur polonais de la production d’hydrogène renouvelable et bas carbone. Le régime fonctionne en octroyant des subventions directement au secteur privé. Sur la base de l’investissement au titre de la FRR, le régime vise initialement à fournir au moins</w:t>
      </w:r>
      <w:r>
        <w:rPr>
          <w:noProof/>
          <w:color w:val="006100"/>
        </w:rPr>
        <w:t> </w:t>
      </w:r>
      <w:r>
        <w:rPr>
          <w:noProof/>
        </w:rPr>
        <w:t>514</w:t>
      </w:r>
      <w:r>
        <w:rPr>
          <w:noProof/>
          <w:color w:val="006100"/>
        </w:rPr>
        <w:t> </w:t>
      </w:r>
      <w:r>
        <w:rPr>
          <w:noProof/>
        </w:rPr>
        <w:t>105</w:t>
      </w:r>
      <w:r>
        <w:rPr>
          <w:noProof/>
          <w:color w:val="006100"/>
        </w:rPr>
        <w:t> </w:t>
      </w:r>
      <w:r>
        <w:rPr>
          <w:noProof/>
        </w:rPr>
        <w:t>514 EUR de subventions.</w:t>
      </w:r>
      <w:r>
        <w:rPr>
          <w:rStyle w:val="FootnoteReference"/>
          <w:noProof/>
        </w:rPr>
        <w:footnoteReference w:id="23"/>
      </w:r>
    </w:p>
    <w:p w14:paraId="1216B797" w14:textId="656771C6" w:rsidR="003C4798" w:rsidRDefault="00417595">
      <w:pPr>
        <w:pStyle w:val="paragraph"/>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rPr>
        <w:t>Le régime est géré par Bank Gospodarstwa Krajowego (BGK) en tant que partenaire chargé de la mise en œuvre.</w:t>
      </w:r>
    </w:p>
    <w:p w14:paraId="1216B798" w14:textId="7589676B" w:rsidR="003C4798" w:rsidRDefault="00417595">
      <w:pPr>
        <w:pStyle w:val="paragraph"/>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rPr>
        <w:t>Le régime comprend la gamme de produits suivante:</w:t>
      </w:r>
    </w:p>
    <w:p w14:paraId="1216B799" w14:textId="4C849E62" w:rsidR="003C4798" w:rsidRDefault="00417595">
      <w:pPr>
        <w:pStyle w:val="paragraph"/>
        <w:numPr>
          <w:ilvl w:val="0"/>
          <w:numId w:val="13"/>
        </w:numPr>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shd w:val="clear" w:color="auto" w:fill="FFFFFF" w:themeFill="background1"/>
        </w:rPr>
        <w:t xml:space="preserve">Subventions directes aux entités privées </w:t>
      </w:r>
      <w:r>
        <w:rPr>
          <w:noProof/>
          <w:shd w:val="clear" w:color="auto" w:fill="FFFFFF" w:themeFill="background1"/>
        </w:rPr>
        <w:t xml:space="preserve">ou aux entités du secteur public exerçant des activités similaires </w:t>
      </w:r>
      <w:r>
        <w:rPr>
          <w:rStyle w:val="normaltextrun"/>
          <w:rFonts w:ascii="Times" w:hAnsi="Times"/>
          <w:noProof/>
          <w:shd w:val="clear" w:color="auto" w:fill="FFFFFF" w:themeFill="background1"/>
        </w:rPr>
        <w:t>pour financer</w:t>
      </w:r>
      <w:r>
        <w:rPr>
          <w:rStyle w:val="normaltextrun"/>
          <w:rFonts w:ascii="Times" w:hAnsi="Times"/>
          <w:noProof/>
        </w:rPr>
        <w:t xml:space="preserve"> leurs investissements dans les capacités de production d’hydrogène renouvelable et bas carbone, y compris les électrolyseurs, et les infrastructures associées.</w:t>
      </w:r>
    </w:p>
    <w:p w14:paraId="1216B79A" w14:textId="16BCED32" w:rsidR="003C4798" w:rsidRDefault="00417595">
      <w:pPr>
        <w:pStyle w:val="paragraph"/>
        <w:spacing w:before="120" w:beforeAutospacing="0" w:after="120" w:afterAutospacing="0"/>
        <w:jc w:val="both"/>
        <w:textAlignment w:val="baseline"/>
        <w:rPr>
          <w:rStyle w:val="normaltextrun"/>
          <w:rFonts w:ascii="Times" w:eastAsia="Times" w:hAnsi="Times" w:cs="Times"/>
          <w:noProof/>
        </w:rPr>
      </w:pPr>
      <w:r>
        <w:rPr>
          <w:rStyle w:val="normaltextrun"/>
          <w:rFonts w:ascii="Times" w:hAnsi="Times"/>
          <w:noProof/>
        </w:rPr>
        <w:t>Afin de mettre en œuvre l’investissement dans le régime, la Pologne et BGK signent un accord de mise en œuvre qui comprend les éléments suivants:</w:t>
      </w:r>
    </w:p>
    <w:p w14:paraId="1216B79B" w14:textId="77777777" w:rsidR="003C4798" w:rsidRDefault="00417595">
      <w:pPr>
        <w:pStyle w:val="paragraph"/>
        <w:numPr>
          <w:ilvl w:val="0"/>
          <w:numId w:val="14"/>
        </w:numPr>
        <w:spacing w:before="120" w:beforeAutospacing="0" w:after="120" w:afterAutospacing="0"/>
        <w:jc w:val="both"/>
        <w:textAlignment w:val="baseline"/>
        <w:rPr>
          <w:rFonts w:ascii="Times" w:eastAsia="Times" w:hAnsi="Times" w:cs="Times"/>
          <w:noProof/>
        </w:rPr>
      </w:pPr>
      <w:r>
        <w:rPr>
          <w:rStyle w:val="normaltextrun"/>
          <w:rFonts w:ascii="Times" w:hAnsi="Times"/>
          <w:noProof/>
        </w:rPr>
        <w:t>Description du processus décisionnel du régime: La décision finale d'attribution du régime est prise par un comité d'investissement ou un autre organe directeur équivalent compétent et approuvée à la majorité des voix des membres indépendants du gouvernement.</w:t>
      </w:r>
    </w:p>
    <w:p w14:paraId="1216B79C" w14:textId="77777777" w:rsidR="003C4798" w:rsidRDefault="00417595">
      <w:pPr>
        <w:pStyle w:val="P68B1DB1-paragraph54"/>
        <w:numPr>
          <w:ilvl w:val="0"/>
          <w:numId w:val="14"/>
        </w:numPr>
        <w:spacing w:before="120" w:beforeAutospacing="0" w:after="120" w:afterAutospacing="0"/>
        <w:jc w:val="both"/>
        <w:textAlignment w:val="baseline"/>
        <w:rPr>
          <w:rFonts w:eastAsia="Times" w:cs="Times"/>
          <w:noProof/>
        </w:rPr>
      </w:pPr>
      <w:r>
        <w:rPr>
          <w:noProof/>
        </w:rPr>
        <w:t xml:space="preserve"> Principales exigences de la politique de subvention y afférente,</w:t>
      </w:r>
      <w:r>
        <w:rPr>
          <w:b/>
          <w:noProof/>
        </w:rPr>
        <w:t xml:space="preserve"> </w:t>
      </w:r>
      <w:r>
        <w:rPr>
          <w:noProof/>
        </w:rPr>
        <w:t>notamment:</w:t>
      </w:r>
    </w:p>
    <w:p w14:paraId="1216B79D" w14:textId="1B0190E1" w:rsidR="003C4798" w:rsidRDefault="00417595">
      <w:pPr>
        <w:pStyle w:val="P68B1DB1-ListParagraph55"/>
        <w:numPr>
          <w:ilvl w:val="0"/>
          <w:numId w:val="15"/>
        </w:numPr>
        <w:spacing w:before="120" w:after="120" w:line="257" w:lineRule="auto"/>
        <w:ind w:left="1134"/>
        <w:jc w:val="both"/>
        <w:textAlignment w:val="baseline"/>
        <w:rPr>
          <w:rFonts w:eastAsia="Times" w:cs="Times"/>
          <w:noProof/>
        </w:rPr>
      </w:pPr>
      <w:r>
        <w:rPr>
          <w:noProof/>
        </w:rPr>
        <w:t>Description des subventions octroyées et des bénéficiaires finaux éligibles, compte tenu de l’objectif selon lequel les conventions de subvention conclues entre le régime et les bénéficiaires finaux aboutissent à une capacité de production installée d’au moins 315 MW d’hydrogène renouvelable et bas carbone.</w:t>
      </w:r>
    </w:p>
    <w:p w14:paraId="1216B79E" w14:textId="77777777" w:rsidR="003C4798" w:rsidRDefault="00417595">
      <w:pPr>
        <w:pStyle w:val="P68B1DB1-ListParagraph55"/>
        <w:numPr>
          <w:ilvl w:val="0"/>
          <w:numId w:val="15"/>
        </w:numPr>
        <w:spacing w:before="120" w:after="120" w:line="257" w:lineRule="auto"/>
        <w:ind w:left="1134"/>
        <w:jc w:val="both"/>
        <w:textAlignment w:val="baseline"/>
        <w:rPr>
          <w:rFonts w:ascii="Times New Roman" w:eastAsia="Times New Roman" w:hAnsi="Times New Roman" w:cs="Times New Roman"/>
          <w:noProof/>
        </w:rPr>
      </w:pPr>
      <w:r>
        <w:rPr>
          <w:noProof/>
        </w:rPr>
        <w:t>L’exigence selon laquelle tous les investissements soutenus sont économiquement viables</w:t>
      </w:r>
      <w:r>
        <w:rPr>
          <w:b/>
          <w:noProof/>
        </w:rPr>
        <w:t>.</w:t>
      </w:r>
    </w:p>
    <w:p w14:paraId="1216B79F" w14:textId="261FCABA" w:rsidR="003C4798" w:rsidRDefault="00417595">
      <w:pPr>
        <w:pStyle w:val="ListParagraph"/>
        <w:numPr>
          <w:ilvl w:val="0"/>
          <w:numId w:val="15"/>
        </w:numPr>
        <w:spacing w:before="120" w:after="120" w:line="240" w:lineRule="auto"/>
        <w:ind w:left="1134"/>
        <w:jc w:val="both"/>
        <w:textAlignment w:val="baseline"/>
        <w:rPr>
          <w:rStyle w:val="normaltextrun"/>
          <w:rFonts w:ascii="Times New Roman" w:eastAsia="Times New Roman" w:hAnsi="Times New Roman" w:cs="Times New Roman"/>
          <w:noProof/>
          <w:sz w:val="24"/>
          <w:szCs w:val="24"/>
        </w:rPr>
      </w:pPr>
      <w:r>
        <w:rPr>
          <w:rStyle w:val="normaltextrun"/>
          <w:rFonts w:ascii="Times New Roman" w:hAnsi="Times New Roman"/>
          <w:noProof/>
          <w:sz w:val="24"/>
          <w:szCs w:val="24"/>
        </w:rPr>
        <w:t>L’obligation de respecter le principe consistant à «ne pas causer de préjudice important» (DNSH) tel qu’énoncé dans les orientations techniques DNSH [(2023)</w:t>
      </w:r>
      <w:r>
        <w:rPr>
          <w:rStyle w:val="normaltextrun"/>
          <w:rFonts w:ascii="Times New Roman" w:hAnsi="Times New Roman"/>
          <w:noProof/>
          <w:color w:val="000000" w:themeColor="text1"/>
          <w:sz w:val="24"/>
          <w:szCs w:val="24"/>
        </w:rPr>
        <w:t xml:space="preserve"> 6454 final].</w:t>
      </w:r>
      <w:r>
        <w:rPr>
          <w:rStyle w:val="normaltextrun"/>
          <w:rFonts w:ascii="Times New Roman" w:hAnsi="Times New Roman"/>
          <w:noProof/>
          <w:sz w:val="24"/>
          <w:szCs w:val="24"/>
        </w:rPr>
        <w:t xml:space="preserve"> En particulier, la politique d'investissement exclut de l'éligibilité la liste suivante d'activités et d'actifs: (i) les activités et les actifs liés aux combustibles fossiles, y compris l’utilisation en aval,</w:t>
      </w:r>
      <w:r>
        <w:rPr>
          <w:rStyle w:val="FootnoteReference"/>
          <w:rFonts w:ascii="Times New Roman" w:hAnsi="Times New Roman"/>
          <w:noProof/>
          <w:sz w:val="24"/>
          <w:szCs w:val="24"/>
        </w:rPr>
        <w:footnoteReference w:id="24"/>
      </w:r>
      <w:r>
        <w:rPr>
          <w:rStyle w:val="normaltextrun"/>
          <w:rFonts w:ascii="Times New Roman" w:hAnsi="Times New Roman"/>
          <w:noProof/>
          <w:sz w:val="24"/>
          <w:szCs w:val="24"/>
        </w:rPr>
        <w:t>(ii)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noProof/>
          <w:sz w:val="24"/>
          <w:szCs w:val="24"/>
        </w:rPr>
        <w:footnoteReference w:id="25"/>
      </w:r>
      <w:r>
        <w:rPr>
          <w:rStyle w:val="normaltextrun"/>
          <w:rFonts w:ascii="Times New Roman" w:hAnsi="Times New Roman"/>
          <w:noProof/>
          <w:sz w:val="24"/>
          <w:szCs w:val="24"/>
        </w:rPr>
        <w:t>(iii) les activités et les actifs liés aux décharges de déchets, aux incinérateurs</w:t>
      </w:r>
      <w:r>
        <w:rPr>
          <w:rStyle w:val="FootnoteReference"/>
          <w:rFonts w:ascii="Times New Roman" w:hAnsi="Times New Roman"/>
          <w:noProof/>
          <w:sz w:val="24"/>
          <w:szCs w:val="24"/>
        </w:rPr>
        <w:footnoteReference w:id="26"/>
      </w:r>
      <w:r>
        <w:rPr>
          <w:rStyle w:val="normaltextrun"/>
          <w:rFonts w:ascii="Times New Roman" w:hAnsi="Times New Roman"/>
          <w:noProof/>
          <w:sz w:val="24"/>
          <w:szCs w:val="24"/>
        </w:rPr>
        <w:t xml:space="preserve"> et aux usines de traitement biologique mécanique</w:t>
      </w:r>
      <w:r>
        <w:rPr>
          <w:rStyle w:val="FootnoteReference"/>
          <w:rFonts w:ascii="Times New Roman" w:hAnsi="Times New Roman"/>
          <w:noProof/>
          <w:sz w:val="24"/>
          <w:szCs w:val="24"/>
        </w:rPr>
        <w:footnoteReference w:id="27"/>
      </w:r>
      <w:r>
        <w:rPr>
          <w:rStyle w:val="normaltextrun"/>
          <w:rFonts w:ascii="Times New Roman" w:hAnsi="Times New Roman"/>
          <w:noProof/>
          <w:sz w:val="24"/>
          <w:szCs w:val="24"/>
        </w:rPr>
        <w:t xml:space="preserve"> et iv) les activités et les actifs liés à l’exploitation minière.</w:t>
      </w:r>
    </w:p>
    <w:p w14:paraId="1216B7A0" w14:textId="77777777" w:rsidR="003C4798" w:rsidRDefault="00417595">
      <w:pPr>
        <w:pStyle w:val="P68B1DB1-ListParagraph55"/>
        <w:numPr>
          <w:ilvl w:val="0"/>
          <w:numId w:val="15"/>
        </w:numPr>
        <w:spacing w:before="120" w:after="120" w:line="257" w:lineRule="auto"/>
        <w:ind w:left="1134"/>
        <w:jc w:val="both"/>
        <w:textAlignment w:val="baseline"/>
        <w:rPr>
          <w:rFonts w:ascii="Times New Roman" w:eastAsia="Times New Roman" w:hAnsi="Times New Roman" w:cs="Times New Roman"/>
          <w:noProof/>
        </w:rPr>
      </w:pPr>
      <w:r>
        <w:rPr>
          <w:noProof/>
        </w:rPr>
        <w:t>L’exigence selon laquelle les bénéficiaires finaux du régime ne reçoivent pas d’aide d’autres instruments de l’Union pour couvrir le même coût.</w:t>
      </w:r>
    </w:p>
    <w:p w14:paraId="1216B7A1" w14:textId="77777777" w:rsidR="003C4798" w:rsidRDefault="00417595">
      <w:pPr>
        <w:pStyle w:val="paragraph"/>
        <w:numPr>
          <w:ilvl w:val="0"/>
          <w:numId w:val="14"/>
        </w:numPr>
        <w:spacing w:before="120" w:beforeAutospacing="0" w:after="120" w:afterAutospacing="0"/>
        <w:jc w:val="both"/>
        <w:textAlignment w:val="baseline"/>
        <w:rPr>
          <w:rFonts w:ascii="Times" w:eastAsia="Times" w:hAnsi="Times" w:cs="Times"/>
          <w:noProof/>
        </w:rPr>
      </w:pPr>
      <w:r>
        <w:rPr>
          <w:rStyle w:val="normaltextrun"/>
          <w:rFonts w:eastAsia="Calibri"/>
          <w:noProof/>
        </w:rPr>
        <w:t>Le montant couvert par l’accord de mise en œuvre, la structure des redevances pour le partenaire chargé de la mise en œuvre et l’obligation d’utiliser tout produit inutilisé du régime, y compris au-delà de 2026, aux mêmes fins stratégiques.</w:t>
      </w:r>
    </w:p>
    <w:p w14:paraId="1216B7A2" w14:textId="77777777" w:rsidR="003C4798" w:rsidRDefault="00417595">
      <w:pPr>
        <w:pStyle w:val="paragraph"/>
        <w:numPr>
          <w:ilvl w:val="0"/>
          <w:numId w:val="14"/>
        </w:numPr>
        <w:spacing w:before="120" w:beforeAutospacing="0" w:after="120" w:afterAutospacing="0"/>
        <w:jc w:val="both"/>
        <w:textAlignment w:val="baseline"/>
        <w:rPr>
          <w:rFonts w:ascii="Times" w:eastAsia="Times" w:hAnsi="Times" w:cs="Times"/>
          <w:noProof/>
        </w:rPr>
      </w:pPr>
      <w:r>
        <w:rPr>
          <w:rStyle w:val="normaltextrun"/>
          <w:rFonts w:eastAsia="Calibri"/>
          <w:noProof/>
        </w:rPr>
        <w:t>Exigences en matière de surveillance, d'audit et de contrôle, y compris:</w:t>
      </w:r>
    </w:p>
    <w:p w14:paraId="1216B7A3" w14:textId="77777777" w:rsidR="003C4798" w:rsidRDefault="00417595">
      <w:pPr>
        <w:pStyle w:val="P68B1DB1-Normal56"/>
        <w:numPr>
          <w:ilvl w:val="1"/>
          <w:numId w:val="16"/>
        </w:numPr>
        <w:spacing w:before="120" w:after="120" w:line="240" w:lineRule="auto"/>
        <w:jc w:val="both"/>
        <w:rPr>
          <w:rFonts w:cs="Times New Roman"/>
          <w:noProof/>
          <w:szCs w:val="24"/>
        </w:rPr>
      </w:pPr>
      <w:r>
        <w:rPr>
          <w:noProof/>
        </w:rPr>
        <w:t>Description du système de suivi du partenaire chargé de la mise en œuvre pour rendre compte des subventions mobilisées.</w:t>
      </w:r>
    </w:p>
    <w:p w14:paraId="1216B7A4" w14:textId="2CB103E2" w:rsidR="003C4798" w:rsidRDefault="00417595">
      <w:pPr>
        <w:pStyle w:val="P68B1DB1-Normal56"/>
        <w:numPr>
          <w:ilvl w:val="1"/>
          <w:numId w:val="16"/>
        </w:numPr>
        <w:spacing w:before="120" w:after="120" w:line="256" w:lineRule="auto"/>
        <w:jc w:val="both"/>
        <w:rPr>
          <w:rFonts w:cs="Times New Roman"/>
          <w:noProof/>
          <w:szCs w:val="24"/>
        </w:rPr>
      </w:pPr>
      <w:r>
        <w:rPr>
          <w:noProof/>
        </w:rPr>
        <w:t>Description des procédures du partenaire chargé de la mise en œuvre qui garantiront la prévention, la détection et la correction de la fraude, de la corruption et des conflits d’intérêts.</w:t>
      </w:r>
    </w:p>
    <w:p w14:paraId="1216B7A5" w14:textId="77777777" w:rsidR="003C4798" w:rsidRDefault="00417595">
      <w:pPr>
        <w:pStyle w:val="P68B1DB1-Normal56"/>
        <w:numPr>
          <w:ilvl w:val="1"/>
          <w:numId w:val="16"/>
        </w:numPr>
        <w:spacing w:before="120" w:after="120" w:line="256" w:lineRule="auto"/>
        <w:jc w:val="both"/>
        <w:rPr>
          <w:rFonts w:cs="Times New Roman"/>
          <w:noProof/>
          <w:szCs w:val="24"/>
        </w:rPr>
      </w:pPr>
      <w:r>
        <w:rPr>
          <w:noProof/>
        </w:rPr>
        <w:t>L’obligation de vérifier l’éligibilité de chaque opération conformément aux exigences énoncées dans l’accord de mise en œuvre avant d’octroyer une subvention à une opération.</w:t>
      </w:r>
    </w:p>
    <w:p w14:paraId="1216B7A7" w14:textId="0AFD6CFC" w:rsidR="003C4798" w:rsidRDefault="00417595">
      <w:pPr>
        <w:pStyle w:val="P68B1DB1-Normal57"/>
        <w:numPr>
          <w:ilvl w:val="1"/>
          <w:numId w:val="16"/>
        </w:numPr>
        <w:spacing w:before="120" w:after="120" w:line="240" w:lineRule="auto"/>
        <w:jc w:val="both"/>
        <w:rPr>
          <w:rFonts w:ascii="Times" w:eastAsia="Times" w:hAnsi="Times" w:cs="Times"/>
          <w:noProof/>
        </w:rPr>
      </w:pPr>
      <w:r>
        <w:rPr>
          <w:noProof/>
        </w:rPr>
        <w:t>L’obligation de réaliser des audits ex post fondés sur les risques conformément à un plan d’audit de BGK. Ces audits vérifient i) l’efficacité des systèmes de contrôle, y compris la détection de la fraude, de la corruption et des conflits d’intérêts; ii) le respect du principe consistant à «ne pas causer de préjudice important», les règles en matière d’aides d’État; et iii) que l’exigence selon laquelle les bénéficiaires finaux du régime n’ont pas reçu d’aide d’autres instruments de l’Union pour couvrir les mêmes coûts soit respectée. Les audits vérifient également la légalité des opérations et le respect des conditions de l’accord de mise en œuvre et des accords de subvention applicables.</w:t>
      </w:r>
    </w:p>
    <w:p w14:paraId="4012DECC" w14:textId="77777777" w:rsidR="003C4798" w:rsidRDefault="003C4798">
      <w:pPr>
        <w:spacing w:before="120" w:after="120" w:line="240" w:lineRule="auto"/>
        <w:ind w:left="1440"/>
        <w:jc w:val="both"/>
        <w:rPr>
          <w:rFonts w:ascii="Times" w:eastAsia="Times" w:hAnsi="Times" w:cs="Times"/>
          <w:noProof/>
          <w:sz w:val="24"/>
          <w:szCs w:val="24"/>
        </w:rPr>
      </w:pPr>
    </w:p>
    <w:p w14:paraId="1216B7A8"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B2.2.3 Construction d'infrastructures de terminaux offshore</w:t>
      </w:r>
    </w:p>
    <w:p w14:paraId="1216B7A9" w14:textId="1BF9CD13" w:rsidR="003C4798" w:rsidRDefault="00417595">
      <w:pPr>
        <w:pStyle w:val="P68B1DB1-Normal047"/>
        <w:pBdr>
          <w:top w:val="nil"/>
          <w:left w:val="nil"/>
          <w:bottom w:val="nil"/>
          <w:right w:val="nil"/>
          <w:between w:val="nil"/>
        </w:pBdr>
        <w:spacing w:before="120" w:after="120" w:line="240" w:lineRule="auto"/>
        <w:jc w:val="both"/>
        <w:rPr>
          <w:noProof/>
          <w:color w:val="000000"/>
        </w:rPr>
      </w:pPr>
      <w:r>
        <w:rPr>
          <w:noProof/>
        </w:rPr>
        <w:t>L'objectif de cet investissement est de faciliter le développement des infrastructures éoliennes offshore. L’investissement consiste en la construction d’un nouveau terminal pour les installations éoliennes en mer et en la modernisation ou l’extension d’installations dans les ports de Łeba, d’Ustka et de Darłowo.</w:t>
      </w:r>
    </w:p>
    <w:p w14:paraId="1216B7AA"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7AB" w14:textId="77777777" w:rsidR="003C4798" w:rsidRDefault="00417595">
      <w:pPr>
        <w:pStyle w:val="P68B1DB1-Normal048"/>
        <w:pBdr>
          <w:top w:val="nil"/>
          <w:left w:val="nil"/>
          <w:bottom w:val="nil"/>
          <w:right w:val="nil"/>
          <w:between w:val="nil"/>
        </w:pBdr>
        <w:spacing w:before="120" w:after="120" w:line="240" w:lineRule="auto"/>
        <w:jc w:val="both"/>
        <w:rPr>
          <w:rFonts w:eastAsia="Times New Roman" w:cs="Times New Roman"/>
          <w:bCs/>
          <w:noProof/>
          <w:szCs w:val="24"/>
        </w:rPr>
      </w:pPr>
      <w:r>
        <w:rPr>
          <w:noProof/>
        </w:rPr>
        <w:t>B3.1 Soutien à la gestion durable de l'eau et des eaux usées dans les zones rurales</w:t>
      </w:r>
    </w:p>
    <w:p w14:paraId="1216B7AC" w14:textId="374AC4B5" w:rsidR="003C4798" w:rsidRDefault="00417595">
      <w:pPr>
        <w:pStyle w:val="P68B1DB1-Normal047"/>
        <w:pBdr>
          <w:top w:val="nil"/>
          <w:left w:val="nil"/>
          <w:bottom w:val="nil"/>
          <w:right w:val="nil"/>
          <w:between w:val="nil"/>
        </w:pBdr>
        <w:spacing w:before="120" w:after="120" w:line="240" w:lineRule="auto"/>
        <w:jc w:val="both"/>
        <w:rPr>
          <w:noProof/>
          <w:color w:val="000000"/>
        </w:rPr>
      </w:pPr>
      <w:r>
        <w:rPr>
          <w:noProof/>
        </w:rPr>
        <w:t>L'objectif de la réforme est de veiller à ce que les solutions alternatives de gestion de l'eau et des eaux usées, telles que les stations d'épuration individuelles ou les fosses septiques, soient correctement surveillées, entretenues et contrôlées pour prévenir la détérioration.</w:t>
      </w:r>
    </w:p>
    <w:p w14:paraId="1216B7AD" w14:textId="77777777" w:rsidR="003C4798" w:rsidRDefault="00417595">
      <w:pPr>
        <w:pStyle w:val="P68B1DB1-Normal047"/>
        <w:pBdr>
          <w:top w:val="nil"/>
          <w:left w:val="nil"/>
          <w:bottom w:val="nil"/>
          <w:right w:val="nil"/>
          <w:between w:val="nil"/>
        </w:pBdr>
        <w:spacing w:before="120" w:after="120" w:line="240" w:lineRule="auto"/>
        <w:jc w:val="both"/>
        <w:rPr>
          <w:noProof/>
          <w:color w:val="000000"/>
        </w:rPr>
      </w:pPr>
      <w:r>
        <w:rPr>
          <w:noProof/>
        </w:rPr>
        <w:t>La réforme consistera à introduire l'obligation pour les municipalités d'utiliser des instruments pour prévenir l'élimination inappropriée des eaux usées et le mécanisme de la performance dite de substitution, c'est-à-dire organiser la vidange des fosses septiques par la municipalité applicable aux propriétaires qui n'ont pas conclu de contrats de vidange des fosses septiques. Elle introduit également l'obligation d'effectuer des contrôles réguliers et met en place un mécanisme d'exécution efficace.</w:t>
      </w:r>
    </w:p>
    <w:p w14:paraId="1216B7AE" w14:textId="4A692055" w:rsidR="003C4798" w:rsidRDefault="00417595">
      <w:pPr>
        <w:pStyle w:val="P68B1DB1-Normal047"/>
        <w:pBdr>
          <w:top w:val="nil"/>
          <w:left w:val="nil"/>
          <w:bottom w:val="nil"/>
          <w:right w:val="nil"/>
          <w:between w:val="nil"/>
        </w:pBdr>
        <w:spacing w:line="240" w:lineRule="auto"/>
        <w:jc w:val="both"/>
        <w:rPr>
          <w:noProof/>
          <w:color w:val="000000"/>
        </w:rPr>
      </w:pPr>
      <w:r>
        <w:rPr>
          <w:noProof/>
        </w:rPr>
        <w:t>La mise en œuvre de cette action est achevée au plus tard le 30 juin 2022.</w:t>
      </w:r>
    </w:p>
    <w:p w14:paraId="1216B7AF" w14:textId="3E0A28C8" w:rsidR="003C4798" w:rsidRDefault="00417595">
      <w:pPr>
        <w:pStyle w:val="P68B1DB1-Normal047"/>
        <w:pBdr>
          <w:top w:val="nil"/>
          <w:left w:val="nil"/>
          <w:bottom w:val="nil"/>
          <w:right w:val="nil"/>
          <w:between w:val="nil"/>
        </w:pBdr>
        <w:spacing w:line="240" w:lineRule="auto"/>
        <w:jc w:val="both"/>
        <w:rPr>
          <w:noProof/>
          <w:color w:val="000000"/>
        </w:rPr>
      </w:pPr>
      <w:r>
        <w:rPr>
          <w:noProof/>
        </w:rPr>
        <w:t>La réforme établit également des critères territoriaux pour la sélection des bénéficiaires d’une aide à l’approvisionnement en eau ou aux investissements dans les eaux usées dans les zones rurales. Les critères de sélection accordent la priorité aux municipalités les moins à même de financer des investissements sur leurs propres ressources et aux projets présentant le plus grand potentiel d’atténuation des incidences négatives existantes sur l’environnement.</w:t>
      </w:r>
    </w:p>
    <w:p w14:paraId="1216B7B0" w14:textId="77777777" w:rsidR="003C4798" w:rsidRDefault="00417595">
      <w:pPr>
        <w:pStyle w:val="P68B1DB1-Normal047"/>
        <w:pBdr>
          <w:top w:val="nil"/>
          <w:left w:val="nil"/>
          <w:bottom w:val="nil"/>
          <w:right w:val="nil"/>
          <w:between w:val="nil"/>
        </w:pBdr>
        <w:spacing w:line="240" w:lineRule="auto"/>
        <w:jc w:val="both"/>
        <w:rPr>
          <w:rFonts w:eastAsia="Times New Roman" w:cs="Times New Roman"/>
          <w:noProof/>
          <w:color w:val="000000"/>
          <w:szCs w:val="24"/>
        </w:rPr>
      </w:pPr>
      <w:r>
        <w:rPr>
          <w:noProof/>
        </w:rPr>
        <w:t>La mise en œuvre de cette action devait être achevée au plus tard le 31 décembre 2021.</w:t>
      </w:r>
    </w:p>
    <w:p w14:paraId="1216B7B1"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p>
    <w:p w14:paraId="1216B7B2" w14:textId="07187863"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B3.1.1 Investissements dans les infrastructures de traitement des eaux usées ou d'approvisionnement en eau dans les zones rurales</w:t>
      </w:r>
    </w:p>
    <w:p w14:paraId="5614A2AB" w14:textId="33493435" w:rsidR="003C4798" w:rsidRDefault="00417595">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L’objectif de cet investissement est d’accroître la disponibilité des infrastructures d’approvisionnement en eau et d’assainissement dans les zones rurales. Cette mesure consiste à soutenir la construction, l’extension ou la modernisation de systèmes d’approvisionnement en eau ou d’évacuation des eaux usées.</w:t>
      </w:r>
    </w:p>
    <w:p w14:paraId="186536C1"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u w:val="single"/>
        </w:rPr>
      </w:pPr>
    </w:p>
    <w:p w14:paraId="205BCD6B" w14:textId="767CCEC0" w:rsidR="003C4798" w:rsidRDefault="00417595">
      <w:pPr>
        <w:pStyle w:val="P68B1DB1-Normal036"/>
        <w:pBdr>
          <w:top w:val="nil"/>
          <w:left w:val="nil"/>
          <w:bottom w:val="nil"/>
          <w:right w:val="nil"/>
          <w:between w:val="nil"/>
        </w:pBdr>
        <w:spacing w:before="120" w:after="120" w:line="240" w:lineRule="auto"/>
        <w:jc w:val="both"/>
        <w:rPr>
          <w:bCs/>
          <w:noProof/>
        </w:rPr>
      </w:pPr>
      <w:r>
        <w:rPr>
          <w:noProof/>
        </w:rPr>
        <w:t>B4.1 Réduire la dépendance à l'égard du charbon</w:t>
      </w:r>
    </w:p>
    <w:p w14:paraId="38E4F3B4" w14:textId="76CC5066" w:rsidR="003C4798" w:rsidRDefault="00417595">
      <w:pPr>
        <w:pStyle w:val="P68B1DB1-Normal037"/>
        <w:pBdr>
          <w:top w:val="nil"/>
          <w:left w:val="nil"/>
          <w:bottom w:val="nil"/>
          <w:right w:val="nil"/>
          <w:between w:val="nil"/>
        </w:pBdr>
        <w:spacing w:before="120" w:after="120" w:line="240" w:lineRule="auto"/>
        <w:jc w:val="both"/>
        <w:rPr>
          <w:noProof/>
        </w:rPr>
        <w:sectPr w:rsidR="003C4798" w:rsidSect="006C5441">
          <w:headerReference w:type="even" r:id="rId48"/>
          <w:headerReference w:type="default" r:id="rId49"/>
          <w:footerReference w:type="even" r:id="rId50"/>
          <w:footerReference w:type="default" r:id="rId51"/>
          <w:headerReference w:type="first" r:id="rId52"/>
          <w:footerReference w:type="first" r:id="rId53"/>
          <w:pgSz w:w="11907" w:h="16839"/>
          <w:pgMar w:top="1134" w:right="1134" w:bottom="1134" w:left="1134" w:header="567" w:footer="567" w:gutter="0"/>
          <w:cols w:space="720"/>
          <w:docGrid w:linePitch="299"/>
        </w:sectPr>
      </w:pPr>
      <w:r>
        <w:rPr>
          <w:noProof/>
        </w:rPr>
        <w:t xml:space="preserve">L’objectif de cette mesure est d’assurer un financement stable des investissements dans la décarbonation du secteur du chauffage urbain, à la suite de l’adoption d’une résolution du Conseil des ministres et d’un cadre juridique modifié soutenant la fermeture volontaire des mines de charbon et la protection sociale de certains travailleurs miniers. Il consiste en l’approbation d’un «fonds de transformation du chauffage urbain» pour la période 2026-2030 et d’un acte juridique modifiant la loi sur le fonctionnement de l’industrie minière de houille. La mise en œuvre du «Fonds de transformation du chauffage urbain» n’est pas financée par la FRR et ne fait pas partie de la mesure. Des services de conseil pour la mise en œuvre du «Fonds pour la transformation du chauffage urbain» peuvent être fournis avec le soutien du mécanisme européen d’assistance locale à l’énergie (ELENA). </w:t>
      </w:r>
    </w:p>
    <w:p w14:paraId="1216B7B5" w14:textId="77777777" w:rsidR="003C4798" w:rsidRDefault="00417595">
      <w:pPr>
        <w:pStyle w:val="P68B1DB1-Normal058"/>
        <w:keepNext/>
        <w:pBdr>
          <w:top w:val="nil"/>
          <w:left w:val="nil"/>
          <w:bottom w:val="nil"/>
          <w:right w:val="nil"/>
          <w:between w:val="nil"/>
        </w:pBdr>
        <w:tabs>
          <w:tab w:val="left" w:pos="850"/>
        </w:tabs>
        <w:spacing w:before="360" w:after="120" w:line="240" w:lineRule="auto"/>
        <w:ind w:left="850" w:hanging="850"/>
        <w:jc w:val="both"/>
        <w:rPr>
          <w:rFonts w:eastAsia="Times New Roman" w:cs="Times New Roman"/>
          <w:noProof/>
          <w:szCs w:val="24"/>
        </w:rPr>
      </w:pPr>
      <w:r>
        <w:rPr>
          <w:noProof/>
        </w:rPr>
        <w:t xml:space="preserve">B. Élément B: « RÉDUCTION DE L’ÉNERGIE ET DE L’INTENSITÉ ÉNERGÉTIQUE » </w:t>
      </w:r>
    </w:p>
    <w:p w14:paraId="1216B7B6" w14:textId="77777777" w:rsidR="003C4798" w:rsidRDefault="00417595">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B.2. </w:t>
      </w:r>
      <w:r>
        <w:rPr>
          <w:noProof/>
        </w:rPr>
        <w:t xml:space="preserve"> </w:t>
      </w:r>
      <w:r>
        <w:rPr>
          <w:rFonts w:ascii="Times New Roman" w:hAnsi="Times New Roman"/>
          <w:b/>
          <w:noProof/>
          <w:color w:val="000000"/>
          <w:sz w:val="24"/>
        </w:rPr>
        <w:t>Étapes, cibles, indicateurs et calendrier pour le suivi et la mise en œuvre du soutien financier non remboursable</w:t>
      </w:r>
    </w:p>
    <w:tbl>
      <w:tblPr>
        <w:tblW w:w="1502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0"/>
        <w:gridCol w:w="1763"/>
        <w:gridCol w:w="1093"/>
        <w:gridCol w:w="1895"/>
        <w:gridCol w:w="1628"/>
        <w:gridCol w:w="1125"/>
        <w:gridCol w:w="958"/>
        <w:gridCol w:w="885"/>
        <w:gridCol w:w="1017"/>
        <w:gridCol w:w="850"/>
        <w:gridCol w:w="2983"/>
      </w:tblGrid>
      <w:tr w:rsidR="003C4798" w14:paraId="1216B7BF" w14:textId="77777777" w:rsidTr="00EC21D5">
        <w:trPr>
          <w:trHeight w:val="939"/>
          <w:tblHeader/>
          <w:jc w:val="center"/>
        </w:trPr>
        <w:tc>
          <w:tcPr>
            <w:tcW w:w="830" w:type="dxa"/>
            <w:vMerge w:val="restart"/>
            <w:shd w:val="clear" w:color="auto" w:fill="BDD7EE"/>
            <w:vAlign w:val="center"/>
          </w:tcPr>
          <w:p w14:paraId="1216B7B7"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1763" w:type="dxa"/>
            <w:vMerge w:val="restart"/>
            <w:shd w:val="clear" w:color="auto" w:fill="BDD7EE"/>
            <w:vAlign w:val="center"/>
          </w:tcPr>
          <w:p w14:paraId="1216B7B8"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Mesure connexe (réforme ou investissement)</w:t>
            </w:r>
          </w:p>
        </w:tc>
        <w:tc>
          <w:tcPr>
            <w:tcW w:w="1093" w:type="dxa"/>
            <w:vMerge w:val="restart"/>
            <w:shd w:val="clear" w:color="auto" w:fill="BDD7EE"/>
            <w:vAlign w:val="center"/>
          </w:tcPr>
          <w:p w14:paraId="1216B7B9"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1895" w:type="dxa"/>
            <w:vMerge w:val="restart"/>
            <w:shd w:val="clear" w:color="auto" w:fill="BDD7EE"/>
            <w:vAlign w:val="center"/>
          </w:tcPr>
          <w:p w14:paraId="1216B7BA"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628" w:type="dxa"/>
            <w:vMerge w:val="restart"/>
            <w:shd w:val="clear" w:color="auto" w:fill="BDD7EE"/>
            <w:vAlign w:val="center"/>
          </w:tcPr>
          <w:p w14:paraId="1216B7BB" w14:textId="545B85F0"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qualitatifs</w:t>
            </w:r>
            <w:r>
              <w:rPr>
                <w:noProof/>
              </w:rPr>
              <w:br/>
            </w:r>
            <w:r>
              <w:rPr>
                <w:rFonts w:ascii="Times New Roman" w:hAnsi="Times New Roman"/>
                <w:b/>
                <w:noProof/>
                <w:color w:val="000000"/>
                <w:sz w:val="18"/>
              </w:rPr>
              <w:t>(pour les jalons)</w:t>
            </w:r>
          </w:p>
        </w:tc>
        <w:tc>
          <w:tcPr>
            <w:tcW w:w="2968" w:type="dxa"/>
            <w:gridSpan w:val="3"/>
            <w:shd w:val="clear" w:color="auto" w:fill="BDD7EE"/>
            <w:vAlign w:val="center"/>
          </w:tcPr>
          <w:p w14:paraId="1216B7BC" w14:textId="4565DAFD"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Pr>
                <w:rFonts w:ascii="Times New Roman" w:hAnsi="Times New Roman"/>
                <w:b/>
                <w:noProof/>
                <w:color w:val="000000"/>
                <w:sz w:val="18"/>
              </w:rPr>
              <w:t>Indicateurs quantitatifs</w:t>
            </w:r>
            <w:r>
              <w:rPr>
                <w:noProof/>
              </w:rPr>
              <w:br/>
            </w:r>
            <w:r>
              <w:rPr>
                <w:rFonts w:ascii="Times New Roman" w:hAnsi="Times New Roman"/>
                <w:b/>
                <w:noProof/>
                <w:color w:val="000000"/>
                <w:sz w:val="18"/>
              </w:rPr>
              <w:t>(pour les objectifs)</w:t>
            </w:r>
          </w:p>
        </w:tc>
        <w:tc>
          <w:tcPr>
            <w:tcW w:w="1867" w:type="dxa"/>
            <w:gridSpan w:val="2"/>
            <w:shd w:val="clear" w:color="auto" w:fill="BDD7EE"/>
            <w:vAlign w:val="center"/>
          </w:tcPr>
          <w:p w14:paraId="1216B7BD"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Calendrier indicatif d'achèvement</w:t>
            </w:r>
          </w:p>
        </w:tc>
        <w:tc>
          <w:tcPr>
            <w:tcW w:w="2983" w:type="dxa"/>
            <w:vMerge w:val="restart"/>
            <w:shd w:val="clear" w:color="auto" w:fill="BDD7EE"/>
            <w:vAlign w:val="center"/>
          </w:tcPr>
          <w:p w14:paraId="1216B7BE"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3C4798" w14:paraId="1216B7CB" w14:textId="77777777" w:rsidTr="00EC21D5">
        <w:trPr>
          <w:trHeight w:val="489"/>
          <w:jc w:val="center"/>
        </w:trPr>
        <w:tc>
          <w:tcPr>
            <w:tcW w:w="830" w:type="dxa"/>
            <w:vMerge/>
            <w:vAlign w:val="center"/>
          </w:tcPr>
          <w:p w14:paraId="1216B7C0"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763" w:type="dxa"/>
            <w:vMerge/>
            <w:vAlign w:val="center"/>
          </w:tcPr>
          <w:p w14:paraId="1216B7C1"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093" w:type="dxa"/>
            <w:vMerge/>
            <w:vAlign w:val="center"/>
          </w:tcPr>
          <w:p w14:paraId="1216B7C2"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95" w:type="dxa"/>
            <w:vMerge/>
            <w:vAlign w:val="center"/>
          </w:tcPr>
          <w:p w14:paraId="1216B7C3"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628" w:type="dxa"/>
            <w:vMerge/>
            <w:vAlign w:val="center"/>
          </w:tcPr>
          <w:p w14:paraId="1216B7C4"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25" w:type="dxa"/>
            <w:shd w:val="clear" w:color="auto" w:fill="BDD7EE"/>
            <w:vAlign w:val="center"/>
          </w:tcPr>
          <w:p w14:paraId="1216B7C5"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958" w:type="dxa"/>
            <w:shd w:val="clear" w:color="auto" w:fill="BDD7EE"/>
            <w:vAlign w:val="center"/>
          </w:tcPr>
          <w:p w14:paraId="1216B7C6"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885" w:type="dxa"/>
            <w:shd w:val="clear" w:color="auto" w:fill="BDD7EE"/>
            <w:vAlign w:val="center"/>
          </w:tcPr>
          <w:p w14:paraId="1216B7C7"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017" w:type="dxa"/>
            <w:shd w:val="clear" w:color="auto" w:fill="BDD7EE"/>
            <w:vAlign w:val="center"/>
          </w:tcPr>
          <w:p w14:paraId="1216B7C8"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850" w:type="dxa"/>
            <w:shd w:val="clear" w:color="auto" w:fill="BDD7EE"/>
            <w:vAlign w:val="center"/>
          </w:tcPr>
          <w:p w14:paraId="1216B7C9" w14:textId="77777777" w:rsidR="003C4798" w:rsidRDefault="00417595">
            <w:pPr>
              <w:pStyle w:val="P68B1DB1-Normal017"/>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2983" w:type="dxa"/>
            <w:vMerge/>
            <w:vAlign w:val="center"/>
          </w:tcPr>
          <w:p w14:paraId="1216B7CA"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C4798" w14:paraId="1216B7D7"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C" w14:textId="77777777" w:rsidR="003C4798" w:rsidRDefault="00417595">
            <w:pPr>
              <w:pStyle w:val="P68B1DB1-Normal023"/>
              <w:pBdr>
                <w:top w:val="nil"/>
                <w:left w:val="nil"/>
                <w:bottom w:val="nil"/>
                <w:right w:val="nil"/>
                <w:between w:val="nil"/>
              </w:pBdr>
              <w:spacing w:after="0" w:line="240" w:lineRule="auto"/>
              <w:jc w:val="center"/>
              <w:rPr>
                <w:noProof/>
                <w:color w:val="000000"/>
              </w:rPr>
            </w:pPr>
            <w:r>
              <w:rPr>
                <w:noProof/>
              </w:rPr>
              <w:t>B1G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D" w14:textId="77777777" w:rsidR="003C4798" w:rsidRDefault="00417595">
            <w:pPr>
              <w:pStyle w:val="P68B1DB1-Normal019"/>
              <w:pBdr>
                <w:top w:val="nil"/>
                <w:left w:val="nil"/>
                <w:bottom w:val="nil"/>
                <w:right w:val="nil"/>
                <w:between w:val="nil"/>
              </w:pBdr>
              <w:spacing w:after="0" w:line="240" w:lineRule="auto"/>
              <w:rPr>
                <w:noProof/>
              </w:rPr>
            </w:pPr>
            <w:r>
              <w:rPr>
                <w:noProof/>
              </w:rPr>
              <w:t>B1.1 Air pur et efficacité énergétique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E"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F" w14:textId="77777777" w:rsidR="003C4798" w:rsidRDefault="00417595">
            <w:pPr>
              <w:pStyle w:val="P68B1DB1-Normal019"/>
              <w:pBdr>
                <w:top w:val="nil"/>
                <w:left w:val="nil"/>
                <w:bottom w:val="nil"/>
                <w:right w:val="nil"/>
                <w:between w:val="nil"/>
              </w:pBdr>
              <w:spacing w:after="0" w:line="240" w:lineRule="auto"/>
              <w:rPr>
                <w:noProof/>
              </w:rPr>
            </w:pPr>
            <w:r>
              <w:rPr>
                <w:noProof/>
              </w:rPr>
              <w:t>Entrée en vigueur d’un acte modifiant la loi sur l’efficacité énergétique et les actes législatifs connexes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0" w14:textId="77777777" w:rsidR="003C4798" w:rsidRDefault="00417595">
            <w:pPr>
              <w:pStyle w:val="P68B1DB1-Normal019"/>
              <w:pBdr>
                <w:top w:val="nil"/>
                <w:left w:val="nil"/>
                <w:bottom w:val="nil"/>
                <w:right w:val="nil"/>
                <w:between w:val="nil"/>
              </w:pBdr>
              <w:spacing w:after="0" w:line="240" w:lineRule="auto"/>
              <w:rPr>
                <w:noProof/>
              </w:rPr>
            </w:pPr>
            <w:r>
              <w:rPr>
                <w:noProof/>
              </w:rPr>
              <w:t>Disposition de l’acte modifiant la loi sur l’efficacité énergétique et les actes législatifs connexes indiquant son entrée en vigueur</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1"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2"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3"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4"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5"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2022</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6" w14:textId="684D805C" w:rsidR="003C4798" w:rsidRDefault="00417595">
            <w:pPr>
              <w:pStyle w:val="P68B1DB1-Normal019"/>
              <w:pBdr>
                <w:top w:val="nil"/>
                <w:left w:val="nil"/>
                <w:bottom w:val="nil"/>
                <w:right w:val="nil"/>
                <w:between w:val="nil"/>
              </w:pBdr>
              <w:spacing w:after="0" w:line="240" w:lineRule="auto"/>
              <w:rPr>
                <w:noProof/>
              </w:rPr>
            </w:pPr>
            <w:r>
              <w:rPr>
                <w:noProof/>
              </w:rPr>
              <w:t>Entrée en vigueur d’un acte modifiant la loi sur l’efficacité énergétique et les actes législatifs connexes (loi sur le soutien à la thermomodernisation et aux rénovations et sur le registre central des émissions des bâtiments; la loi sur le soutien financier à la création de locaux résidentiels à louer; la loi sur certains types d'aide au logement; et la loi sur les sources d’énergie renouvelables), qui permettra aux entités couvertes par le régime d’obligations en matière d’efficacité énergétique de régler leurs obligations en matière d’économies d’énergie dans le cadre de programmes dits de subventions. Elle précise les possibilités d'utilisation des contrats de performance énergétique dans le secteur public. Elle permet aux entreprises de services énergétiques de participer aux systèmes d’obligations en matière d’efficacité énergétique.</w:t>
            </w:r>
          </w:p>
        </w:tc>
      </w:tr>
      <w:tr w:rsidR="003C4798" w14:paraId="1216B7E4"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8" w14:textId="77777777" w:rsidR="003C4798" w:rsidRDefault="00417595">
            <w:pPr>
              <w:pStyle w:val="P68B1DB1-Normal023"/>
              <w:pBdr>
                <w:top w:val="nil"/>
                <w:left w:val="nil"/>
                <w:bottom w:val="nil"/>
                <w:right w:val="nil"/>
                <w:between w:val="nil"/>
              </w:pBdr>
              <w:spacing w:after="0" w:line="240" w:lineRule="auto"/>
              <w:jc w:val="center"/>
              <w:rPr>
                <w:noProof/>
                <w:color w:val="000000"/>
              </w:rPr>
            </w:pPr>
            <w:r>
              <w:rPr>
                <w:noProof/>
              </w:rPr>
              <w:t>B2G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9" w14:textId="77777777" w:rsidR="003C4798" w:rsidRDefault="00417595">
            <w:pPr>
              <w:pStyle w:val="P68B1DB1-Normal019"/>
              <w:pBdr>
                <w:top w:val="nil"/>
                <w:left w:val="nil"/>
                <w:bottom w:val="nil"/>
                <w:right w:val="nil"/>
                <w:between w:val="nil"/>
              </w:pBdr>
              <w:spacing w:after="0" w:line="240" w:lineRule="auto"/>
              <w:rPr>
                <w:noProof/>
              </w:rPr>
            </w:pPr>
            <w:r>
              <w:rPr>
                <w:noProof/>
              </w:rPr>
              <w:t>B1.1 Air pur et efficacité énergétique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A"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B" w14:textId="004240F0" w:rsidR="003C4798" w:rsidRDefault="00417595">
            <w:pPr>
              <w:pStyle w:val="P68B1DB1-Normal019"/>
              <w:pBdr>
                <w:top w:val="nil"/>
                <w:left w:val="nil"/>
                <w:bottom w:val="nil"/>
                <w:right w:val="nil"/>
                <w:between w:val="nil"/>
              </w:pBdr>
              <w:spacing w:after="0" w:line="240" w:lineRule="auto"/>
              <w:rPr>
                <w:noProof/>
              </w:rPr>
            </w:pPr>
            <w:r>
              <w:rPr>
                <w:noProof/>
              </w:rPr>
              <w:t>Mise à jour du programme prioritaire «Air pur»</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C" w14:textId="77777777" w:rsidR="003C4798" w:rsidRDefault="00417595">
            <w:pPr>
              <w:pStyle w:val="P68B1DB1-Normal019"/>
              <w:pBdr>
                <w:top w:val="nil"/>
                <w:left w:val="nil"/>
                <w:bottom w:val="nil"/>
                <w:right w:val="nil"/>
                <w:between w:val="nil"/>
              </w:pBdr>
              <w:spacing w:after="0" w:line="240" w:lineRule="auto"/>
              <w:rPr>
                <w:noProof/>
              </w:rPr>
            </w:pPr>
            <w:r>
              <w:rPr>
                <w:noProof/>
              </w:rPr>
              <w:t>Adoption de modifications du programme prioritaire «Air pur» par le Fonds national pour la protection de l’environnement, y compris des dispositions visant à soutenir a) les ménages à revenus plus élevés, notamment avec la participation du secteur bancaire qui accorde des prêts combinés à des subventions; b) les ménages à faible revenu; c) les ménages aux revenus les plus faibles.</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D" w14:textId="77777777" w:rsidR="003C4798" w:rsidRDefault="003C4798">
            <w:pPr>
              <w:jc w:val="center"/>
              <w:rPr>
                <w:noProof/>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E"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F"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0"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1"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2023</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2" w14:textId="77777777" w:rsidR="003C4798" w:rsidRDefault="00417595">
            <w:pPr>
              <w:pStyle w:val="P68B1DB1-Normal019"/>
              <w:pBdr>
                <w:top w:val="nil"/>
                <w:left w:val="nil"/>
                <w:bottom w:val="nil"/>
                <w:right w:val="nil"/>
                <w:between w:val="nil"/>
              </w:pBdr>
              <w:spacing w:after="0" w:line="240" w:lineRule="auto"/>
              <w:rPr>
                <w:noProof/>
              </w:rPr>
            </w:pPr>
            <w:r>
              <w:rPr>
                <w:noProof/>
              </w:rPr>
              <w:t xml:space="preserve">Le Fonds national pour la protection de l’environnement adopte des modifications du programme prioritaire «Air pur» conformément à la stratégie de rénovation à long terme au titre de la directive sur la performance énergétique des bâtiments, y compris un soutien spécifique ciblant a) les ménages à revenus plus élevés, notamment avec la participation du secteur bancaire qui accorde des prêts combinés à des subventions; b) les ménages à faible revenu; c) les ménages aux revenus les plus faibles (conformément aux définitions applicables dans le cadre du programme prioritaire «Air pur». </w:t>
            </w:r>
          </w:p>
          <w:p w14:paraId="1216B7E3" w14:textId="4C3C46B3" w:rsidR="003C4798" w:rsidRDefault="00417595">
            <w:pPr>
              <w:pStyle w:val="P68B1DB1-Normal019"/>
              <w:pBdr>
                <w:top w:val="nil"/>
                <w:left w:val="nil"/>
                <w:bottom w:val="nil"/>
                <w:right w:val="nil"/>
                <w:between w:val="nil"/>
              </w:pBdr>
              <w:spacing w:after="0" w:line="240" w:lineRule="auto"/>
              <w:rPr>
                <w:noProof/>
              </w:rPr>
            </w:pPr>
            <w:r>
              <w:rPr>
                <w:noProof/>
              </w:rPr>
              <w:t>Au plus tard le 31 mars 2023, les dispositions prévoyant un soutien ciblé en faveur des groupes mentionnés sont pleinement opérationnelles et les bénéficiaires ont accès à ce soutien.</w:t>
            </w:r>
          </w:p>
        </w:tc>
      </w:tr>
      <w:tr w:rsidR="003C4798" w14:paraId="1216B7F0"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5" w14:textId="77777777" w:rsidR="003C4798" w:rsidRDefault="00417595">
            <w:pPr>
              <w:pStyle w:val="P68B1DB1-Normal023"/>
              <w:pBdr>
                <w:top w:val="nil"/>
                <w:left w:val="nil"/>
                <w:bottom w:val="nil"/>
                <w:right w:val="nil"/>
                <w:between w:val="nil"/>
              </w:pBdr>
              <w:spacing w:after="0" w:line="240" w:lineRule="auto"/>
              <w:jc w:val="center"/>
              <w:rPr>
                <w:noProof/>
                <w:color w:val="000000"/>
              </w:rPr>
            </w:pPr>
            <w:r>
              <w:rPr>
                <w:noProof/>
              </w:rPr>
              <w:t>B3G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6" w14:textId="77777777" w:rsidR="003C4798" w:rsidRDefault="00417595">
            <w:pPr>
              <w:pStyle w:val="P68B1DB1-Normal019"/>
              <w:pBdr>
                <w:top w:val="nil"/>
                <w:left w:val="nil"/>
                <w:bottom w:val="nil"/>
                <w:right w:val="nil"/>
                <w:between w:val="nil"/>
              </w:pBdr>
              <w:spacing w:after="0" w:line="240" w:lineRule="auto"/>
              <w:rPr>
                <w:noProof/>
              </w:rPr>
            </w:pPr>
            <w:r>
              <w:rPr>
                <w:noProof/>
              </w:rPr>
              <w:t>B1.1 Air pur et efficacité énergétique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7"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8" w14:textId="77777777" w:rsidR="003C4798" w:rsidRDefault="00417595">
            <w:pPr>
              <w:pStyle w:val="P68B1DB1-Normal019"/>
              <w:pBdr>
                <w:top w:val="nil"/>
                <w:left w:val="nil"/>
                <w:bottom w:val="nil"/>
                <w:right w:val="nil"/>
                <w:between w:val="nil"/>
              </w:pBdr>
              <w:spacing w:after="0" w:line="240" w:lineRule="auto"/>
              <w:rPr>
                <w:noProof/>
              </w:rPr>
            </w:pPr>
            <w:r>
              <w:rPr>
                <w:noProof/>
              </w:rPr>
              <w:t>Mise à jour du programme national de protection de l'air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9" w14:textId="77777777" w:rsidR="003C4798" w:rsidRDefault="00417595">
            <w:pPr>
              <w:pStyle w:val="P68B1DB1-Normal019"/>
              <w:pBdr>
                <w:top w:val="nil"/>
                <w:left w:val="nil"/>
                <w:bottom w:val="nil"/>
                <w:right w:val="nil"/>
                <w:between w:val="nil"/>
              </w:pBdr>
              <w:spacing w:after="0" w:line="240" w:lineRule="auto"/>
              <w:rPr>
                <w:noProof/>
              </w:rPr>
            </w:pPr>
            <w:r>
              <w:rPr>
                <w:noProof/>
              </w:rPr>
              <w:t>Adoption du programme national actualisé de protection de l’air par le ministre du climat et de l’environnement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A"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B"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C"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D"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E"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2021</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F" w14:textId="002A9423" w:rsidR="003C4798" w:rsidRDefault="00417595">
            <w:pPr>
              <w:pStyle w:val="P68B1DB1-Normal023"/>
              <w:pBdr>
                <w:top w:val="nil"/>
                <w:left w:val="nil"/>
                <w:bottom w:val="nil"/>
                <w:right w:val="nil"/>
                <w:between w:val="nil"/>
              </w:pBdr>
              <w:spacing w:after="0" w:line="240" w:lineRule="auto"/>
              <w:rPr>
                <w:noProof/>
                <w:color w:val="000000"/>
              </w:rPr>
            </w:pPr>
            <w:r>
              <w:rPr>
                <w:noProof/>
                <w:color w:val="000000" w:themeColor="text1"/>
              </w:rPr>
              <w:t xml:space="preserve">Le programme national de protection de l’air définit de nouvelles tâches à mettre en œuvre d’ici 2025, 2030 et 2040 aux niveaux national, provincial et municipal: 1) Établir des normes pour les zones à faibles émissions pour les municipalités où les niveaux admissibles de NO2 ont été dépassés; (2) engagement des </w:t>
            </w:r>
            <w:r>
              <w:rPr>
                <w:noProof/>
              </w:rPr>
              <w:t>«</w:t>
            </w:r>
            <w:r>
              <w:rPr>
                <w:noProof/>
                <w:color w:val="000000" w:themeColor="text1"/>
              </w:rPr>
              <w:t>voïvodies » à adopter des résolutions anti-smog dans les villes où certaines normes de qualité de l'air ne sont pas respectées; (3) un soutien financier aux autorités régionales et locales pour la promotion des activités spécifiées dans les résolutions anti-smog et la préparation de points d'information pour les résidents demandant un financement dans le cadre du Programme prioritaire de l'air pur; 4) Introduction de la tâche consistant à renforcer les dispositions relatives au système de contrôle pour l'exécution des tâches spécifiées dans les résolutions anti-smog; (5) Exclusion des nouveaux dispositifs de chauffage au charbon des programmes d'aide publique à compter du 1er</w:t>
            </w:r>
            <w:r>
              <w:rPr>
                <w:noProof/>
                <w:szCs w:val="18"/>
              </w:rPr>
              <w:t> </w:t>
            </w:r>
            <w:r>
              <w:rPr>
                <w:noProof/>
                <w:color w:val="000000" w:themeColor="text1"/>
              </w:rPr>
              <w:t>janvier</w:t>
            </w:r>
            <w:r>
              <w:rPr>
                <w:noProof/>
                <w:szCs w:val="18"/>
              </w:rPr>
              <w:t> </w:t>
            </w:r>
            <w:r>
              <w:rPr>
                <w:noProof/>
                <w:color w:val="000000" w:themeColor="text1"/>
              </w:rPr>
              <w:t>2022.</w:t>
            </w:r>
          </w:p>
        </w:tc>
      </w:tr>
      <w:tr w:rsidR="003C4798" w14:paraId="1216B7FC" w14:textId="77777777" w:rsidTr="00EC21D5">
        <w:trPr>
          <w:trHeight w:val="1701"/>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1" w14:textId="77777777" w:rsidR="003C4798" w:rsidRDefault="00417595">
            <w:pPr>
              <w:pStyle w:val="P68B1DB1-Normal023"/>
              <w:pBdr>
                <w:top w:val="nil"/>
                <w:left w:val="nil"/>
                <w:bottom w:val="nil"/>
                <w:right w:val="nil"/>
                <w:between w:val="nil"/>
              </w:pBdr>
              <w:spacing w:after="0" w:line="240" w:lineRule="auto"/>
              <w:jc w:val="center"/>
              <w:rPr>
                <w:noProof/>
                <w:color w:val="000000"/>
              </w:rPr>
            </w:pPr>
            <w:r>
              <w:rPr>
                <w:noProof/>
              </w:rPr>
              <w:t>B4G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2" w14:textId="77777777" w:rsidR="003C4798" w:rsidRDefault="00417595">
            <w:pPr>
              <w:pStyle w:val="P68B1DB1-Normal019"/>
              <w:pBdr>
                <w:top w:val="nil"/>
                <w:left w:val="nil"/>
                <w:bottom w:val="nil"/>
                <w:right w:val="nil"/>
                <w:between w:val="nil"/>
              </w:pBdr>
              <w:spacing w:after="0" w:line="240" w:lineRule="auto"/>
              <w:rPr>
                <w:noProof/>
              </w:rPr>
            </w:pPr>
            <w:r>
              <w:rPr>
                <w:noProof/>
              </w:rPr>
              <w:t>B1.1 Air pur et efficacité énergétique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3"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4" w14:textId="77777777" w:rsidR="003C4798" w:rsidRDefault="00417595">
            <w:pPr>
              <w:pStyle w:val="P68B1DB1-Normal019"/>
              <w:pBdr>
                <w:top w:val="nil"/>
                <w:left w:val="nil"/>
                <w:bottom w:val="nil"/>
                <w:right w:val="nil"/>
                <w:between w:val="nil"/>
              </w:pBdr>
              <w:spacing w:after="0" w:line="240" w:lineRule="auto"/>
              <w:rPr>
                <w:noProof/>
              </w:rPr>
            </w:pPr>
            <w:r>
              <w:rPr>
                <w:noProof/>
              </w:rPr>
              <w:t>Entrée en vigueur d’une modification du règlement par le ministre du climat et de l’environnement sur les normes de qualité pour les combustibles solides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5" w14:textId="77777777" w:rsidR="003C4798" w:rsidRDefault="00417595">
            <w:pPr>
              <w:pStyle w:val="P68B1DB1-Normal019"/>
              <w:pBdr>
                <w:top w:val="nil"/>
                <w:left w:val="nil"/>
                <w:bottom w:val="nil"/>
                <w:right w:val="nil"/>
                <w:between w:val="nil"/>
              </w:pBdr>
              <w:spacing w:after="0" w:line="240" w:lineRule="auto"/>
              <w:rPr>
                <w:noProof/>
              </w:rPr>
            </w:pPr>
            <w:r>
              <w:rPr>
                <w:noProof/>
              </w:rPr>
              <w:t>Disposition de la modification du règlement relatif aux normes de qualité applicables aux combustibles solides indiquant son entrée en vigueur</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6"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7"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8"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9"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A"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2022</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B" w14:textId="77777777" w:rsidR="003C4798" w:rsidRDefault="00417595">
            <w:pPr>
              <w:pStyle w:val="P68B1DB1-Normal019"/>
              <w:pBdr>
                <w:top w:val="nil"/>
                <w:left w:val="nil"/>
                <w:bottom w:val="nil"/>
                <w:right w:val="nil"/>
                <w:between w:val="nil"/>
              </w:pBdr>
              <w:spacing w:after="0" w:line="240" w:lineRule="auto"/>
              <w:rPr>
                <w:noProof/>
              </w:rPr>
            </w:pPr>
            <w:r>
              <w:rPr>
                <w:noProof/>
              </w:rPr>
              <w:t>Sur la base de recommandations sur les modifications législatives nécessaires ou recommandées préparées par une équipe interministérielle et suivies d’une consultation des propositions avec les ONG et les chambres du secteur du charbon, la modification du règlement sur les combustibles solides à base de charbon entre en vigueur. Elle interdit aux producteurs de combustibles solides à base de charbon d'utiliser un marquage trompeur.</w:t>
            </w:r>
          </w:p>
        </w:tc>
      </w:tr>
      <w:tr w:rsidR="003C4798" w14:paraId="1216B809" w14:textId="77777777" w:rsidTr="00EC21D5">
        <w:trPr>
          <w:trHeight w:val="964"/>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D" w14:textId="77777777" w:rsidR="003C4798" w:rsidRDefault="00417595">
            <w:pPr>
              <w:pStyle w:val="P68B1DB1-Normal023"/>
              <w:spacing w:line="240" w:lineRule="auto"/>
              <w:jc w:val="center"/>
              <w:rPr>
                <w:noProof/>
              </w:rPr>
            </w:pPr>
            <w:r>
              <w:rPr>
                <w:noProof/>
              </w:rPr>
              <w:t>B5G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E" w14:textId="77777777" w:rsidR="003C4798" w:rsidRDefault="00417595">
            <w:pPr>
              <w:pStyle w:val="P68B1DB1-Normal019"/>
              <w:spacing w:after="0" w:line="240" w:lineRule="auto"/>
              <w:rPr>
                <w:noProof/>
                <w:color w:val="000000" w:themeColor="text1"/>
              </w:rPr>
            </w:pPr>
            <w:r>
              <w:rPr>
                <w:noProof/>
              </w:rPr>
              <w:t>B1.1 Air pur et efficacité énergétique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F" w14:textId="77777777" w:rsidR="003C4798" w:rsidRDefault="00417595">
            <w:pPr>
              <w:pStyle w:val="P68B1DB1-Normal019"/>
              <w:spacing w:line="240" w:lineRule="auto"/>
              <w:jc w:val="center"/>
              <w:rPr>
                <w:noProof/>
                <w:color w:val="000000" w:themeColor="text1"/>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0" w14:textId="77777777" w:rsidR="003C4798" w:rsidRDefault="00417595">
            <w:pPr>
              <w:pStyle w:val="P68B1DB1-Normal019"/>
              <w:spacing w:after="0" w:line="240" w:lineRule="auto"/>
              <w:rPr>
                <w:noProof/>
                <w:color w:val="000000" w:themeColor="text1"/>
              </w:rPr>
            </w:pPr>
            <w:r>
              <w:rPr>
                <w:noProof/>
              </w:rPr>
              <w:t>Entrée en vigueur du règlement établissant des normes de qualité pour les combustibles solides issus de la biomasse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1" w14:textId="77777777" w:rsidR="003C4798" w:rsidRDefault="00417595">
            <w:pPr>
              <w:pStyle w:val="P68B1DB1-Normal019"/>
              <w:spacing w:after="0" w:line="240" w:lineRule="auto"/>
              <w:rPr>
                <w:noProof/>
                <w:color w:val="000000" w:themeColor="text1"/>
              </w:rPr>
            </w:pPr>
            <w:r>
              <w:rPr>
                <w:noProof/>
              </w:rPr>
              <w:t>Disposition du règlement établissant des normes de qualité pour les combustibles solides issus de la biomasse indiquant son entrée en vigueur</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2" w14:textId="77777777" w:rsidR="003C4798" w:rsidRDefault="003C4798">
            <w:pPr>
              <w:pStyle w:val="Normal0"/>
              <w:spacing w:line="240" w:lineRule="auto"/>
              <w:jc w:val="center"/>
              <w:rPr>
                <w:rFonts w:ascii="Times New Roman" w:hAnsi="Times New Roman"/>
                <w:noProof/>
                <w:color w:val="000000" w:themeColor="text1"/>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3" w14:textId="77777777" w:rsidR="003C4798" w:rsidRDefault="003C4798">
            <w:pPr>
              <w:pStyle w:val="Normal0"/>
              <w:spacing w:line="240" w:lineRule="auto"/>
              <w:jc w:val="center"/>
              <w:rPr>
                <w:rFonts w:ascii="Times New Roman" w:hAnsi="Times New Roman"/>
                <w:noProof/>
                <w:color w:val="000000" w:themeColor="text1"/>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4" w14:textId="77777777" w:rsidR="003C4798" w:rsidRDefault="003C4798">
            <w:pPr>
              <w:pStyle w:val="Normal0"/>
              <w:spacing w:line="240" w:lineRule="auto"/>
              <w:jc w:val="center"/>
              <w:rPr>
                <w:rFonts w:ascii="Times New Roman" w:hAnsi="Times New Roman"/>
                <w:noProof/>
                <w:color w:val="000000" w:themeColor="text1"/>
                <w:sz w:val="18"/>
              </w:rPr>
            </w:pP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5" w14:textId="77777777" w:rsidR="003C4798" w:rsidRDefault="00417595">
            <w:pPr>
              <w:pStyle w:val="P68B1DB1-Normal019"/>
              <w:spacing w:line="240" w:lineRule="auto"/>
              <w:jc w:val="center"/>
              <w:rPr>
                <w:noProof/>
                <w:color w:val="000000" w:themeColor="text1"/>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6" w14:textId="77777777" w:rsidR="003C4798" w:rsidRDefault="00417595">
            <w:pPr>
              <w:pStyle w:val="P68B1DB1-Normal019"/>
              <w:spacing w:line="240" w:lineRule="auto"/>
              <w:jc w:val="center"/>
              <w:rPr>
                <w:noProof/>
                <w:color w:val="000000" w:themeColor="text1"/>
              </w:rPr>
            </w:pPr>
            <w:r>
              <w:rPr>
                <w:noProof/>
              </w:rPr>
              <w:t>2023</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8" w14:textId="08AE0405" w:rsidR="003C4798" w:rsidRDefault="00417595">
            <w:pPr>
              <w:pStyle w:val="P68B1DB1-Normal019"/>
              <w:spacing w:line="240" w:lineRule="auto"/>
              <w:rPr>
                <w:noProof/>
                <w:color w:val="000000" w:themeColor="text1"/>
              </w:rPr>
            </w:pPr>
            <w:r>
              <w:rPr>
                <w:noProof/>
              </w:rPr>
              <w:t>Le règlement fixe des normes de qualité pour les combustibles solides issus de la biomasse destinés à un usage domestique, y compris les granulés de bois.</w:t>
            </w:r>
          </w:p>
        </w:tc>
      </w:tr>
      <w:tr w:rsidR="003C4798" w14:paraId="1216B818" w14:textId="77777777" w:rsidTr="00EC21D5">
        <w:trPr>
          <w:trHeight w:val="410"/>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A"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B7G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B"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B1.1.1 Investissements dans les sources de chaleur dans les systèmes de chauffage urbain</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C"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D" w14:textId="6C0FBA0D"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T1 – Sources de chaleur dans les systèmes de chauffage urbain</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E"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F"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0" w14:textId="77777777" w:rsidR="003C4798" w:rsidRDefault="00417595">
            <w:pPr>
              <w:pStyle w:val="P68B1DB1-Normal019"/>
              <w:spacing w:after="0" w:line="240" w:lineRule="auto"/>
              <w:jc w:val="center"/>
              <w:rPr>
                <w:rFonts w:eastAsia="Times New Roman" w:cs="Times New Roman"/>
                <w:noProof/>
                <w:color w:val="000000" w:themeColor="text1"/>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23</w:t>
            </w: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3"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4" w14:textId="15286A03" w:rsidR="003C4798" w:rsidRDefault="00417595">
            <w:pPr>
              <w:pStyle w:val="P68B1DB1-Normal020"/>
              <w:pBdr>
                <w:top w:val="nil"/>
                <w:left w:val="nil"/>
                <w:bottom w:val="nil"/>
                <w:right w:val="nil"/>
                <w:between w:val="nil"/>
              </w:pBdr>
              <w:spacing w:after="0" w:line="240" w:lineRule="auto"/>
              <w:rPr>
                <w:noProof/>
              </w:rPr>
            </w:pPr>
            <w:r>
              <w:rPr>
                <w:noProof/>
              </w:rPr>
              <w:t xml:space="preserve">Accords signés pour les installations de production de chaleur pour le chauffage urbain. </w:t>
            </w:r>
          </w:p>
          <w:p w14:paraId="3BBE0D84" w14:textId="77777777" w:rsidR="003C4798" w:rsidRDefault="00417595">
            <w:pPr>
              <w:pStyle w:val="P68B1DB1-Normal020"/>
              <w:pBdr>
                <w:top w:val="nil"/>
                <w:left w:val="nil"/>
                <w:bottom w:val="nil"/>
                <w:right w:val="nil"/>
                <w:between w:val="nil"/>
              </w:pBdr>
              <w:spacing w:after="0" w:line="240" w:lineRule="auto"/>
              <w:rPr>
                <w:noProof/>
              </w:rPr>
            </w:pPr>
            <w:r>
              <w:rPr>
                <w:noProof/>
              </w:rPr>
              <w:t xml:space="preserve">Le respect du principe consistant à «ne pas causer de préjudice important» est démontré par les dispositions suivantes des accords: </w:t>
            </w:r>
          </w:p>
          <w:p w14:paraId="1216B815" w14:textId="55206C79" w:rsidR="003C4798" w:rsidRDefault="00417595">
            <w:pPr>
              <w:pStyle w:val="P68B1DB1-Normal020"/>
              <w:pBdr>
                <w:top w:val="nil"/>
                <w:left w:val="nil"/>
                <w:bottom w:val="nil"/>
                <w:right w:val="nil"/>
                <w:between w:val="nil"/>
              </w:pBdr>
              <w:spacing w:after="0" w:line="240" w:lineRule="auto"/>
              <w:rPr>
                <w:noProof/>
              </w:rPr>
            </w:pPr>
            <w:r>
              <w:rPr>
                <w:noProof/>
              </w:rPr>
              <w:t xml:space="preserve">- Les installations de production de chaleur bénéficiant d'un soutien ne dépassent pas le seuil de 250 g de CO2/kWh d'énergie. </w:t>
            </w:r>
          </w:p>
          <w:p w14:paraId="1216B816" w14:textId="77777777" w:rsidR="003C4798" w:rsidRDefault="00417595">
            <w:pPr>
              <w:pStyle w:val="P68B1DB1-Normal020"/>
              <w:pBdr>
                <w:top w:val="nil"/>
                <w:left w:val="nil"/>
                <w:bottom w:val="nil"/>
                <w:right w:val="nil"/>
                <w:between w:val="nil"/>
              </w:pBdr>
              <w:spacing w:after="0" w:line="240" w:lineRule="auto"/>
              <w:rPr>
                <w:noProof/>
              </w:rPr>
            </w:pPr>
            <w:r>
              <w:rPr>
                <w:noProof/>
              </w:rPr>
              <w:t>- Dans le cas d’installations utilisant de la bioénergie, celles-ci sont conformes à l’article 29, paragraphes 2 à 7, de la directive 2018/2001.</w:t>
            </w:r>
          </w:p>
          <w:p w14:paraId="1216B817"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Aucune installation bénéficiant d'un soutien ne doit utiliser de combustible dérivé de déchets.</w:t>
            </w:r>
          </w:p>
        </w:tc>
      </w:tr>
      <w:tr w:rsidR="003C4798" w14:paraId="1216B825"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9" w14:textId="77777777" w:rsidR="003C4798" w:rsidRDefault="00417595">
            <w:pPr>
              <w:pStyle w:val="P68B1DB1-Normal023"/>
              <w:pBdr>
                <w:top w:val="nil"/>
                <w:left w:val="nil"/>
                <w:bottom w:val="nil"/>
                <w:right w:val="nil"/>
                <w:between w:val="nil"/>
              </w:pBdr>
              <w:spacing w:after="0" w:line="240" w:lineRule="auto"/>
              <w:jc w:val="center"/>
              <w:rPr>
                <w:noProof/>
                <w:color w:val="000000"/>
              </w:rPr>
            </w:pPr>
            <w:r>
              <w:rPr>
                <w:noProof/>
              </w:rPr>
              <w:t>B8G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A" w14:textId="326170FF" w:rsidR="003C4798" w:rsidRDefault="00417595">
            <w:pPr>
              <w:pStyle w:val="P68B1DB1-Normal019"/>
              <w:pBdr>
                <w:top w:val="nil"/>
                <w:left w:val="nil"/>
                <w:bottom w:val="nil"/>
                <w:right w:val="nil"/>
                <w:between w:val="nil"/>
              </w:pBdr>
              <w:spacing w:after="0" w:line="240" w:lineRule="auto"/>
              <w:rPr>
                <w:noProof/>
              </w:rPr>
            </w:pPr>
            <w:r>
              <w:rPr>
                <w:noProof/>
              </w:rPr>
              <w:t>B1.1.2 Remplacement des sources de chaleur et amélioration de l'efficacité énergétique dans les bâtiments résidentiels unifamiliaux</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B"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C" w14:textId="57EE4D13" w:rsidR="003C4798" w:rsidRDefault="00417595">
            <w:pPr>
              <w:pStyle w:val="P68B1DB1-Normal019"/>
              <w:pBdr>
                <w:top w:val="nil"/>
                <w:left w:val="nil"/>
                <w:bottom w:val="nil"/>
                <w:right w:val="nil"/>
                <w:between w:val="nil"/>
              </w:pBdr>
              <w:spacing w:after="0" w:line="240" w:lineRule="auto"/>
              <w:rPr>
                <w:noProof/>
              </w:rPr>
            </w:pPr>
            <w:r>
              <w:rPr>
                <w:noProof/>
              </w:rPr>
              <w:t>T1 - Remplacement de la source de chaleur dans les immeubles unifamiliaux</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D" w14:textId="77777777" w:rsidR="003C4798" w:rsidRDefault="00417595">
            <w:pPr>
              <w:pStyle w:val="P68B1DB1-Normal019"/>
              <w:pBdr>
                <w:top w:val="nil"/>
                <w:left w:val="nil"/>
                <w:bottom w:val="nil"/>
                <w:right w:val="nil"/>
                <w:between w:val="nil"/>
              </w:pBdr>
              <w:spacing w:after="0" w:line="240" w:lineRule="auto"/>
              <w:rPr>
                <w:noProof/>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E"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F"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0"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250 000</w:t>
            </w: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1"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2" w14:textId="77777777" w:rsidR="003C4798" w:rsidRDefault="00417595">
            <w:pPr>
              <w:pStyle w:val="P68B1DB1-Normal019"/>
              <w:spacing w:after="0" w:line="240" w:lineRule="auto"/>
              <w:jc w:val="center"/>
              <w:rPr>
                <w:noProof/>
                <w:color w:val="000000" w:themeColor="text1"/>
              </w:rPr>
            </w:pPr>
            <w:r>
              <w:rPr>
                <w:noProof/>
              </w:rPr>
              <w:t>2023</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3" w14:textId="77777777" w:rsidR="003C4798" w:rsidRDefault="00417595">
            <w:pPr>
              <w:pStyle w:val="P68B1DB1-Normal019"/>
              <w:spacing w:after="0" w:line="240" w:lineRule="auto"/>
              <w:rPr>
                <w:noProof/>
                <w:color w:val="000000" w:themeColor="text1"/>
              </w:rPr>
            </w:pPr>
            <w:r>
              <w:rPr>
                <w:noProof/>
              </w:rPr>
              <w:t>Nombre</w:t>
            </w:r>
            <w:bookmarkStart w:id="9" w:name="_Hlk213398934"/>
            <w:r>
              <w:rPr>
                <w:noProof/>
              </w:rPr>
              <w:t xml:space="preserve"> de sources de chaleur installées</w:t>
            </w:r>
            <w:bookmarkEnd w:id="9"/>
            <w:r>
              <w:rPr>
                <w:noProof/>
              </w:rPr>
              <w:t>. Les investissements sont soutenus au titre du programme prioritaire «Air pur», conformément à la stratégie de rénovation à long terme au titre de la directive sur la performance énergétique des bâtiments.</w:t>
            </w:r>
          </w:p>
          <w:p w14:paraId="1216B824" w14:textId="5F38AC3E" w:rsidR="003C4798" w:rsidRDefault="00417595">
            <w:pPr>
              <w:pStyle w:val="P68B1DB1-Normal019"/>
              <w:spacing w:after="0" w:line="240" w:lineRule="auto"/>
              <w:rPr>
                <w:noProof/>
              </w:rPr>
            </w:pPr>
            <w:r>
              <w:rPr>
                <w:noProof/>
              </w:rPr>
              <w:t>En cas de soutien aux chaudières au gaz, celles-ci sont déployées conformément à l’annexe III des orientations techniques de la Commission sur le principe consistant à «ne pas causer de préjudice important» (2021/C58/021) et entraînent une diminution significative des émissions de gaz à effet de serre dans le but d’améliorer sensiblement l’environnement et la santé publique, notamment en raison de la réduction de la pollution, en particulier dans les zones où les normes de l’Union en matière de qualité de l’air fixées par la directive 2008/50/UE sont dépassées ou risquent d’être dépassées.</w:t>
            </w:r>
          </w:p>
        </w:tc>
      </w:tr>
      <w:tr w:rsidR="003C4798" w14:paraId="1216B832"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6"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B9G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7" w14:textId="1C34BCEA"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B1.1.2 Remplacement des sources de chaleur et amélioration de l'efficacité énergétique dans les bâtiments résidentiels unifamiliaux</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8"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9"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Remplacement de la source de chaleur,</w:t>
            </w:r>
            <w:r>
              <w:rPr>
                <w:noProof/>
                <w:szCs w:val="18"/>
              </w:rPr>
              <w:t xml:space="preserve"> installation de SER et modernisation thermique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C" w14:textId="2C4A7B86" w:rsidR="003C4798" w:rsidRDefault="00417595">
            <w:pPr>
              <w:pStyle w:val="P68B1DB1-Normal020"/>
              <w:pBdr>
                <w:top w:val="nil"/>
                <w:left w:val="nil"/>
                <w:bottom w:val="nil"/>
                <w:right w:val="nil"/>
                <w:between w:val="nil"/>
              </w:pBdr>
              <w:spacing w:after="0" w:line="240" w:lineRule="auto"/>
              <w:jc w:val="center"/>
              <w:rPr>
                <w:noProof/>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D"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noProof/>
                <w:szCs w:val="18"/>
              </w:rPr>
            </w:pPr>
            <w:r>
              <w:rPr>
                <w:noProof/>
                <w:szCs w:val="18"/>
              </w:rPr>
              <w:t>465</w:t>
            </w:r>
            <w:r>
              <w:rPr>
                <w:noProof/>
                <w:color w:val="000000" w:themeColor="text1"/>
              </w:rPr>
              <w:t xml:space="preserve"> </w:t>
            </w:r>
            <w:r>
              <w:rPr>
                <w:noProof/>
                <w:szCs w:val="18"/>
              </w:rPr>
              <w:t>000</w:t>
            </w: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F"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C942B3" w14:textId="6E2558A6" w:rsidR="003C4798" w:rsidRDefault="00417595">
            <w:pPr>
              <w:pStyle w:val="P68B1DB1-Normal020"/>
              <w:pBdr>
                <w:top w:val="nil"/>
                <w:left w:val="nil"/>
                <w:bottom w:val="nil"/>
                <w:right w:val="nil"/>
                <w:between w:val="nil"/>
              </w:pBdr>
              <w:spacing w:after="0" w:line="240" w:lineRule="auto"/>
              <w:rPr>
                <w:noProof/>
              </w:rPr>
            </w:pPr>
            <w:bookmarkStart w:id="10" w:name="_Hlk213398819"/>
            <w:r>
              <w:rPr>
                <w:noProof/>
              </w:rPr>
              <w:t xml:space="preserve">nombre </w:t>
            </w:r>
            <w:bookmarkStart w:id="11" w:name="_Hlk213399174"/>
            <w:r>
              <w:rPr>
                <w:noProof/>
              </w:rPr>
              <w:t xml:space="preserve">de bâtiments unifamiliaux </w:t>
            </w:r>
            <w:bookmarkEnd w:id="10"/>
            <w:bookmarkEnd w:id="11"/>
            <w:r>
              <w:rPr>
                <w:noProof/>
              </w:rPr>
              <w:t>avec des sources de chaleur remplacées;</w:t>
            </w:r>
            <w:bookmarkStart w:id="12" w:name="_Hlk213398974"/>
            <w:r>
              <w:rPr>
                <w:noProof/>
              </w:rPr>
              <w:t xml:space="preserve"> ou les sources d’énergie renouvelables installées; ou modernisé thermiquement</w:t>
            </w:r>
            <w:bookmarkEnd w:id="12"/>
            <w:r>
              <w:rPr>
                <w:noProof/>
              </w:rPr>
              <w:t>.</w:t>
            </w:r>
          </w:p>
          <w:p w14:paraId="1216B831" w14:textId="77777777" w:rsidR="003C4798" w:rsidRDefault="00417595">
            <w:pPr>
              <w:pStyle w:val="P68B1DB1-Normal029"/>
              <w:spacing w:after="0" w:line="240" w:lineRule="auto"/>
              <w:rPr>
                <w:noProof/>
              </w:rPr>
            </w:pPr>
            <w:r>
              <w:rPr>
                <w:noProof/>
              </w:rPr>
              <w:t>En outre, au niveau de l’investissement, les chaudières au gaz ne représentent pas plus de 40 % du nombre total de remplacements de sources de chaleur.</w:t>
            </w:r>
          </w:p>
        </w:tc>
      </w:tr>
      <w:tr w:rsidR="003C4798" w14:paraId="1216B83E"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3"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B10G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4" w14:textId="2E40102F"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B1.1.2 Remplacement des sources de chaleur et amélioration de l'efficacité énergétique dans les bâtiments résidentiels unifamiliaux</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5"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6"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T1 - Thermomodernisation et installation de sources d'énergie renouvelables dans les bâtiments résidentiels unifamiliaux</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7"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8"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9"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szCs w:val="18"/>
              </w:rPr>
              <w:t>190</w:t>
            </w:r>
            <w:r>
              <w:rPr>
                <w:noProof/>
              </w:rPr>
              <w:t xml:space="preserve"> </w:t>
            </w:r>
            <w:r>
              <w:rPr>
                <w:noProof/>
                <w:szCs w:val="18"/>
              </w:rPr>
              <w:t>000</w:t>
            </w: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B"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C"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2023</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D" w14:textId="71B762AB"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Nombre de maisons unifamiliales thermomodernisées répondant aux normes d'efficacité énergétique. Les investissements sont soutenus au titre du programme prioritaire «Air pur».</w:t>
            </w:r>
          </w:p>
        </w:tc>
      </w:tr>
      <w:tr w:rsidR="003C4798" w14:paraId="1216B84C"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F"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B12G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0"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B1.1.3 Modernisation thermique des établissements d'enseignement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2" w14:textId="23512D3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Nombre de bâtiments d’établissements d’enseignement ayant signé des contrats pour </w:t>
            </w:r>
            <w:r>
              <w:rPr>
                <w:noProof/>
                <w:szCs w:val="18"/>
              </w:rPr>
              <w:t>des installations ou des modernisations de sources de chaleur, des installations de sources d’énergie renouvelables ou des modernisations thermiques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3"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4"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5"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6"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492</w:t>
            </w: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7" w14:textId="77777777"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8"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9" w14:textId="6AB9B73C" w:rsidR="003C4798" w:rsidRDefault="00417595">
            <w:pPr>
              <w:pStyle w:val="P68B1DB1-Normal020"/>
              <w:pBdr>
                <w:top w:val="nil"/>
                <w:left w:val="nil"/>
                <w:bottom w:val="nil"/>
                <w:right w:val="nil"/>
                <w:between w:val="nil"/>
              </w:pBdr>
              <w:spacing w:after="0" w:line="240" w:lineRule="auto"/>
              <w:rPr>
                <w:noProof/>
              </w:rPr>
            </w:pPr>
            <w:r>
              <w:rPr>
                <w:noProof/>
              </w:rPr>
              <w:t>Nombre de bâtiments d’établissements d’enseignement ayant signé des contrats pour des installations ou des modernisations de sources de chaleur, des installations de sources d’énergie renouvelables et/ou des modernisations thermiques.</w:t>
            </w:r>
          </w:p>
          <w:p w14:paraId="1216B84A" w14:textId="77777777" w:rsidR="003C4798" w:rsidRDefault="003C4798">
            <w:pPr>
              <w:pStyle w:val="Normal0"/>
              <w:pBdr>
                <w:top w:val="nil"/>
                <w:left w:val="nil"/>
                <w:bottom w:val="nil"/>
                <w:right w:val="nil"/>
                <w:between w:val="nil"/>
              </w:pBdr>
              <w:spacing w:after="0" w:line="240" w:lineRule="auto"/>
              <w:rPr>
                <w:rFonts w:ascii="Times New Roman" w:hAnsi="Times New Roman"/>
                <w:noProof/>
                <w:color w:val="000000" w:themeColor="text1"/>
                <w:sz w:val="18"/>
                <w:szCs w:val="18"/>
              </w:rPr>
            </w:pPr>
          </w:p>
          <w:p w14:paraId="1216B84B"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L’appel exclut les sources de chaleur provenant de combustibles fossiles de la mise en œuvre des projets.</w:t>
            </w:r>
          </w:p>
        </w:tc>
      </w:tr>
      <w:tr w:rsidR="003C4798" w14:paraId="1216B858" w14:textId="77777777" w:rsidTr="00EC21D5">
        <w:trPr>
          <w:trHeight w:val="836"/>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D"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b/>
                <w:noProof/>
                <w:color w:val="000000"/>
              </w:rPr>
            </w:pPr>
            <w:r>
              <w:rPr>
                <w:noProof/>
              </w:rPr>
              <w:t>B15G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E"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B1.1.4 Accroître l'efficacité énergétique des installations d'activités sociales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F"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0" w14:textId="77777777" w:rsidR="003C4798" w:rsidRDefault="00417595">
            <w:pPr>
              <w:pStyle w:val="P68B1DB1-Normal059"/>
              <w:pBdr>
                <w:top w:val="nil"/>
                <w:left w:val="nil"/>
                <w:bottom w:val="nil"/>
                <w:right w:val="nil"/>
                <w:between w:val="nil"/>
              </w:pBdr>
              <w:spacing w:after="0" w:line="240" w:lineRule="auto"/>
              <w:rPr>
                <w:rFonts w:ascii="Times New Roman" w:eastAsia="Times New Roman" w:hAnsi="Times New Roman" w:cs="Times New Roman"/>
                <w:noProof/>
                <w:color w:val="000000"/>
                <w:szCs w:val="18"/>
              </w:rPr>
            </w:pPr>
            <w:r>
              <w:rPr>
                <w:rFonts w:ascii="Times New Roman" w:eastAsia="Times New Roman" w:hAnsi="Times New Roman" w:cs="Times New Roman"/>
                <w:noProof/>
                <w:szCs w:val="18"/>
              </w:rPr>
              <w:t xml:space="preserve">Thermo-modernisation </w:t>
            </w:r>
            <w:r>
              <w:rPr>
                <w:rFonts w:ascii="Times New Roman" w:hAnsi="Times New Roman"/>
                <w:noProof/>
              </w:rPr>
              <w:t>des installations d'activité sociale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1"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2"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3"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4"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150</w:t>
            </w: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5"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7" w14:textId="77777777" w:rsidR="003C4798" w:rsidRDefault="00417595">
            <w:pPr>
              <w:pStyle w:val="P68B1DB1-Normal019"/>
              <w:spacing w:after="0" w:line="240" w:lineRule="auto"/>
              <w:rPr>
                <w:rFonts w:eastAsia="Times New Roman" w:cs="Times New Roman"/>
                <w:noProof/>
                <w:szCs w:val="18"/>
              </w:rPr>
            </w:pPr>
            <w:r>
              <w:rPr>
                <w:noProof/>
                <w:szCs w:val="18"/>
              </w:rPr>
              <w:t xml:space="preserve">Nombre d'installations d'activités sociales thermomodernisées (bibliothèques, centres culturels ou communautaires). Cela peut inclure l'installation de sources de chaleur et/ou de sources d'énergie renouvelables. Les règles de procédure pour la sélection des projets </w:t>
            </w:r>
            <w:r>
              <w:rPr>
                <w:noProof/>
              </w:rPr>
              <w:t>précisent que le remplacement des sources de chaleur pour les chaudières à gaz n'est pas éligible.</w:t>
            </w:r>
          </w:p>
        </w:tc>
      </w:tr>
      <w:tr w:rsidR="003C4798" w14:paraId="1216B864"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C6EFCE"/>
          </w:tcPr>
          <w:p w14:paraId="1216B859" w14:textId="77777777" w:rsidR="003C4798" w:rsidRDefault="00417595">
            <w:pPr>
              <w:pStyle w:val="P68B1DB1-Normal023"/>
              <w:pBdr>
                <w:top w:val="nil"/>
                <w:left w:val="nil"/>
                <w:bottom w:val="nil"/>
                <w:right w:val="nil"/>
                <w:between w:val="nil"/>
              </w:pBdr>
              <w:spacing w:after="0" w:line="240" w:lineRule="auto"/>
              <w:jc w:val="center"/>
              <w:rPr>
                <w:noProof/>
                <w:color w:val="000000"/>
              </w:rPr>
            </w:pPr>
            <w:r>
              <w:rPr>
                <w:noProof/>
              </w:rPr>
              <w:t>B16G</w:t>
            </w:r>
          </w:p>
        </w:tc>
        <w:tc>
          <w:tcPr>
            <w:tcW w:w="1763" w:type="dxa"/>
            <w:tcBorders>
              <w:top w:val="single" w:sz="4" w:space="0" w:color="auto"/>
              <w:left w:val="single" w:sz="4" w:space="0" w:color="auto"/>
              <w:bottom w:val="single" w:sz="4" w:space="0" w:color="auto"/>
              <w:right w:val="single" w:sz="4" w:space="0" w:color="auto"/>
            </w:tcBorders>
            <w:shd w:val="clear" w:color="auto" w:fill="C6EFCE"/>
          </w:tcPr>
          <w:p w14:paraId="1216B85A" w14:textId="77777777" w:rsidR="003C4798" w:rsidRDefault="00417595">
            <w:pPr>
              <w:pStyle w:val="P68B1DB1-Normal019"/>
              <w:pBdr>
                <w:top w:val="nil"/>
                <w:left w:val="nil"/>
                <w:bottom w:val="nil"/>
                <w:right w:val="nil"/>
                <w:between w:val="nil"/>
              </w:pBdr>
              <w:spacing w:after="0" w:line="240" w:lineRule="auto"/>
              <w:rPr>
                <w:noProof/>
              </w:rPr>
            </w:pPr>
            <w:r>
              <w:rPr>
                <w:noProof/>
              </w:rPr>
              <w:t>B2.1 Améliorer les conditions de développement des technologies de l’hydrogène et d’autres gaz décarbonés</w:t>
            </w:r>
          </w:p>
        </w:tc>
        <w:tc>
          <w:tcPr>
            <w:tcW w:w="1093" w:type="dxa"/>
            <w:tcBorders>
              <w:top w:val="single" w:sz="4" w:space="0" w:color="auto"/>
              <w:left w:val="single" w:sz="4" w:space="0" w:color="auto"/>
              <w:bottom w:val="single" w:sz="4" w:space="0" w:color="auto"/>
              <w:right w:val="single" w:sz="4" w:space="0" w:color="auto"/>
            </w:tcBorders>
            <w:shd w:val="clear" w:color="auto" w:fill="C6EFCE"/>
          </w:tcPr>
          <w:p w14:paraId="1216B85B"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auto"/>
              <w:left w:val="single" w:sz="4" w:space="0" w:color="auto"/>
              <w:bottom w:val="single" w:sz="4" w:space="0" w:color="auto"/>
              <w:right w:val="single" w:sz="4" w:space="0" w:color="auto"/>
            </w:tcBorders>
            <w:shd w:val="clear" w:color="auto" w:fill="C6EFCE"/>
          </w:tcPr>
          <w:p w14:paraId="1216B85C" w14:textId="77777777" w:rsidR="003C4798" w:rsidRDefault="00417595">
            <w:pPr>
              <w:pStyle w:val="P68B1DB1-Normal019"/>
              <w:pBdr>
                <w:top w:val="nil"/>
                <w:left w:val="nil"/>
                <w:bottom w:val="nil"/>
                <w:right w:val="nil"/>
                <w:between w:val="nil"/>
              </w:pBdr>
              <w:spacing w:after="0" w:line="240" w:lineRule="auto"/>
              <w:rPr>
                <w:noProof/>
              </w:rPr>
            </w:pPr>
            <w:r>
              <w:rPr>
                <w:noProof/>
              </w:rPr>
              <w:t>Entrée en vigueur des actes modifiant les actes législatifs relatifs à l’hydrogène en tant que carburant de substitution pour les transports</w:t>
            </w:r>
          </w:p>
        </w:tc>
        <w:tc>
          <w:tcPr>
            <w:tcW w:w="1628" w:type="dxa"/>
            <w:tcBorders>
              <w:top w:val="single" w:sz="4" w:space="0" w:color="auto"/>
              <w:left w:val="single" w:sz="4" w:space="0" w:color="auto"/>
              <w:bottom w:val="single" w:sz="4" w:space="0" w:color="auto"/>
              <w:right w:val="single" w:sz="4" w:space="0" w:color="auto"/>
            </w:tcBorders>
            <w:shd w:val="clear" w:color="auto" w:fill="C6EFCE"/>
          </w:tcPr>
          <w:p w14:paraId="1216B85D" w14:textId="77777777" w:rsidR="003C4798" w:rsidRDefault="00417595">
            <w:pPr>
              <w:pStyle w:val="P68B1DB1-Normal019"/>
              <w:pBdr>
                <w:top w:val="nil"/>
                <w:left w:val="nil"/>
                <w:bottom w:val="nil"/>
                <w:right w:val="nil"/>
                <w:between w:val="nil"/>
              </w:pBdr>
              <w:spacing w:after="0" w:line="240" w:lineRule="auto"/>
              <w:rPr>
                <w:noProof/>
              </w:rPr>
            </w:pPr>
            <w:r>
              <w:rPr>
                <w:noProof/>
              </w:rPr>
              <w:t>Dispositions des actes législatifs modificatifs indiquant leur entrée en vigueur</w:t>
            </w:r>
          </w:p>
        </w:tc>
        <w:tc>
          <w:tcPr>
            <w:tcW w:w="1125" w:type="dxa"/>
            <w:tcBorders>
              <w:top w:val="single" w:sz="4" w:space="0" w:color="auto"/>
              <w:left w:val="single" w:sz="4" w:space="0" w:color="auto"/>
              <w:bottom w:val="single" w:sz="4" w:space="0" w:color="auto"/>
              <w:right w:val="single" w:sz="4" w:space="0" w:color="auto"/>
            </w:tcBorders>
            <w:shd w:val="clear" w:color="auto" w:fill="C6EFCE"/>
          </w:tcPr>
          <w:p w14:paraId="1216B85E"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auto"/>
              <w:left w:val="single" w:sz="4" w:space="0" w:color="auto"/>
              <w:bottom w:val="single" w:sz="4" w:space="0" w:color="auto"/>
              <w:right w:val="single" w:sz="4" w:space="0" w:color="auto"/>
            </w:tcBorders>
            <w:shd w:val="clear" w:color="auto" w:fill="C6EFCE"/>
          </w:tcPr>
          <w:p w14:paraId="1216B85F"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auto"/>
              <w:left w:val="single" w:sz="4" w:space="0" w:color="auto"/>
              <w:bottom w:val="single" w:sz="4" w:space="0" w:color="auto"/>
              <w:right w:val="single" w:sz="4" w:space="0" w:color="auto"/>
            </w:tcBorders>
            <w:shd w:val="clear" w:color="auto" w:fill="C6EFCE"/>
          </w:tcPr>
          <w:p w14:paraId="1216B860"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17" w:type="dxa"/>
            <w:tcBorders>
              <w:top w:val="single" w:sz="4" w:space="0" w:color="auto"/>
              <w:left w:val="single" w:sz="4" w:space="0" w:color="auto"/>
              <w:bottom w:val="single" w:sz="4" w:space="0" w:color="auto"/>
              <w:right w:val="single" w:sz="4" w:space="0" w:color="auto"/>
            </w:tcBorders>
            <w:shd w:val="clear" w:color="auto" w:fill="C6EFCE"/>
          </w:tcPr>
          <w:p w14:paraId="1216B861"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216B862"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2021</w:t>
            </w:r>
          </w:p>
        </w:tc>
        <w:tc>
          <w:tcPr>
            <w:tcW w:w="2983" w:type="dxa"/>
            <w:tcBorders>
              <w:top w:val="single" w:sz="4" w:space="0" w:color="auto"/>
              <w:left w:val="single" w:sz="4" w:space="0" w:color="auto"/>
              <w:bottom w:val="single" w:sz="4" w:space="0" w:color="auto"/>
              <w:right w:val="single" w:sz="4" w:space="0" w:color="auto"/>
            </w:tcBorders>
            <w:shd w:val="clear" w:color="auto" w:fill="C6EFCE"/>
          </w:tcPr>
          <w:p w14:paraId="2E4C4EA1" w14:textId="641B6D30" w:rsidR="003C4798" w:rsidRDefault="00417595">
            <w:pPr>
              <w:pStyle w:val="P68B1DB1-Normal019"/>
              <w:pBdr>
                <w:top w:val="nil"/>
                <w:left w:val="nil"/>
                <w:bottom w:val="nil"/>
                <w:right w:val="nil"/>
                <w:between w:val="nil"/>
              </w:pBdr>
              <w:spacing w:after="0" w:line="240" w:lineRule="auto"/>
              <w:rPr>
                <w:noProof/>
              </w:rPr>
            </w:pPr>
            <w:r>
              <w:rPr>
                <w:noProof/>
              </w:rPr>
              <w:t>1. Modification de la loi sur l'électromobilité (11 janvier 2018; Dz. U. z 2018 r. poz. 317) introduit les définitions de l’infrastructure de ravitaillement en hydrogène; définir les exigences générales en matière de sécurité et les exigences techniques applicables aux stations de ravitaillement (conformément à la directive sur l’infrastructure pour carburants alternatifs) et déterminer les procédures et les autorités compétentes pertinentes pour l’inspection de cette infrastructure.</w:t>
            </w:r>
          </w:p>
          <w:p w14:paraId="1216B863" w14:textId="5FFA4569" w:rsidR="003C4798" w:rsidRDefault="00417595">
            <w:pPr>
              <w:pStyle w:val="P68B1DB1-Normal019"/>
              <w:pBdr>
                <w:top w:val="nil"/>
                <w:left w:val="nil"/>
                <w:bottom w:val="nil"/>
                <w:right w:val="nil"/>
                <w:between w:val="nil"/>
              </w:pBdr>
              <w:spacing w:after="0" w:line="240" w:lineRule="auto"/>
              <w:rPr>
                <w:noProof/>
              </w:rPr>
            </w:pPr>
            <w:r>
              <w:rPr>
                <w:noProof/>
              </w:rPr>
              <w:t>2. Modification de la loi sur le système de surveillance et de contrôle de la qualité des carburants (25 août 2006; Dz.U. Nr 169, poz. 1200) introduit la notion d’hydrogène selon le code NC 2804 10 00 de la nomenclature combinée; définit les procédures de surveillance et de contrôle de la qualité de l’hydrogène; détermine les autorités compétentes. La notion d’hydrogène est conforme aux orientations techniques «Ne pas causer de préjudice important» (2021/C 58/01). La réforme ne rend pas l’utilisation et la commercialisation de l’hydrogène renouvelable plus difficiles que d’autres sources d’hydrogène. La réforme vise principalement à développer l’hydrogène renouvelable ou l’hydrogène produit à partir d’électrolyseurs.</w:t>
            </w:r>
          </w:p>
        </w:tc>
      </w:tr>
      <w:tr w:rsidR="003C4798" w14:paraId="1216B870"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65" w14:textId="77777777" w:rsidR="003C4798" w:rsidRDefault="00417595">
            <w:pPr>
              <w:pStyle w:val="P68B1DB1-Normal023"/>
              <w:pBdr>
                <w:top w:val="nil"/>
                <w:left w:val="nil"/>
                <w:bottom w:val="nil"/>
                <w:right w:val="nil"/>
                <w:between w:val="nil"/>
              </w:pBdr>
              <w:spacing w:after="0" w:line="240" w:lineRule="auto"/>
              <w:jc w:val="center"/>
              <w:rPr>
                <w:noProof/>
                <w:color w:val="000000"/>
              </w:rPr>
            </w:pPr>
            <w:r>
              <w:rPr>
                <w:noProof/>
              </w:rPr>
              <w:t>B17G</w:t>
            </w:r>
          </w:p>
        </w:tc>
        <w:tc>
          <w:tcPr>
            <w:tcW w:w="176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6" w14:textId="77777777" w:rsidR="003C4798" w:rsidRDefault="00417595">
            <w:pPr>
              <w:pStyle w:val="P68B1DB1-Normal019"/>
              <w:pBdr>
                <w:top w:val="nil"/>
                <w:left w:val="nil"/>
                <w:bottom w:val="nil"/>
                <w:right w:val="nil"/>
                <w:between w:val="nil"/>
              </w:pBdr>
              <w:spacing w:after="0" w:line="240" w:lineRule="auto"/>
              <w:rPr>
                <w:noProof/>
              </w:rPr>
            </w:pPr>
            <w:r>
              <w:rPr>
                <w:noProof/>
              </w:rPr>
              <w:t>B2.1 Améliorer les conditions de développement des technologies de l’hydrogène et d’autres gaz décarbonés</w:t>
            </w:r>
          </w:p>
        </w:tc>
        <w:tc>
          <w:tcPr>
            <w:tcW w:w="109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7"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8" w14:textId="77777777" w:rsidR="003C4798" w:rsidRDefault="00417595">
            <w:pPr>
              <w:pStyle w:val="P68B1DB1-Normal019"/>
              <w:pBdr>
                <w:top w:val="nil"/>
                <w:left w:val="nil"/>
                <w:bottom w:val="nil"/>
                <w:right w:val="nil"/>
                <w:between w:val="nil"/>
              </w:pBdr>
              <w:spacing w:after="0" w:line="240" w:lineRule="auto"/>
              <w:rPr>
                <w:noProof/>
              </w:rPr>
            </w:pPr>
            <w:r>
              <w:rPr>
                <w:noProof/>
              </w:rPr>
              <w:t>Entrée en vigueur de la loi fixant des règles pour l’hydrogène</w:t>
            </w:r>
          </w:p>
        </w:tc>
        <w:tc>
          <w:tcPr>
            <w:tcW w:w="162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9" w14:textId="77777777" w:rsidR="003C4798" w:rsidRDefault="00417595">
            <w:pPr>
              <w:pStyle w:val="P68B1DB1-Normal019"/>
              <w:pBdr>
                <w:top w:val="nil"/>
                <w:left w:val="nil"/>
                <w:bottom w:val="nil"/>
                <w:right w:val="nil"/>
                <w:between w:val="nil"/>
              </w:pBdr>
              <w:spacing w:after="0" w:line="240" w:lineRule="auto"/>
              <w:rPr>
                <w:noProof/>
              </w:rPr>
            </w:pPr>
            <w:r>
              <w:rPr>
                <w:noProof/>
              </w:rPr>
              <w:t>Disposition de la loi indiquant son entrée en vigueur</w:t>
            </w:r>
          </w:p>
        </w:tc>
        <w:tc>
          <w:tcPr>
            <w:tcW w:w="112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A"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B"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C"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17"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D"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T4</w:t>
            </w:r>
          </w:p>
        </w:tc>
        <w:tc>
          <w:tcPr>
            <w:tcW w:w="85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E"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2023</w:t>
            </w:r>
          </w:p>
        </w:tc>
        <w:tc>
          <w:tcPr>
            <w:tcW w:w="298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F" w14:textId="77777777" w:rsidR="003C4798" w:rsidRDefault="00417595">
            <w:pPr>
              <w:pStyle w:val="P68B1DB1-Normal019"/>
              <w:pBdr>
                <w:top w:val="nil"/>
                <w:left w:val="nil"/>
                <w:bottom w:val="nil"/>
                <w:right w:val="nil"/>
                <w:between w:val="nil"/>
              </w:pBdr>
              <w:spacing w:after="0" w:line="240" w:lineRule="auto"/>
              <w:rPr>
                <w:noProof/>
              </w:rPr>
            </w:pPr>
            <w:r>
              <w:rPr>
                <w:noProof/>
              </w:rPr>
              <w:t>Entrée en vigueur de la loi définissant des règles pour les infrastructures et la conception des marchés de l’hydrogène visant à soutenir l’adoption par le marché de l’hydrogène renouvelable et bas carbone, l’intégration de la production d’hydrogène sur d’autres marchés de l’énergie ainsi que les infrastructures existantes et spécifiques visant à créer une prévisibilité réglementaire pour les investisseurs et à soutenir l’adoption de l’hydrogène renouvelable et bas carbone. La loi est conforme aux orientations techniques «Ne pas causer de préjudice important» (2021/C 58/01). La réforme ne rend pas l’utilisation et la commercialisation de l’hydrogène renouvelable plus difficiles que d’autres sources d’hydrogène. La réforme est conforme à la stratégie de l’UE pour l’hydrogène.</w:t>
            </w:r>
          </w:p>
        </w:tc>
      </w:tr>
      <w:tr w:rsidR="003C4798" w14:paraId="1216B87C" w14:textId="77777777" w:rsidTr="00EC21D5">
        <w:trPr>
          <w:trHeight w:val="300"/>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1"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noProof/>
                <w:color w:val="000000"/>
                <w:szCs w:val="18"/>
              </w:rPr>
            </w:pPr>
            <w:r>
              <w:rPr>
                <w:noProof/>
              </w:rPr>
              <w:t>B20G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2"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Investissements dans l’hydrogène, la fabrication, le stockage et le transport de l’hydrogène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3"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4" w14:textId="7777777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Projet(s) de recherche et d'innovation</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5"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7"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8"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w:t>
            </w: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9"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B" w14:textId="77777777" w:rsidR="003C4798" w:rsidRDefault="00417595">
            <w:pPr>
              <w:pStyle w:val="P68B1DB1-Normal020"/>
              <w:pBdr>
                <w:top w:val="nil"/>
                <w:left w:val="nil"/>
                <w:bottom w:val="nil"/>
                <w:right w:val="nil"/>
                <w:between w:val="nil"/>
              </w:pBdr>
              <w:spacing w:after="0" w:line="240" w:lineRule="auto"/>
              <w:rPr>
                <w:noProof/>
              </w:rPr>
            </w:pPr>
            <w:r>
              <w:rPr>
                <w:noProof/>
              </w:rPr>
              <w:t>L’investissement consiste en la conception et la construction d’un prototype de véhicule ferroviaire de tourisme fonctionnant à l’hydrogène et/ou en l’expansion de la capacité de production des véhicules fonctionnant à l’hydrogène.</w:t>
            </w:r>
          </w:p>
        </w:tc>
      </w:tr>
      <w:tr w:rsidR="003C4798" w14:paraId="1216B888"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D" w14:textId="77777777" w:rsidR="003C4798" w:rsidRDefault="00417595">
            <w:pPr>
              <w:pStyle w:val="P68B1DB1-Normal023"/>
              <w:pBdr>
                <w:top w:val="nil"/>
                <w:left w:val="nil"/>
                <w:bottom w:val="nil"/>
                <w:right w:val="nil"/>
                <w:between w:val="nil"/>
              </w:pBdr>
              <w:spacing w:after="0" w:line="240" w:lineRule="auto"/>
              <w:jc w:val="center"/>
              <w:rPr>
                <w:rFonts w:cs="Times New Roman"/>
                <w:noProof/>
                <w:szCs w:val="18"/>
              </w:rPr>
            </w:pPr>
            <w:r>
              <w:rPr>
                <w:noProof/>
              </w:rPr>
              <w:t>B21aG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E"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Investissements dans l’hydrogène, la fabrication, le stockage et le transport de l’hydrogène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F"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80" w14:textId="49753C2D"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Accord de mise en œuvre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1"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Entrée en vigueur de l'accord de mise en œuvre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2"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3"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4"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17" w:type="dxa"/>
            <w:tcBorders>
              <w:top w:val="single" w:sz="6" w:space="0" w:color="auto"/>
              <w:left w:val="single" w:sz="6" w:space="0" w:color="auto"/>
              <w:bottom w:val="single" w:sz="6" w:space="0" w:color="auto"/>
              <w:right w:val="single" w:sz="6" w:space="0" w:color="auto"/>
            </w:tcBorders>
            <w:shd w:val="clear" w:color="auto" w:fill="C6EFCE"/>
          </w:tcPr>
          <w:p w14:paraId="1216B885" w14:textId="77777777"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T2</w:t>
            </w:r>
          </w:p>
        </w:tc>
        <w:tc>
          <w:tcPr>
            <w:tcW w:w="850" w:type="dxa"/>
            <w:tcBorders>
              <w:top w:val="single" w:sz="6" w:space="0" w:color="auto"/>
              <w:left w:val="single" w:sz="6" w:space="0" w:color="auto"/>
              <w:bottom w:val="single" w:sz="6" w:space="0" w:color="auto"/>
              <w:right w:val="single" w:sz="6" w:space="0" w:color="auto"/>
            </w:tcBorders>
            <w:shd w:val="clear" w:color="auto" w:fill="C6EFCE"/>
          </w:tcPr>
          <w:p w14:paraId="1216B886" w14:textId="77777777"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2024</w:t>
            </w:r>
          </w:p>
        </w:tc>
        <w:tc>
          <w:tcPr>
            <w:tcW w:w="2983" w:type="dxa"/>
            <w:tcBorders>
              <w:top w:val="single" w:sz="6" w:space="0" w:color="auto"/>
              <w:left w:val="single" w:sz="6" w:space="0" w:color="auto"/>
              <w:bottom w:val="single" w:sz="6" w:space="0" w:color="auto"/>
              <w:right w:val="single" w:sz="6" w:space="0" w:color="auto"/>
            </w:tcBorders>
            <w:shd w:val="clear" w:color="auto" w:fill="C6EFCE"/>
          </w:tcPr>
          <w:p w14:paraId="1216B887" w14:textId="319263E3"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Entrée en vigueur de l'accord de mise en œuvre.</w:t>
            </w:r>
          </w:p>
        </w:tc>
      </w:tr>
      <w:tr w:rsidR="003C4798" w14:paraId="1216B894" w14:textId="77777777" w:rsidTr="00EC21D5">
        <w:trPr>
          <w:trHeight w:val="1365"/>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9" w14:textId="77777777" w:rsidR="003C4798" w:rsidRDefault="00417595">
            <w:pPr>
              <w:pStyle w:val="P68B1DB1-Normal018"/>
              <w:pBdr>
                <w:top w:val="nil"/>
                <w:left w:val="nil"/>
                <w:bottom w:val="nil"/>
                <w:right w:val="nil"/>
                <w:between w:val="nil"/>
              </w:pBdr>
              <w:spacing w:after="0" w:line="240" w:lineRule="auto"/>
              <w:jc w:val="center"/>
              <w:rPr>
                <w:rFonts w:cs="Times New Roman"/>
                <w:noProof/>
              </w:rPr>
            </w:pPr>
            <w:r>
              <w:rPr>
                <w:noProof/>
              </w:rPr>
              <w:t>B21dG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A"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Investissements dans l’hydrogène, la fabrication, le stockage et le transport de l’hydrogène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B"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8C" w14:textId="1F45B1A0"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Accords juridiques signés avec les bénéficiaires finaux</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D"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E"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Pourcentages</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F"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0"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100%</w:t>
            </w:r>
          </w:p>
        </w:tc>
        <w:tc>
          <w:tcPr>
            <w:tcW w:w="1017" w:type="dxa"/>
            <w:tcBorders>
              <w:top w:val="single" w:sz="6" w:space="0" w:color="auto"/>
              <w:left w:val="single" w:sz="6" w:space="0" w:color="auto"/>
              <w:bottom w:val="single" w:sz="6" w:space="0" w:color="auto"/>
              <w:right w:val="single" w:sz="6" w:space="0" w:color="auto"/>
            </w:tcBorders>
            <w:shd w:val="clear" w:color="auto" w:fill="C6EFCE"/>
          </w:tcPr>
          <w:p w14:paraId="1216B891" w14:textId="77777777"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T3</w:t>
            </w:r>
          </w:p>
        </w:tc>
        <w:tc>
          <w:tcPr>
            <w:tcW w:w="850" w:type="dxa"/>
            <w:tcBorders>
              <w:top w:val="single" w:sz="6" w:space="0" w:color="auto"/>
              <w:left w:val="single" w:sz="6" w:space="0" w:color="auto"/>
              <w:bottom w:val="single" w:sz="6" w:space="0" w:color="auto"/>
              <w:right w:val="single" w:sz="6" w:space="0" w:color="auto"/>
            </w:tcBorders>
            <w:shd w:val="clear" w:color="auto" w:fill="C6EFCE"/>
          </w:tcPr>
          <w:p w14:paraId="1216B892" w14:textId="77777777"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rPr>
              <w:t>2025</w:t>
            </w:r>
          </w:p>
        </w:tc>
        <w:tc>
          <w:tcPr>
            <w:tcW w:w="2983" w:type="dxa"/>
            <w:tcBorders>
              <w:top w:val="single" w:sz="6" w:space="0" w:color="auto"/>
              <w:left w:val="single" w:sz="6" w:space="0" w:color="auto"/>
              <w:bottom w:val="single" w:sz="6" w:space="0" w:color="auto"/>
              <w:right w:val="single" w:sz="6" w:space="0" w:color="auto"/>
            </w:tcBorders>
            <w:shd w:val="clear" w:color="auto" w:fill="C6EFCE"/>
          </w:tcPr>
          <w:p w14:paraId="1216B893" w14:textId="580ED7A0"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BGK doit avoir conclu des accords juridiques de subvention avec les bénéficiaires finaux pour un montant nécessaire à l’utilisation de 100 % de l’investissement de la FRR dans le régime (en tenant compte des frais de gestion).</w:t>
            </w:r>
          </w:p>
        </w:tc>
      </w:tr>
      <w:tr w:rsidR="003C4798" w14:paraId="1216B8A0"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5" w14:textId="77777777" w:rsidR="003C4798" w:rsidRDefault="00417595">
            <w:pPr>
              <w:pStyle w:val="P68B1DB1-Normal018"/>
              <w:pBdr>
                <w:top w:val="nil"/>
                <w:left w:val="nil"/>
                <w:bottom w:val="nil"/>
                <w:right w:val="nil"/>
                <w:between w:val="nil"/>
              </w:pBdr>
              <w:spacing w:after="0" w:line="240" w:lineRule="auto"/>
              <w:jc w:val="center"/>
              <w:rPr>
                <w:rFonts w:cs="Times New Roman"/>
                <w:noProof/>
              </w:rPr>
            </w:pPr>
            <w:r>
              <w:rPr>
                <w:noProof/>
              </w:rPr>
              <w:t>B21eG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6"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B2.1.1 Investissements dans l’hydrogène, la fabrication, le stockage et le transport de l’hydrogène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7"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98" w14:textId="4FBC10DB" w:rsidR="003C4798" w:rsidRDefault="0041759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Pr>
                <w:rStyle w:val="normaltextrun"/>
                <w:rFonts w:ascii="Times New Roman" w:hAnsi="Times New Roman"/>
                <w:noProof/>
                <w:sz w:val="18"/>
              </w:rPr>
              <w:t>Le ministère a terminé l'investissement</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9"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color w:val="000000" w:themeColor="text1"/>
                <w:szCs w:val="18"/>
              </w:rPr>
            </w:pPr>
            <w:r>
              <w:rPr>
                <w:noProof/>
              </w:rPr>
              <w:t>Certificat de transfert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A"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B"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C"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17" w:type="dxa"/>
            <w:tcBorders>
              <w:top w:val="single" w:sz="6" w:space="0" w:color="auto"/>
              <w:left w:val="single" w:sz="6" w:space="0" w:color="auto"/>
              <w:bottom w:val="single" w:sz="6" w:space="0" w:color="auto"/>
              <w:right w:val="single" w:sz="6" w:space="0" w:color="auto"/>
            </w:tcBorders>
            <w:shd w:val="clear" w:color="auto" w:fill="C6EFCE"/>
          </w:tcPr>
          <w:p w14:paraId="1216B89D" w14:textId="77777777" w:rsidR="003C4798" w:rsidRDefault="00417595">
            <w:pPr>
              <w:pStyle w:val="Normal0"/>
              <w:pBdr>
                <w:top w:val="nil"/>
                <w:left w:val="nil"/>
                <w:bottom w:val="nil"/>
                <w:right w:val="nil"/>
                <w:between w:val="nil"/>
              </w:pBdr>
              <w:spacing w:after="0" w:line="240" w:lineRule="auto"/>
              <w:jc w:val="center"/>
              <w:rPr>
                <w:rStyle w:val="eop"/>
                <w:rFonts w:ascii="Times New Roman" w:eastAsia="Times New Roman" w:hAnsi="Times New Roman" w:cs="Times New Roman"/>
                <w:noProof/>
                <w:sz w:val="18"/>
                <w:szCs w:val="18"/>
              </w:rPr>
            </w:pPr>
            <w:r>
              <w:rPr>
                <w:rStyle w:val="normaltextrun"/>
                <w:rFonts w:ascii="Times New Roman" w:hAnsi="Times New Roman"/>
                <w:noProof/>
                <w:sz w:val="18"/>
                <w:szCs w:val="18"/>
              </w:rPr>
              <w:t>T4</w:t>
            </w:r>
          </w:p>
        </w:tc>
        <w:tc>
          <w:tcPr>
            <w:tcW w:w="850" w:type="dxa"/>
            <w:tcBorders>
              <w:top w:val="single" w:sz="6" w:space="0" w:color="auto"/>
              <w:left w:val="single" w:sz="6" w:space="0" w:color="auto"/>
              <w:bottom w:val="single" w:sz="6" w:space="0" w:color="auto"/>
              <w:right w:val="single" w:sz="6" w:space="0" w:color="auto"/>
            </w:tcBorders>
            <w:shd w:val="clear" w:color="auto" w:fill="C6EFCE"/>
          </w:tcPr>
          <w:p w14:paraId="1216B89E" w14:textId="77777777" w:rsidR="003C4798" w:rsidRDefault="00417595">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Pr>
                <w:rStyle w:val="normaltextrun"/>
                <w:rFonts w:ascii="Times New Roman" w:hAnsi="Times New Roman"/>
                <w:noProof/>
                <w:sz w:val="18"/>
                <w:szCs w:val="18"/>
              </w:rPr>
              <w:t>2025</w:t>
            </w:r>
          </w:p>
        </w:tc>
        <w:tc>
          <w:tcPr>
            <w:tcW w:w="2983" w:type="dxa"/>
            <w:tcBorders>
              <w:top w:val="single" w:sz="6" w:space="0" w:color="auto"/>
              <w:left w:val="single" w:sz="6" w:space="0" w:color="auto"/>
              <w:bottom w:val="single" w:sz="6" w:space="0" w:color="auto"/>
              <w:right w:val="single" w:sz="6" w:space="0" w:color="auto"/>
            </w:tcBorders>
            <w:shd w:val="clear" w:color="auto" w:fill="C6EFCE"/>
          </w:tcPr>
          <w:p w14:paraId="1216B89F" w14:textId="699F77EB" w:rsidR="003C4798" w:rsidRDefault="00417595">
            <w:pPr>
              <w:pStyle w:val="Normal0"/>
              <w:pBdr>
                <w:top w:val="nil"/>
                <w:left w:val="nil"/>
                <w:bottom w:val="nil"/>
                <w:right w:val="nil"/>
                <w:between w:val="nil"/>
              </w:pBdr>
              <w:spacing w:after="0" w:line="240" w:lineRule="auto"/>
              <w:rPr>
                <w:rStyle w:val="eop"/>
                <w:rFonts w:ascii="Times New Roman" w:eastAsia="Times New Roman" w:hAnsi="Times New Roman" w:cs="Times New Roman"/>
                <w:noProof/>
                <w:sz w:val="18"/>
                <w:szCs w:val="18"/>
              </w:rPr>
            </w:pPr>
            <w:r>
              <w:rPr>
                <w:rStyle w:val="normaltextrun"/>
                <w:rFonts w:ascii="Times New Roman" w:hAnsi="Times New Roman"/>
                <w:noProof/>
                <w:sz w:val="18"/>
                <w:szCs w:val="18"/>
              </w:rPr>
              <w:t>La Pologne transfère 514 105 514 EUR à BGK pour le régime.</w:t>
            </w:r>
          </w:p>
        </w:tc>
      </w:tr>
      <w:tr w:rsidR="003C4798" w14:paraId="1216B8AE"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1"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B37G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2" w14:textId="4A384D27"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B2.2.3 Construction d'infrastructures de terminaux offshore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3"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4"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Construction d'un nouveau terminal pour les installations éoliennes offshore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5" w14:textId="29D0E59A"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Travaux de construction et utilisation préliminaire du terminal ou contrat de location</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6"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8"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9"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A"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B" w14:textId="199FE873" w:rsidR="003C4798" w:rsidRDefault="00417595">
            <w:pPr>
              <w:spacing w:after="0" w:line="240" w:lineRule="auto"/>
              <w:rPr>
                <w:rFonts w:ascii="Times New Roman" w:hAnsi="Times New Roman"/>
                <w:noProof/>
                <w:color w:val="000000" w:themeColor="text1"/>
                <w:sz w:val="18"/>
                <w:szCs w:val="18"/>
              </w:rPr>
            </w:pPr>
            <w:r>
              <w:rPr>
                <w:rFonts w:ascii="Times New Roman" w:hAnsi="Times New Roman"/>
                <w:noProof/>
                <w:color w:val="000000" w:themeColor="text1"/>
                <w:sz w:val="18"/>
                <w:szCs w:val="18"/>
              </w:rPr>
              <w:t>Une copie de l’inscription du chef de chantier dans le journal de chantier confirmant l’exécution des travaux de construction du nouveau terminal conformément aux autorisations accordées.</w:t>
            </w:r>
          </w:p>
          <w:p w14:paraId="1216B8AC" w14:textId="77777777" w:rsidR="003C4798" w:rsidRDefault="003C4798">
            <w:pPr>
              <w:spacing w:after="0" w:line="240" w:lineRule="auto"/>
              <w:rPr>
                <w:rFonts w:ascii="Times New Roman" w:hAnsi="Times New Roman"/>
                <w:noProof/>
                <w:color w:val="000000" w:themeColor="text1"/>
                <w:sz w:val="18"/>
                <w:szCs w:val="18"/>
              </w:rPr>
            </w:pPr>
          </w:p>
          <w:p w14:paraId="1216B8AD" w14:textId="5867F63F" w:rsidR="003C4798" w:rsidRDefault="00417595">
            <w:pPr>
              <w:pStyle w:val="P68B1DB1-Normal26"/>
              <w:spacing w:after="0" w:line="240" w:lineRule="auto"/>
              <w:rPr>
                <w:rFonts w:eastAsia="Times New Roman" w:cs="Times New Roman"/>
                <w:noProof/>
                <w:color w:val="FF0000"/>
              </w:rPr>
            </w:pPr>
            <w:r>
              <w:rPr>
                <w:noProof/>
              </w:rPr>
              <w:t>Un ou plusieurs contrats d’utilisation préliminaire ou de location juridiquement contraignants sont signés, garantissant l’utilisation principale du terminal pour l’installation d’installations éoliennes en mer.</w:t>
            </w:r>
          </w:p>
        </w:tc>
      </w:tr>
      <w:tr w:rsidR="003C4798" w14:paraId="1216B8BB"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F"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B38G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0"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B2.2.3 Construction d'infrastructures de terminaux offshore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1"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2" w14:textId="77777777" w:rsidR="003C4798" w:rsidRDefault="00417595">
            <w:pPr>
              <w:pStyle w:val="P68B1DB1-Normal020"/>
              <w:spacing w:after="0" w:line="240" w:lineRule="auto"/>
              <w:rPr>
                <w:rFonts w:eastAsia="Times New Roman" w:cs="Times New Roman"/>
                <w:noProof/>
                <w:color w:val="000000"/>
              </w:rPr>
            </w:pPr>
            <w:r>
              <w:rPr>
                <w:noProof/>
              </w:rPr>
              <w:t>Travaux de construction pour la modernisation / extension des installations dans les ports de Łeba, Ustka et Darłowo</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3" w14:textId="77777777" w:rsidR="003C4798" w:rsidRDefault="00417595">
            <w:pPr>
              <w:pStyle w:val="P68B1DB1-Normal019"/>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4"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5"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6" w14:textId="77777777" w:rsidR="003C4798" w:rsidRDefault="00417595">
            <w:pPr>
              <w:pStyle w:val="P68B1DB1-Normal020"/>
              <w:spacing w:after="0" w:line="240" w:lineRule="auto"/>
              <w:jc w:val="center"/>
              <w:rPr>
                <w:rFonts w:eastAsia="Times New Roman" w:cs="Times New Roman"/>
                <w:noProof/>
                <w:color w:val="000000"/>
              </w:rPr>
            </w:pPr>
            <w:r>
              <w:rPr>
                <w:noProof/>
              </w:rPr>
              <w:t>3</w:t>
            </w: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7" w14:textId="12ED2461" w:rsidR="003C4798" w:rsidRDefault="00417595">
            <w:pPr>
              <w:pStyle w:val="P68B1DB1-Normal020"/>
              <w:pBdr>
                <w:top w:val="nil"/>
                <w:left w:val="nil"/>
                <w:bottom w:val="nil"/>
                <w:right w:val="nil"/>
                <w:between w:val="nil"/>
              </w:pBdr>
              <w:spacing w:after="0" w:line="240" w:lineRule="auto"/>
              <w:jc w:val="center"/>
              <w:rPr>
                <w:rFonts w:eastAsia="Times New Roman" w:cs="Times New Roman"/>
                <w:noProof/>
                <w:color w:val="000000"/>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8"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2026</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9" w14:textId="13059BC8" w:rsidR="003C4798" w:rsidRDefault="00417595">
            <w:pPr>
              <w:spacing w:after="160" w:line="240" w:lineRule="auto"/>
              <w:jc w:val="both"/>
              <w:rPr>
                <w:noProof/>
              </w:rPr>
            </w:pPr>
            <w:r>
              <w:rPr>
                <w:rFonts w:ascii="Times New Roman" w:hAnsi="Times New Roman"/>
                <w:noProof/>
                <w:color w:val="000000" w:themeColor="text1"/>
                <w:sz w:val="18"/>
                <w:szCs w:val="18"/>
              </w:rPr>
              <w:t>Une copie de l’inscription du gestionnaire du site dans le journal de chantier confirmant l’exécution des travaux de construction conformément aux autorisations accordées</w:t>
            </w:r>
            <w:r>
              <w:rPr>
                <w:noProof/>
              </w:rPr>
              <w:t xml:space="preserve"> </w:t>
            </w:r>
            <w:r>
              <w:rPr>
                <w:rFonts w:ascii="Times New Roman" w:hAnsi="Times New Roman"/>
                <w:noProof/>
                <w:color w:val="000000" w:themeColor="text1"/>
                <w:sz w:val="18"/>
                <w:szCs w:val="18"/>
              </w:rPr>
              <w:t>est fournie pour les travaux de modernisation ou d’extension des installations dans les ports de Łeba, d’Ustka et de Darłowo. Pour les travaux sur le quai maltais et le quai du port de Łeba, une copie du protocole de réception finale signé par le ou les contractants et la ou les entités adjudicatrices doit être fournie.</w:t>
            </w:r>
          </w:p>
          <w:p w14:paraId="1216B8BA" w14:textId="4FC5BF73" w:rsidR="003C4798" w:rsidRDefault="00417595">
            <w:pPr>
              <w:pStyle w:val="P68B1DB1-Normal26"/>
              <w:spacing w:after="160" w:line="240" w:lineRule="auto"/>
              <w:jc w:val="both"/>
              <w:rPr>
                <w:noProof/>
              </w:rPr>
            </w:pPr>
            <w:r>
              <w:rPr>
                <w:noProof/>
              </w:rPr>
              <w:t>Des accords juridiquement contraignants sont conclus pour l'utilisation des installations portuaires (y compris au moins l'un des accords suivants: terres, terminaux ou postes d’amarrage) avec des promoteurs ou des exploitants de parcs éoliens en mer, aux fins de l’entretien et de l’entretien d’installations éoliennes en mer.</w:t>
            </w:r>
          </w:p>
        </w:tc>
      </w:tr>
      <w:tr w:rsidR="003C4798" w14:paraId="1216B8C7"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C" w14:textId="77777777" w:rsidR="003C4798" w:rsidRDefault="00417595">
            <w:pPr>
              <w:pStyle w:val="P68B1DB1-Normal023"/>
              <w:pBdr>
                <w:top w:val="nil"/>
                <w:left w:val="nil"/>
                <w:bottom w:val="nil"/>
                <w:right w:val="nil"/>
                <w:between w:val="nil"/>
              </w:pBdr>
              <w:spacing w:after="0" w:line="240" w:lineRule="auto"/>
              <w:jc w:val="center"/>
              <w:rPr>
                <w:noProof/>
                <w:color w:val="000000"/>
              </w:rPr>
            </w:pPr>
            <w:r>
              <w:rPr>
                <w:noProof/>
              </w:rPr>
              <w:t>B39G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D" w14:textId="77777777" w:rsidR="003C4798" w:rsidRDefault="00417595">
            <w:pPr>
              <w:pStyle w:val="P68B1DB1-Normal019"/>
              <w:pBdr>
                <w:top w:val="nil"/>
                <w:left w:val="nil"/>
                <w:bottom w:val="nil"/>
                <w:right w:val="nil"/>
                <w:between w:val="nil"/>
              </w:pBdr>
              <w:spacing w:after="0" w:line="240" w:lineRule="auto"/>
              <w:rPr>
                <w:noProof/>
              </w:rPr>
            </w:pPr>
            <w:r>
              <w:rPr>
                <w:noProof/>
              </w:rPr>
              <w:t xml:space="preserve">B3.1 Soutenir la gestion durable de l'eau et des eaux usées dans les zones rurales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E"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F" w14:textId="7CDF7134" w:rsidR="003C4798" w:rsidRDefault="00417595">
            <w:pPr>
              <w:pStyle w:val="P68B1DB1-Normal019"/>
              <w:pBdr>
                <w:top w:val="nil"/>
                <w:left w:val="nil"/>
                <w:bottom w:val="nil"/>
                <w:right w:val="nil"/>
                <w:between w:val="nil"/>
              </w:pBdr>
              <w:spacing w:after="0" w:line="240" w:lineRule="auto"/>
              <w:rPr>
                <w:noProof/>
              </w:rPr>
            </w:pPr>
            <w:r>
              <w:rPr>
                <w:noProof/>
              </w:rPr>
              <w:t>Élaboration de règles pour la territorialisation du soutien aux investissements dans l’approvisionnement en eau ou les eaux usées dans les zones rurales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0" w14:textId="77777777" w:rsidR="003C4798" w:rsidRDefault="00417595">
            <w:pPr>
              <w:pStyle w:val="P68B1DB1-Normal019"/>
              <w:pBdr>
                <w:top w:val="nil"/>
                <w:left w:val="nil"/>
                <w:bottom w:val="nil"/>
                <w:right w:val="nil"/>
                <w:between w:val="nil"/>
              </w:pBdr>
              <w:spacing w:after="0" w:line="240" w:lineRule="auto"/>
              <w:rPr>
                <w:noProof/>
              </w:rPr>
            </w:pPr>
            <w:r>
              <w:rPr>
                <w:noProof/>
              </w:rPr>
              <w:t>Adoption de lignes directrices par le ministre de l'agriculture et du développement rural</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1"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2"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3"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4"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5"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2021</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6" w14:textId="77777777" w:rsidR="003C4798" w:rsidRDefault="00417595">
            <w:pPr>
              <w:pStyle w:val="Normal0"/>
              <w:pBdr>
                <w:top w:val="nil"/>
                <w:left w:val="nil"/>
                <w:bottom w:val="nil"/>
                <w:right w:val="nil"/>
                <w:between w:val="nil"/>
              </w:pBdr>
              <w:spacing w:after="0" w:line="240" w:lineRule="auto"/>
              <w:rPr>
                <w:rFonts w:ascii="Times New Roman" w:hAnsi="Times New Roman"/>
                <w:noProof/>
                <w:color w:val="000000"/>
                <w:sz w:val="18"/>
              </w:rPr>
            </w:pPr>
            <w:r>
              <w:rPr>
                <w:rFonts w:ascii="Times New Roman" w:hAnsi="Times New Roman"/>
                <w:noProof/>
                <w:color w:val="000000" w:themeColor="text1"/>
                <w:sz w:val="18"/>
              </w:rPr>
              <w:t>Adoption de critères territoriaux pour la sélection des bénéficiaires.</w:t>
            </w:r>
            <w:r>
              <w:rPr>
                <w:noProof/>
              </w:rPr>
              <w:t xml:space="preserve"> </w:t>
            </w:r>
            <w:r>
              <w:rPr>
                <w:noProof/>
              </w:rPr>
              <w:br/>
            </w:r>
            <w:r>
              <w:rPr>
                <w:rFonts w:ascii="Times New Roman" w:hAnsi="Times New Roman"/>
                <w:noProof/>
                <w:color w:val="000000" w:themeColor="text1"/>
                <w:sz w:val="18"/>
              </w:rPr>
              <w:t>Les critères de sélection donnent la priorité aux municipalités les moins à même de financer des investissements sur leurs propres ressources. Les gouvernements autonomes des voïvodies sont associés au processus de définition des critères de sélection des bénéficiaires.</w:t>
            </w:r>
          </w:p>
        </w:tc>
      </w:tr>
      <w:tr w:rsidR="003C4798" w14:paraId="1216B8D3"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8" w14:textId="77777777" w:rsidR="003C4798" w:rsidRDefault="00417595">
            <w:pPr>
              <w:pStyle w:val="P68B1DB1-Normal023"/>
              <w:pBdr>
                <w:top w:val="nil"/>
                <w:left w:val="nil"/>
                <w:bottom w:val="nil"/>
                <w:right w:val="nil"/>
                <w:between w:val="nil"/>
              </w:pBdr>
              <w:spacing w:after="0" w:line="240" w:lineRule="auto"/>
              <w:jc w:val="center"/>
              <w:rPr>
                <w:noProof/>
                <w:color w:val="000000"/>
              </w:rPr>
            </w:pPr>
            <w:r>
              <w:rPr>
                <w:noProof/>
              </w:rPr>
              <w:t>B40G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9" w14:textId="77777777" w:rsidR="003C4798" w:rsidRDefault="00417595">
            <w:pPr>
              <w:pStyle w:val="P68B1DB1-Normal019"/>
              <w:pBdr>
                <w:top w:val="nil"/>
                <w:left w:val="nil"/>
                <w:bottom w:val="nil"/>
                <w:right w:val="nil"/>
                <w:between w:val="nil"/>
              </w:pBdr>
              <w:spacing w:after="0" w:line="240" w:lineRule="auto"/>
              <w:rPr>
                <w:noProof/>
              </w:rPr>
            </w:pPr>
            <w:r>
              <w:rPr>
                <w:noProof/>
              </w:rPr>
              <w:t xml:space="preserve">B3.1 Soutenir la gestion durable de l'eau et des eaux usées dans les zones rurales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A"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B" w14:textId="77777777" w:rsidR="003C4798" w:rsidRDefault="00417595">
            <w:pPr>
              <w:pStyle w:val="P68B1DB1-Normal019"/>
              <w:pBdr>
                <w:top w:val="nil"/>
                <w:left w:val="nil"/>
                <w:bottom w:val="nil"/>
                <w:right w:val="nil"/>
                <w:between w:val="nil"/>
              </w:pBdr>
              <w:spacing w:after="0" w:line="240" w:lineRule="auto"/>
              <w:rPr>
                <w:noProof/>
              </w:rPr>
            </w:pPr>
            <w:r>
              <w:rPr>
                <w:noProof/>
              </w:rPr>
              <w:t>Entrée en vigueur de l’acte juridique établissant l’obligation d’effectuer un suivi et un contrôle réguliers des systèmes individuels appropriés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C" w14:textId="77777777" w:rsidR="003C4798" w:rsidRDefault="00417595">
            <w:pPr>
              <w:pStyle w:val="P68B1DB1-Normal019"/>
              <w:pBdr>
                <w:top w:val="nil"/>
                <w:left w:val="nil"/>
                <w:bottom w:val="nil"/>
                <w:right w:val="nil"/>
                <w:between w:val="nil"/>
              </w:pBdr>
              <w:spacing w:after="0" w:line="240" w:lineRule="auto"/>
              <w:rPr>
                <w:noProof/>
              </w:rPr>
            </w:pPr>
            <w:r>
              <w:rPr>
                <w:noProof/>
              </w:rPr>
              <w:t>Disposition de l’acte juridique indiquant son entrée en vigueur</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D"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E"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F"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noProof/>
                <w:color w:val="000000"/>
                <w:sz w:val="18"/>
              </w:rPr>
            </w:pP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0"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1"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2022</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2" w14:textId="77777777" w:rsidR="003C4798" w:rsidRDefault="00417595">
            <w:pPr>
              <w:pStyle w:val="P68B1DB1-Normal019"/>
              <w:pBdr>
                <w:top w:val="nil"/>
                <w:left w:val="nil"/>
                <w:bottom w:val="nil"/>
                <w:right w:val="nil"/>
                <w:between w:val="nil"/>
              </w:pBdr>
              <w:spacing w:after="0" w:line="240" w:lineRule="auto"/>
              <w:rPr>
                <w:noProof/>
              </w:rPr>
            </w:pPr>
            <w:r>
              <w:rPr>
                <w:noProof/>
              </w:rPr>
              <w:t>Entrée en vigueur d'un acte juridique qui instaure l'obligation pour les communes de surveiller et de contrôler l'élimination des eaux usées et d'utiliser des instruments pour prévenir une élimination inappropriée, y compris le mécanisme de performance dite de substitution, c'est-à-dire organiser la vidange des fosses septiques par la commune pour les propriétaires qui n'ont pas conclu de contrats de vidange des fosses septiques.</w:t>
            </w:r>
          </w:p>
        </w:tc>
      </w:tr>
      <w:tr w:rsidR="003C4798" w14:paraId="1216B8DF" w14:textId="77777777" w:rsidTr="00EC21D5">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4"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color w:val="000000"/>
              </w:rPr>
            </w:pPr>
            <w:r>
              <w:rPr>
                <w:noProof/>
              </w:rPr>
              <w:t>B41G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5" w14:textId="5E62A9AF" w:rsidR="003C4798" w:rsidRDefault="00417595">
            <w:pPr>
              <w:pStyle w:val="P68B1DB1-Normal020"/>
              <w:pBdr>
                <w:top w:val="nil"/>
                <w:left w:val="nil"/>
                <w:bottom w:val="nil"/>
                <w:right w:val="nil"/>
                <w:between w:val="nil"/>
              </w:pBdr>
              <w:spacing w:after="0" w:line="240" w:lineRule="auto"/>
              <w:rPr>
                <w:rFonts w:eastAsia="Times New Roman" w:cs="Times New Roman"/>
                <w:noProof/>
                <w:color w:val="000000"/>
              </w:rPr>
            </w:pPr>
            <w:r>
              <w:rPr>
                <w:noProof/>
              </w:rPr>
              <w:t>B3.1.1 Investissements dans les infrastructures de traitement des eaux usées ou d'approvisionnement en eau dans les zones rurales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6" w14:textId="77777777" w:rsidR="003C4798" w:rsidRDefault="00417595">
            <w:pPr>
              <w:pStyle w:val="P68B1DB1-Normal019"/>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7" w14:textId="05046A0C" w:rsidR="003C4798" w:rsidRDefault="00417595">
            <w:pPr>
              <w:pStyle w:val="P68B1DB1-Normal018"/>
              <w:pBdr>
                <w:top w:val="nil"/>
                <w:left w:val="nil"/>
                <w:bottom w:val="nil"/>
                <w:right w:val="nil"/>
                <w:between w:val="nil"/>
              </w:pBdr>
              <w:spacing w:after="0" w:line="240" w:lineRule="auto"/>
              <w:rPr>
                <w:rFonts w:eastAsia="Times New Roman" w:cs="Times New Roman"/>
                <w:noProof/>
              </w:rPr>
            </w:pPr>
            <w:r>
              <w:rPr>
                <w:noProof/>
              </w:rPr>
              <w:t>Soutien aux eaux usées ou à l'approvisionnement en eau</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8" w14:textId="77777777" w:rsidR="003C4798" w:rsidRDefault="00417595">
            <w:pPr>
              <w:pStyle w:val="P68B1DB1-Normal023"/>
              <w:pBdr>
                <w:top w:val="nil"/>
                <w:left w:val="nil"/>
                <w:bottom w:val="nil"/>
                <w:right w:val="nil"/>
                <w:between w:val="nil"/>
              </w:pBdr>
              <w:spacing w:after="0" w:line="240" w:lineRule="auto"/>
              <w:rPr>
                <w:rFonts w:eastAsia="Times New Roman" w:cs="Times New Roman"/>
                <w:noProof/>
                <w:szCs w:val="18"/>
              </w:rPr>
            </w:pPr>
            <w:r>
              <w:rPr>
                <w:noProof/>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9"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noProof/>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A" w14:textId="77777777" w:rsidR="003C4798" w:rsidRDefault="00417595">
            <w:pPr>
              <w:pStyle w:val="P68B1DB1-Normal023"/>
              <w:pBdr>
                <w:top w:val="nil"/>
                <w:left w:val="nil"/>
                <w:bottom w:val="nil"/>
                <w:right w:val="nil"/>
                <w:between w:val="nil"/>
              </w:pBdr>
              <w:spacing w:after="0" w:line="240" w:lineRule="auto"/>
              <w:jc w:val="center"/>
              <w:rPr>
                <w:rFonts w:eastAsia="Times New Roman" w:cs="Times New Roman"/>
                <w:noProof/>
                <w:szCs w:val="18"/>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B"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rPr>
            </w:pPr>
            <w:r>
              <w:rPr>
                <w:noProof/>
              </w:rPr>
              <w:t>150</w:t>
            </w: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C"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D" w14:textId="77777777" w:rsidR="003C4798" w:rsidRDefault="00417595">
            <w:pPr>
              <w:pStyle w:val="P68B1DB1-Normal018"/>
              <w:pBdr>
                <w:top w:val="nil"/>
                <w:left w:val="nil"/>
                <w:bottom w:val="nil"/>
                <w:right w:val="nil"/>
                <w:between w:val="nil"/>
              </w:pBdr>
              <w:spacing w:after="0" w:line="240" w:lineRule="auto"/>
              <w:jc w:val="center"/>
              <w:rPr>
                <w:rFonts w:eastAsia="Times New Roman" w:cs="Times New Roman"/>
                <w:noProof/>
              </w:rPr>
            </w:pPr>
            <w:r>
              <w:rPr>
                <w:noProof/>
              </w:rPr>
              <w:t>2025</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E" w14:textId="100E989E" w:rsidR="003C4798" w:rsidRDefault="00417595">
            <w:pPr>
              <w:pStyle w:val="P68B1DB1-Normal018"/>
              <w:spacing w:after="0" w:line="240" w:lineRule="auto"/>
              <w:rPr>
                <w:rFonts w:eastAsia="Times New Roman" w:cs="Times New Roman"/>
                <w:noProof/>
              </w:rPr>
            </w:pPr>
            <w:r>
              <w:rPr>
                <w:noProof/>
              </w:rPr>
              <w:t>Protocole de réception délivré pour la construction, l'extension ou la modernisation de systèmes d'approvisionnement en eau ou d'évacuation des eaux usées.</w:t>
            </w:r>
          </w:p>
        </w:tc>
      </w:tr>
      <w:tr w:rsidR="003C4798" w14:paraId="1216B8EB" w14:textId="77777777" w:rsidTr="00EC21D5">
        <w:trPr>
          <w:trHeight w:val="300"/>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0" w14:textId="7189977A" w:rsidR="003C4798" w:rsidRDefault="00417595">
            <w:pPr>
              <w:pStyle w:val="P68B1DB1-Normal018"/>
              <w:pBdr>
                <w:top w:val="nil"/>
                <w:left w:val="nil"/>
                <w:bottom w:val="nil"/>
                <w:right w:val="nil"/>
                <w:between w:val="nil"/>
              </w:pBdr>
              <w:spacing w:after="0" w:line="240" w:lineRule="auto"/>
              <w:jc w:val="center"/>
              <w:rPr>
                <w:noProof/>
              </w:rPr>
            </w:pPr>
            <w:r>
              <w:rPr>
                <w:noProof/>
              </w:rPr>
              <w:t>B41aG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1" w14:textId="4D2BFB69" w:rsidR="003C4798" w:rsidRDefault="00417595">
            <w:pPr>
              <w:pStyle w:val="P68B1DB1-Normal020"/>
              <w:pBdr>
                <w:top w:val="nil"/>
                <w:left w:val="nil"/>
                <w:bottom w:val="nil"/>
                <w:right w:val="nil"/>
                <w:between w:val="nil"/>
              </w:pBdr>
              <w:spacing w:after="0" w:line="240" w:lineRule="auto"/>
              <w:rPr>
                <w:noProof/>
              </w:rPr>
            </w:pPr>
            <w:r>
              <w:rPr>
                <w:noProof/>
              </w:rPr>
              <w:t>B3.1.1 Investissements dans les infrastructures de traitement des eaux usées ou d'approvisionnement en eau dans les zones rurales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2" w14:textId="77777777" w:rsidR="003C4798" w:rsidRDefault="00417595">
            <w:pPr>
              <w:pStyle w:val="P68B1DB1-Normal019"/>
              <w:pBdr>
                <w:top w:val="nil"/>
                <w:left w:val="nil"/>
                <w:bottom w:val="nil"/>
                <w:right w:val="nil"/>
                <w:between w:val="nil"/>
              </w:pBdr>
              <w:spacing w:after="0" w:line="240" w:lineRule="auto"/>
              <w:jc w:val="center"/>
              <w:rPr>
                <w:noProof/>
                <w:color w:val="000000" w:themeColor="text1"/>
                <w:szCs w:val="18"/>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3" w14:textId="74DB0C12" w:rsidR="003C4798" w:rsidRDefault="00417595">
            <w:pPr>
              <w:pStyle w:val="P68B1DB1-Normal018"/>
              <w:pBdr>
                <w:top w:val="nil"/>
                <w:left w:val="nil"/>
                <w:bottom w:val="nil"/>
                <w:right w:val="nil"/>
                <w:between w:val="nil"/>
              </w:pBdr>
              <w:spacing w:after="0" w:line="240" w:lineRule="auto"/>
              <w:rPr>
                <w:noProof/>
                <w:color w:val="000000" w:themeColor="text1"/>
              </w:rPr>
            </w:pPr>
            <w:r>
              <w:rPr>
                <w:noProof/>
              </w:rPr>
              <w:t>Soutien aux eaux usées ou à l'approvisionnement en eau</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4"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5" w14:textId="77777777" w:rsidR="003C4798" w:rsidRDefault="00417595">
            <w:pPr>
              <w:pStyle w:val="P68B1DB1-Normal023"/>
              <w:pBdr>
                <w:top w:val="nil"/>
                <w:left w:val="nil"/>
                <w:bottom w:val="nil"/>
                <w:right w:val="nil"/>
                <w:between w:val="nil"/>
              </w:pBdr>
              <w:spacing w:after="0" w:line="240" w:lineRule="auto"/>
              <w:jc w:val="center"/>
              <w:rPr>
                <w:noProof/>
                <w:color w:val="000000" w:themeColor="text1"/>
                <w:szCs w:val="18"/>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6" w14:textId="77777777" w:rsidR="003C4798" w:rsidRDefault="00417595">
            <w:pPr>
              <w:pStyle w:val="P68B1DB1-Normal020"/>
              <w:pBdr>
                <w:top w:val="nil"/>
                <w:left w:val="nil"/>
                <w:bottom w:val="nil"/>
                <w:right w:val="nil"/>
                <w:between w:val="nil"/>
              </w:pBdr>
              <w:spacing w:after="0" w:line="240" w:lineRule="auto"/>
              <w:jc w:val="center"/>
              <w:rPr>
                <w:noProof/>
              </w:rPr>
            </w:pPr>
            <w:r>
              <w:rPr>
                <w:noProof/>
              </w:rPr>
              <w:t>150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7" w14:textId="4BC1C199" w:rsidR="003C4798" w:rsidRDefault="00417595">
            <w:pPr>
              <w:pStyle w:val="P68B1DB1-Normal020"/>
              <w:pBdr>
                <w:top w:val="nil"/>
                <w:left w:val="nil"/>
                <w:bottom w:val="nil"/>
                <w:right w:val="nil"/>
                <w:between w:val="nil"/>
              </w:pBdr>
              <w:spacing w:after="0" w:line="240" w:lineRule="auto"/>
              <w:jc w:val="center"/>
              <w:rPr>
                <w:noProof/>
              </w:rPr>
            </w:pPr>
            <w:r>
              <w:rPr>
                <w:noProof/>
              </w:rPr>
              <w:t>467</w:t>
            </w: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8" w14:textId="77777777" w:rsidR="003C4798" w:rsidRDefault="00417595">
            <w:pPr>
              <w:pStyle w:val="P68B1DB1-Normal020"/>
              <w:pBdr>
                <w:top w:val="nil"/>
                <w:left w:val="nil"/>
                <w:bottom w:val="nil"/>
                <w:right w:val="nil"/>
                <w:between w:val="nil"/>
              </w:pBdr>
              <w:spacing w:after="0" w:line="240" w:lineRule="auto"/>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9" w14:textId="77777777" w:rsidR="003C4798" w:rsidRDefault="00417595">
            <w:pPr>
              <w:pStyle w:val="P68B1DB1-Normal020"/>
              <w:pBdr>
                <w:top w:val="nil"/>
                <w:left w:val="nil"/>
                <w:bottom w:val="nil"/>
                <w:right w:val="nil"/>
                <w:between w:val="nil"/>
              </w:pBdr>
              <w:spacing w:after="0" w:line="240" w:lineRule="auto"/>
              <w:jc w:val="center"/>
              <w:rPr>
                <w:noProof/>
              </w:rPr>
            </w:pPr>
            <w:r>
              <w:rPr>
                <w:noProof/>
              </w:rPr>
              <w:t>2026</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A" w14:textId="7CC625B6" w:rsidR="003C4798" w:rsidRDefault="00417595">
            <w:pPr>
              <w:pStyle w:val="P68B1DB1-Normal018"/>
              <w:spacing w:line="240" w:lineRule="auto"/>
              <w:rPr>
                <w:noProof/>
                <w:color w:val="000000" w:themeColor="text1"/>
              </w:rPr>
            </w:pPr>
            <w:r>
              <w:rPr>
                <w:noProof/>
              </w:rPr>
              <w:t>Protocole de réception délivré pour la construction, l'extension ou la modernisation de systèmes d'approvisionnement en eau ou d'évacuation des eaux usées.</w:t>
            </w:r>
          </w:p>
        </w:tc>
      </w:tr>
      <w:tr w:rsidR="003C4798" w14:paraId="1216B8F8" w14:textId="77777777" w:rsidTr="00EC21D5">
        <w:trPr>
          <w:trHeight w:val="300"/>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C" w14:textId="77777777" w:rsidR="003C4798" w:rsidRDefault="00417595">
            <w:pPr>
              <w:pStyle w:val="P68B1DB1-Normal023"/>
              <w:pBdr>
                <w:top w:val="nil"/>
                <w:left w:val="nil"/>
                <w:bottom w:val="nil"/>
                <w:right w:val="nil"/>
                <w:between w:val="nil"/>
              </w:pBdr>
              <w:spacing w:after="0" w:line="240" w:lineRule="auto"/>
              <w:jc w:val="center"/>
              <w:rPr>
                <w:noProof/>
              </w:rPr>
            </w:pPr>
            <w:r>
              <w:rPr>
                <w:noProof/>
              </w:rPr>
              <w:t>B42G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D" w14:textId="77777777" w:rsidR="003C4798" w:rsidRDefault="00417595">
            <w:pPr>
              <w:pStyle w:val="P68B1DB1-Normal019"/>
              <w:pBdr>
                <w:top w:val="nil"/>
                <w:left w:val="nil"/>
                <w:bottom w:val="nil"/>
                <w:right w:val="nil"/>
                <w:between w:val="nil"/>
              </w:pBdr>
              <w:spacing w:after="0" w:line="240" w:lineRule="auto"/>
              <w:rPr>
                <w:noProof/>
              </w:rPr>
            </w:pPr>
            <w:r>
              <w:rPr>
                <w:noProof/>
              </w:rPr>
              <w:t>B1.1.5 Amélioration de l'efficacité énergétique dans les immeubles résidentiels comprenant plusieurs appartements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E"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F" w14:textId="77777777" w:rsidR="003C4798" w:rsidRDefault="00417595">
            <w:pPr>
              <w:pStyle w:val="P68B1DB1-Normal019"/>
              <w:pBdr>
                <w:top w:val="nil"/>
                <w:left w:val="nil"/>
                <w:bottom w:val="nil"/>
                <w:right w:val="nil"/>
                <w:between w:val="nil"/>
              </w:pBdr>
              <w:spacing w:after="0" w:line="240" w:lineRule="auto"/>
              <w:rPr>
                <w:noProof/>
                <w:color w:val="000000" w:themeColor="text1"/>
              </w:rPr>
            </w:pPr>
            <w:r>
              <w:rPr>
                <w:noProof/>
              </w:rPr>
              <w:t>T1 – Installations d’énergie renouvelable et thermomodernisations dans les immeubles comprenant plusieurs appartements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0" w14:textId="77777777" w:rsidR="003C4798" w:rsidRDefault="003C4798">
            <w:pPr>
              <w:pStyle w:val="Normal0"/>
              <w:pBdr>
                <w:top w:val="nil"/>
                <w:left w:val="nil"/>
                <w:bottom w:val="nil"/>
                <w:right w:val="nil"/>
                <w:between w:val="nil"/>
              </w:pBdr>
              <w:spacing w:after="0" w:line="240" w:lineRule="auto"/>
              <w:rPr>
                <w:rFonts w:ascii="Times New Roman" w:hAnsi="Times New Roman"/>
                <w:noProof/>
                <w:color w:val="000000"/>
                <w:sz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1"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2"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3"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632</w:t>
            </w: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4"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5" w14:textId="77777777" w:rsidR="003C4798" w:rsidRDefault="00417595">
            <w:pPr>
              <w:pStyle w:val="P68B1DB1-Normal019"/>
              <w:pBdr>
                <w:top w:val="nil"/>
                <w:left w:val="nil"/>
                <w:bottom w:val="nil"/>
                <w:right w:val="nil"/>
                <w:between w:val="nil"/>
              </w:pBdr>
              <w:spacing w:after="0" w:line="240" w:lineRule="auto"/>
              <w:jc w:val="center"/>
              <w:rPr>
                <w:noProof/>
              </w:rPr>
            </w:pPr>
            <w:r>
              <w:rPr>
                <w:noProof/>
              </w:rPr>
              <w:t>2023</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6" w14:textId="77777777" w:rsidR="003C4798" w:rsidRDefault="00417595">
            <w:pPr>
              <w:pStyle w:val="P68B1DB1-Normal019"/>
              <w:spacing w:line="240" w:lineRule="auto"/>
              <w:rPr>
                <w:noProof/>
                <w:color w:val="000000" w:themeColor="text1"/>
              </w:rPr>
            </w:pPr>
            <w:r>
              <w:rPr>
                <w:noProof/>
              </w:rPr>
              <w:t>Nombre de bâtiments comprenant plusieurs appartements qui ont été thermomodernisés ou équipés d'installations d'énergie renouvelable.</w:t>
            </w:r>
          </w:p>
          <w:p w14:paraId="1216B8F7" w14:textId="1B01A624" w:rsidR="003C4798" w:rsidRDefault="00417595">
            <w:pPr>
              <w:pStyle w:val="P68B1DB1-Normal019"/>
              <w:spacing w:line="240" w:lineRule="auto"/>
              <w:rPr>
                <w:noProof/>
                <w:color w:val="000000" w:themeColor="text1"/>
              </w:rPr>
            </w:pPr>
            <w:r>
              <w:rPr>
                <w:noProof/>
              </w:rPr>
              <w:t>Les investissements sont soutenus dans le cadre du programme TERMO.</w:t>
            </w:r>
          </w:p>
        </w:tc>
      </w:tr>
      <w:tr w:rsidR="003C4798" w14:paraId="1216B904" w14:textId="77777777" w:rsidTr="00EC21D5">
        <w:trPr>
          <w:trHeight w:val="1362"/>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9" w14:textId="77777777" w:rsidR="003C4798" w:rsidRDefault="00417595">
            <w:pPr>
              <w:pStyle w:val="P68B1DB1-Normal018"/>
              <w:pBdr>
                <w:top w:val="nil"/>
                <w:left w:val="nil"/>
                <w:bottom w:val="nil"/>
                <w:right w:val="nil"/>
                <w:between w:val="nil"/>
              </w:pBdr>
              <w:spacing w:after="0" w:line="240" w:lineRule="auto"/>
              <w:jc w:val="center"/>
              <w:rPr>
                <w:noProof/>
              </w:rPr>
            </w:pPr>
            <w:r>
              <w:rPr>
                <w:noProof/>
              </w:rPr>
              <w:t>B43G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A" w14:textId="77777777" w:rsidR="003C4798" w:rsidRDefault="00417595">
            <w:pPr>
              <w:pStyle w:val="P68B1DB1-Normal020"/>
              <w:pBdr>
                <w:top w:val="nil"/>
                <w:left w:val="nil"/>
                <w:bottom w:val="nil"/>
                <w:right w:val="nil"/>
                <w:between w:val="nil"/>
              </w:pBdr>
              <w:spacing w:after="0" w:line="240" w:lineRule="auto"/>
              <w:rPr>
                <w:noProof/>
                <w:color w:val="000000"/>
              </w:rPr>
            </w:pPr>
            <w:r>
              <w:rPr>
                <w:noProof/>
              </w:rPr>
              <w:t>B1.1.5 Investissements dans l'efficacité énergétique des immeubles résidentiels comprenant plusieurs appartements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B" w14:textId="77777777"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Objectif</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C" w14:textId="77777777" w:rsidR="003C4798" w:rsidRDefault="00417595">
            <w:pPr>
              <w:pStyle w:val="P68B1DB1-Normal020"/>
              <w:pBdr>
                <w:top w:val="nil"/>
                <w:left w:val="nil"/>
                <w:bottom w:val="nil"/>
                <w:right w:val="nil"/>
                <w:between w:val="nil"/>
              </w:pBdr>
              <w:spacing w:after="0" w:line="240" w:lineRule="auto"/>
              <w:rPr>
                <w:noProof/>
              </w:rPr>
            </w:pPr>
            <w:r>
              <w:rPr>
                <w:noProof/>
              </w:rPr>
              <w:t>T2 – Installations d’énergie renouvelable ou modernisations thermiques dans des immeubles comprenant plusieurs appartements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D"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E" w14:textId="77777777"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Numéro</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F" w14:textId="77777777"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632</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0" w14:textId="1CE27FF3" w:rsidR="003C4798" w:rsidRDefault="00417595">
            <w:pPr>
              <w:pStyle w:val="Normal0"/>
              <w:pBdr>
                <w:top w:val="nil"/>
                <w:left w:val="nil"/>
                <w:bottom w:val="nil"/>
                <w:right w:val="nil"/>
                <w:between w:val="nil"/>
              </w:pBdr>
              <w:spacing w:after="0" w:line="240" w:lineRule="auto"/>
              <w:jc w:val="center"/>
              <w:rPr>
                <w:rFonts w:ascii="Times New Roman" w:hAnsi="Times New Roman"/>
                <w:noProof/>
                <w:color w:val="000000"/>
                <w:sz w:val="18"/>
                <w:szCs w:val="18"/>
              </w:rPr>
            </w:pPr>
            <w:r>
              <w:rPr>
                <w:rFonts w:ascii="Times New Roman" w:hAnsi="Times New Roman"/>
                <w:noProof/>
                <w:color w:val="000000" w:themeColor="text1"/>
                <w:sz w:val="18"/>
                <w:szCs w:val="18"/>
              </w:rPr>
              <w:t>5</w:t>
            </w:r>
            <w:r>
              <w:rPr>
                <w:rFonts w:eastAsia="Times New Roman"/>
                <w:noProof/>
                <w:color w:val="006100"/>
              </w:rPr>
              <w:t xml:space="preserve"> </w:t>
            </w:r>
            <w:r>
              <w:rPr>
                <w:rFonts w:ascii="Times New Roman" w:eastAsia="Times New Roman" w:hAnsi="Times New Roman" w:cs="Times New Roman"/>
                <w:noProof/>
                <w:color w:val="006100"/>
                <w:sz w:val="18"/>
                <w:szCs w:val="18"/>
              </w:rPr>
              <w:t>395</w:t>
            </w: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1" w14:textId="77777777"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2" w14:textId="77777777" w:rsidR="003C4798" w:rsidRDefault="00417595">
            <w:pPr>
              <w:pStyle w:val="P68B1DB1-Normal020"/>
              <w:pBdr>
                <w:top w:val="nil"/>
                <w:left w:val="nil"/>
                <w:bottom w:val="nil"/>
                <w:right w:val="nil"/>
                <w:between w:val="nil"/>
              </w:pBdr>
              <w:spacing w:after="0" w:line="240" w:lineRule="auto"/>
              <w:jc w:val="center"/>
              <w:rPr>
                <w:noProof/>
                <w:color w:val="000000"/>
              </w:rPr>
            </w:pPr>
            <w:r>
              <w:rPr>
                <w:noProof/>
              </w:rPr>
              <w:t>2026</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3" w14:textId="443E2F7E" w:rsidR="003C4798" w:rsidRDefault="00417595">
            <w:pPr>
              <w:pStyle w:val="P68B1DB1-Normal020"/>
              <w:spacing w:line="240" w:lineRule="auto"/>
              <w:rPr>
                <w:rFonts w:eastAsia="Times New Roman" w:cs="Times New Roman"/>
                <w:noProof/>
              </w:rPr>
            </w:pPr>
            <w:r>
              <w:rPr>
                <w:noProof/>
              </w:rPr>
              <w:t>Nombre de bâtiments comprenant plusieurs appartements qui ont été thermomodernisés ou équipés d’installations d’énergie renouvelable.</w:t>
            </w:r>
          </w:p>
        </w:tc>
      </w:tr>
      <w:tr w:rsidR="003C4798" w14:paraId="63B0E720" w14:textId="77777777" w:rsidTr="00EC21D5">
        <w:trPr>
          <w:trHeight w:val="1362"/>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D842164" w14:textId="7624B761" w:rsidR="003C4798" w:rsidRDefault="00417595">
            <w:pPr>
              <w:pStyle w:val="P68B1DB1-Normal018"/>
              <w:spacing w:line="240" w:lineRule="auto"/>
              <w:jc w:val="center"/>
              <w:rPr>
                <w:noProof/>
              </w:rPr>
            </w:pPr>
            <w:r>
              <w:rPr>
                <w:noProof/>
              </w:rPr>
              <w:t>B44G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01A50B2" w14:textId="5A9431F2" w:rsidR="003C4798" w:rsidRDefault="00417595">
            <w:pPr>
              <w:pStyle w:val="P68B1DB1-Normal020"/>
              <w:spacing w:line="240" w:lineRule="auto"/>
              <w:rPr>
                <w:noProof/>
              </w:rPr>
            </w:pPr>
            <w:r>
              <w:rPr>
                <w:noProof/>
              </w:rPr>
              <w:t xml:space="preserve">B4.1 Réduire la dépendance à l'égard du charbon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10042C" w14:textId="4BC9F7E8" w:rsidR="003C4798" w:rsidRDefault="00417595">
            <w:pPr>
              <w:pStyle w:val="P68B1DB1-Normal020"/>
              <w:spacing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B3519C" w14:textId="0CD1BB26" w:rsidR="003C4798" w:rsidRDefault="00417595">
            <w:pPr>
              <w:pStyle w:val="P68B1DB1-Normal020"/>
              <w:spacing w:line="240" w:lineRule="auto"/>
              <w:rPr>
                <w:noProof/>
              </w:rPr>
            </w:pPr>
            <w:r>
              <w:rPr>
                <w:noProof/>
              </w:rPr>
              <w:t>Fonds de transformation du chauffage urbain</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BF3813" w14:textId="3FE425B5" w:rsidR="003C4798" w:rsidRDefault="00417595">
            <w:pPr>
              <w:pStyle w:val="P68B1DB1-Normal029"/>
              <w:spacing w:line="240" w:lineRule="auto"/>
              <w:rPr>
                <w:noProof/>
              </w:rPr>
            </w:pPr>
            <w:r>
              <w:rPr>
                <w:noProof/>
              </w:rPr>
              <w:t>Approbation du conseil d'administration</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17BDE77" w14:textId="58422367" w:rsidR="003C4798" w:rsidRDefault="003C4798">
            <w:pPr>
              <w:pStyle w:val="Normal0"/>
              <w:spacing w:line="240" w:lineRule="auto"/>
              <w:jc w:val="center"/>
              <w:rPr>
                <w:rFonts w:ascii="Times New Roman" w:hAnsi="Times New Roman"/>
                <w:noProof/>
                <w:color w:val="000000" w:themeColor="text1"/>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ACD1ACC" w14:textId="4F2AC1A9" w:rsidR="003C4798" w:rsidRDefault="003C4798">
            <w:pPr>
              <w:pStyle w:val="Normal0"/>
              <w:spacing w:line="240" w:lineRule="auto"/>
              <w:jc w:val="center"/>
              <w:rPr>
                <w:rFonts w:ascii="Times New Roman" w:hAnsi="Times New Roman"/>
                <w:noProof/>
                <w:color w:val="000000" w:themeColor="text1"/>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008F99A" w14:textId="29BF7B71" w:rsidR="003C4798" w:rsidRDefault="003C4798">
            <w:pPr>
              <w:pStyle w:val="Normal0"/>
              <w:spacing w:line="240" w:lineRule="auto"/>
              <w:jc w:val="center"/>
              <w:rPr>
                <w:rFonts w:ascii="Times New Roman" w:hAnsi="Times New Roman"/>
                <w:noProof/>
                <w:color w:val="000000" w:themeColor="text1"/>
                <w:sz w:val="18"/>
                <w:szCs w:val="18"/>
              </w:rPr>
            </w:pP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D1FE0D6" w14:textId="19164E0C" w:rsidR="003C4798" w:rsidRDefault="00417595">
            <w:pPr>
              <w:pStyle w:val="P68B1DB1-Normal020"/>
              <w:spacing w:line="240" w:lineRule="auto"/>
              <w:jc w:val="center"/>
              <w:rPr>
                <w:noProof/>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941F46E" w14:textId="2D83F38C" w:rsidR="003C4798" w:rsidRDefault="00417595">
            <w:pPr>
              <w:pStyle w:val="P68B1DB1-Normal020"/>
              <w:spacing w:line="240" w:lineRule="auto"/>
              <w:jc w:val="center"/>
              <w:rPr>
                <w:noProof/>
              </w:rPr>
            </w:pPr>
            <w:r>
              <w:rPr>
                <w:noProof/>
              </w:rPr>
              <w:t>2026</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A69A7B" w14:textId="79CB770C" w:rsidR="003C4798" w:rsidRDefault="00417595">
            <w:pPr>
              <w:pStyle w:val="P68B1DB1-Normal020"/>
              <w:spacing w:line="240" w:lineRule="auto"/>
              <w:rPr>
                <w:noProof/>
              </w:rPr>
            </w:pPr>
            <w:r>
              <w:rPr>
                <w:noProof/>
              </w:rPr>
              <w:t>La direction et/ou le conseil de surveillance du Narodowy Fundusz Ochrony Srodowiska i Gospodarki Wodnej (NFOSiGW) approuvent en tant que programme prioritaire le «Fonds de transformation du chauffage urbain» pour la période 2026-2030, composé d’au moins 700 millions d’EUR provenant des fonds nationaux du NFOSiGW. Cette approbation précise que l’objectif du «Fonds pour la transformation du chauffage urbain» est de soutenir la décarbonation du secteur du chauffage urbain en Pologne et:</w:t>
            </w:r>
          </w:p>
          <w:p w14:paraId="46735694" w14:textId="1BD7B1F4" w:rsidR="003C4798" w:rsidRDefault="00417595">
            <w:pPr>
              <w:pStyle w:val="P68B1DB1-Normal020"/>
              <w:spacing w:line="240" w:lineRule="auto"/>
              <w:rPr>
                <w:noProof/>
              </w:rPr>
            </w:pPr>
            <w:r>
              <w:rPr>
                <w:noProof/>
              </w:rPr>
              <w:t>1. les investissements éligibles pour la décarbonation de la production de chaleur et les objectifs d’investissement du «Fonds pour la transformation du chauffage urbain» (tels que le déploiement de sources d’énergie renouvelables, les technologies de pompes à chaleur, le stockage thermique et la récupération de chaleur fatale) et l’exigence selon laquelle les investissements éligibles doivent être conformes au principe consistant à «ne pas causer de préjudice important»;</w:t>
            </w:r>
          </w:p>
          <w:p w14:paraId="435E5F13" w14:textId="0D3ABC38" w:rsidR="003C4798" w:rsidRDefault="00417595">
            <w:pPr>
              <w:pStyle w:val="P68B1DB1-Normal020"/>
              <w:spacing w:line="240" w:lineRule="auto"/>
              <w:rPr>
                <w:noProof/>
              </w:rPr>
            </w:pPr>
            <w:r>
              <w:rPr>
                <w:noProof/>
              </w:rPr>
              <w:t>2. les objectifs d’investissement en termes de capacité de déploiement des sources renouvelables et de réduction des émissions de GES ou de la consommation de combustibles fossiles.</w:t>
            </w:r>
          </w:p>
        </w:tc>
      </w:tr>
      <w:tr w:rsidR="003C4798" w14:paraId="1C3E0B34" w14:textId="77777777" w:rsidTr="00EC21D5">
        <w:trPr>
          <w:trHeight w:val="1362"/>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150F94F" w14:textId="716212A6" w:rsidR="003C4798" w:rsidRDefault="00417595">
            <w:pPr>
              <w:pStyle w:val="P68B1DB1-Normal018"/>
              <w:spacing w:line="240" w:lineRule="auto"/>
              <w:jc w:val="center"/>
              <w:rPr>
                <w:noProof/>
              </w:rPr>
            </w:pPr>
            <w:r>
              <w:rPr>
                <w:noProof/>
              </w:rPr>
              <w:t>B45G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247E82" w14:textId="6AC76474" w:rsidR="003C4798" w:rsidRDefault="00417595">
            <w:pPr>
              <w:pStyle w:val="P68B1DB1-Normal020"/>
              <w:spacing w:line="240" w:lineRule="auto"/>
              <w:rPr>
                <w:noProof/>
              </w:rPr>
            </w:pPr>
            <w:r>
              <w:rPr>
                <w:noProof/>
              </w:rPr>
              <w:t>B4.1 Réduire la dépendance à l'égard du charbon</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6A8F28" w14:textId="48CDD360" w:rsidR="003C4798" w:rsidRDefault="00417595">
            <w:pPr>
              <w:pStyle w:val="P68B1DB1-Normal020"/>
              <w:spacing w:line="240" w:lineRule="auto"/>
              <w:jc w:val="center"/>
              <w:rPr>
                <w:noProof/>
              </w:rPr>
            </w:pPr>
            <w:r>
              <w:rPr>
                <w:noProof/>
              </w:rPr>
              <w:t>Étape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DBABE84" w14:textId="289259FC" w:rsidR="003C4798" w:rsidRDefault="00417595">
            <w:pPr>
              <w:pStyle w:val="P68B1DB1-Normal020"/>
              <w:spacing w:line="240" w:lineRule="auto"/>
              <w:rPr>
                <w:noProof/>
              </w:rPr>
            </w:pPr>
            <w:r>
              <w:rPr>
                <w:noProof/>
              </w:rPr>
              <w:t>Entrée en vigueur d'une loi modifiant la loi sur le fonctionnement de l'industrie minière de houille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3713A6" w14:textId="739FA04C" w:rsidR="003C4798" w:rsidRDefault="00417595">
            <w:pPr>
              <w:pStyle w:val="P68B1DB1-Normal029"/>
              <w:spacing w:line="240" w:lineRule="auto"/>
              <w:rPr>
                <w:noProof/>
              </w:rPr>
            </w:pPr>
            <w:r>
              <w:rPr>
                <w:noProof/>
              </w:rPr>
              <w:t>Entrée en vigueur de la modification législative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BE870B" w14:textId="3BF71B0E" w:rsidR="003C4798" w:rsidRDefault="003C4798">
            <w:pPr>
              <w:pStyle w:val="Normal0"/>
              <w:spacing w:line="240" w:lineRule="auto"/>
              <w:jc w:val="center"/>
              <w:rPr>
                <w:rFonts w:ascii="Times New Roman" w:hAnsi="Times New Roman"/>
                <w:noProof/>
                <w:color w:val="000000" w:themeColor="text1"/>
                <w:sz w:val="18"/>
                <w:szCs w:val="18"/>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F675BA" w14:textId="0B99D62B" w:rsidR="003C4798" w:rsidRDefault="003C4798">
            <w:pPr>
              <w:pStyle w:val="Normal0"/>
              <w:spacing w:line="240" w:lineRule="auto"/>
              <w:jc w:val="center"/>
              <w:rPr>
                <w:rFonts w:ascii="Times New Roman" w:hAnsi="Times New Roman"/>
                <w:noProof/>
                <w:color w:val="000000" w:themeColor="text1"/>
                <w:sz w:val="18"/>
                <w:szCs w:val="18"/>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12D4AD0" w14:textId="2705D216" w:rsidR="003C4798" w:rsidRDefault="003C4798">
            <w:pPr>
              <w:pStyle w:val="Normal0"/>
              <w:spacing w:line="240" w:lineRule="auto"/>
              <w:jc w:val="center"/>
              <w:rPr>
                <w:rFonts w:ascii="Times New Roman" w:hAnsi="Times New Roman"/>
                <w:noProof/>
                <w:color w:val="000000" w:themeColor="text1"/>
                <w:sz w:val="18"/>
                <w:szCs w:val="18"/>
              </w:rPr>
            </w:pPr>
          </w:p>
        </w:t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DD91B8" w14:textId="5827A111" w:rsidR="003C4798" w:rsidRDefault="00417595">
            <w:pPr>
              <w:pStyle w:val="P68B1DB1-Normal020"/>
              <w:spacing w:line="240" w:lineRule="auto"/>
              <w:jc w:val="center"/>
              <w:rPr>
                <w:noProof/>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6176A0B" w14:textId="20357727" w:rsidR="003C4798" w:rsidRDefault="00417595">
            <w:pPr>
              <w:pStyle w:val="P68B1DB1-Normal020"/>
              <w:spacing w:line="240" w:lineRule="auto"/>
              <w:jc w:val="center"/>
              <w:rPr>
                <w:noProof/>
              </w:rPr>
            </w:pPr>
            <w:r>
              <w:rPr>
                <w:noProof/>
              </w:rPr>
              <w:t>2026</w:t>
            </w:r>
          </w:p>
        </w:tc>
        <w:tc>
          <w:tcPr>
            <w:tcW w:w="29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A994730" w14:textId="6C1E61F8" w:rsidR="003C4798" w:rsidRDefault="00417595">
            <w:pPr>
              <w:pStyle w:val="P68B1DB1-Normal020"/>
              <w:spacing w:line="240" w:lineRule="auto"/>
              <w:rPr>
                <w:noProof/>
              </w:rPr>
            </w:pPr>
            <w:r>
              <w:rPr>
                <w:noProof/>
              </w:rPr>
              <w:t>Entrée en vigueur d'une loi modifiant la loi sur le fonctionnement de l'industrie minière de houille concernant la fermeture de l'extraction de houille.</w:t>
            </w:r>
          </w:p>
        </w:tc>
      </w:tr>
    </w:tbl>
    <w:p w14:paraId="1216B905"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noProof/>
          <w:color w:val="000000"/>
          <w:sz w:val="24"/>
        </w:rPr>
        <w:sectPr w:rsidR="003C4798" w:rsidSect="006C5441">
          <w:headerReference w:type="even" r:id="rId54"/>
          <w:headerReference w:type="default" r:id="rId55"/>
          <w:footerReference w:type="even" r:id="rId56"/>
          <w:footerReference w:type="default" r:id="rId57"/>
          <w:headerReference w:type="first" r:id="rId58"/>
          <w:footerReference w:type="first" r:id="rId59"/>
          <w:pgSz w:w="16839" w:h="11907" w:orient="landscape"/>
          <w:pgMar w:top="1134" w:right="1134" w:bottom="1134" w:left="1134" w:header="567" w:footer="567" w:gutter="0"/>
          <w:cols w:space="720"/>
          <w:docGrid w:linePitch="299"/>
        </w:sectPr>
      </w:pPr>
    </w:p>
    <w:p w14:paraId="1216B906" w14:textId="77777777" w:rsidR="003C4798" w:rsidRDefault="00417595">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rPr>
      </w:pPr>
      <w:r>
        <w:rPr>
          <w:rFonts w:ascii="Times New Roman" w:hAnsi="Times New Roman"/>
          <w:b/>
          <w:noProof/>
          <w:color w:val="000000" w:themeColor="text1"/>
          <w:sz w:val="24"/>
        </w:rPr>
        <w:t xml:space="preserve">B.3. </w:t>
      </w:r>
      <w:r>
        <w:rPr>
          <w:noProof/>
        </w:rPr>
        <w:t xml:space="preserve"> </w:t>
      </w:r>
      <w:r>
        <w:rPr>
          <w:rFonts w:ascii="Times New Roman" w:hAnsi="Times New Roman"/>
          <w:b/>
          <w:noProof/>
          <w:color w:val="000000" w:themeColor="text1"/>
          <w:sz w:val="24"/>
        </w:rPr>
        <w:t>Description des réformes et des investissements pour le soutien sous forme de prêts</w:t>
      </w:r>
    </w:p>
    <w:p w14:paraId="1216B907"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rPr>
      </w:pPr>
    </w:p>
    <w:p w14:paraId="1216B908" w14:textId="77777777" w:rsidR="003C4798" w:rsidRDefault="00417595">
      <w:pPr>
        <w:pStyle w:val="P68B1DB1-Normal048"/>
        <w:pBdr>
          <w:top w:val="nil"/>
          <w:left w:val="nil"/>
          <w:bottom w:val="nil"/>
          <w:right w:val="nil"/>
          <w:between w:val="nil"/>
        </w:pBdr>
        <w:spacing w:before="120" w:after="120" w:line="240" w:lineRule="auto"/>
        <w:jc w:val="both"/>
        <w:rPr>
          <w:rFonts w:eastAsia="Times New Roman" w:cs="Times New Roman"/>
          <w:noProof/>
          <w:szCs w:val="24"/>
        </w:rPr>
      </w:pPr>
      <w:r>
        <w:rPr>
          <w:noProof/>
        </w:rPr>
        <w:t>B1.2 Faciliter l'obligation d'économies d'énergie pour les entreprises du secteur de l'énergie</w:t>
      </w:r>
    </w:p>
    <w:p w14:paraId="1216B909" w14:textId="2306DB51" w:rsidR="003C4798" w:rsidRDefault="00417595">
      <w:pPr>
        <w:pStyle w:val="P68B1DB1-Normal047"/>
        <w:pBdr>
          <w:top w:val="nil"/>
          <w:left w:val="nil"/>
          <w:bottom w:val="nil"/>
          <w:right w:val="nil"/>
          <w:between w:val="nil"/>
        </w:pBdr>
        <w:spacing w:before="60" w:after="0" w:line="240" w:lineRule="auto"/>
        <w:jc w:val="both"/>
        <w:rPr>
          <w:noProof/>
          <w:color w:val="000000"/>
        </w:rPr>
      </w:pPr>
      <w:r>
        <w:rPr>
          <w:noProof/>
        </w:rPr>
        <w:t>L’objectif de la réforme est de simplifier et d’élargir le régime d’obligations en matière d’efficacité énergétique.</w:t>
      </w:r>
    </w:p>
    <w:p w14:paraId="1216B90A" w14:textId="77777777" w:rsidR="003C4798" w:rsidRDefault="00417595">
      <w:pPr>
        <w:pStyle w:val="Normal0"/>
        <w:pBdr>
          <w:top w:val="nil"/>
          <w:left w:val="nil"/>
          <w:bottom w:val="nil"/>
          <w:right w:val="nil"/>
          <w:between w:val="nil"/>
        </w:pBdr>
        <w:spacing w:before="60" w:after="120" w:line="240" w:lineRule="auto"/>
        <w:jc w:val="both"/>
        <w:rPr>
          <w:rFonts w:ascii="Times New Roman" w:hAnsi="Times New Roman"/>
          <w:noProof/>
          <w:color w:val="000000"/>
          <w:sz w:val="24"/>
        </w:rPr>
      </w:pPr>
      <w:r>
        <w:rPr>
          <w:rFonts w:ascii="Times New Roman" w:hAnsi="Times New Roman"/>
          <w:noProof/>
          <w:color w:val="000000" w:themeColor="text1"/>
          <w:sz w:val="24"/>
        </w:rPr>
        <w:t>La réforme est mise en œuvre par la création d'un ensemble standard de valeurs de référence pour différents types de mesures d'économie d'énergie. Ces mesures n'ont plus besoin d'être contrôlées, ce qui facilite la participation au système des petites entités. Un autre élément de la réforme est l'inclusion, dans le régime d'obligations en matière d'efficacité énergétique, des compagnies de carburant qui mettent sur le marché des carburants liquides utilisés pour le transport. Ces entreprises mettent en œuvre des projets d'amélioration de l'efficacité énergétique, annulent</w:t>
      </w:r>
      <w:r>
        <w:rPr>
          <w:noProof/>
        </w:rPr>
        <w:t xml:space="preserve"> un</w:t>
      </w:r>
      <w:r>
        <w:rPr>
          <w:rFonts w:ascii="Times New Roman" w:hAnsi="Times New Roman"/>
          <w:noProof/>
          <w:color w:val="000000" w:themeColor="text1"/>
          <w:sz w:val="24"/>
        </w:rPr>
        <w:t xml:space="preserve"> nombre approprié de certificats blancs ou paient une redevance de substitution sous certaines conditions. La mise en œuvre de la réforme est achevée au plus tard le 30 juin 2022.</w:t>
      </w:r>
    </w:p>
    <w:p w14:paraId="1216B90B" w14:textId="77777777" w:rsidR="003C4798" w:rsidRDefault="003C4798">
      <w:pPr>
        <w:pStyle w:val="Normal0"/>
        <w:pBdr>
          <w:top w:val="nil"/>
          <w:left w:val="nil"/>
          <w:bottom w:val="nil"/>
          <w:right w:val="nil"/>
          <w:between w:val="nil"/>
        </w:pBdr>
        <w:spacing w:before="60" w:after="120" w:line="240" w:lineRule="auto"/>
        <w:jc w:val="both"/>
        <w:rPr>
          <w:rFonts w:ascii="Times New Roman" w:hAnsi="Times New Roman"/>
          <w:noProof/>
          <w:color w:val="000000"/>
          <w:sz w:val="24"/>
        </w:rPr>
      </w:pPr>
    </w:p>
    <w:p w14:paraId="1216B90C" w14:textId="77777777" w:rsidR="003C4798" w:rsidRDefault="00417595">
      <w:pPr>
        <w:pStyle w:val="P68B1DB1-Normal048"/>
        <w:pBdr>
          <w:top w:val="nil"/>
          <w:left w:val="nil"/>
          <w:bottom w:val="nil"/>
          <w:right w:val="nil"/>
          <w:between w:val="nil"/>
        </w:pBdr>
        <w:spacing w:before="60" w:after="120" w:line="240" w:lineRule="auto"/>
        <w:jc w:val="both"/>
        <w:rPr>
          <w:noProof/>
        </w:rPr>
      </w:pPr>
      <w:r>
        <w:rPr>
          <w:noProof/>
        </w:rPr>
        <w:t>B1.2.1 Efficacité énergétique et SER dans les entreprises – investissements présentant le potentiel de réduction des gaz à effet de serre le plus élevé</w:t>
      </w:r>
    </w:p>
    <w:p w14:paraId="1216B90D" w14:textId="59187CFA" w:rsidR="003C4798" w:rsidRDefault="00417595">
      <w:pPr>
        <w:pStyle w:val="P68B1DB1-Normal047"/>
        <w:pBdr>
          <w:top w:val="nil"/>
          <w:left w:val="nil"/>
          <w:bottom w:val="nil"/>
          <w:right w:val="nil"/>
          <w:between w:val="nil"/>
        </w:pBdr>
        <w:spacing w:before="60" w:after="120" w:line="240" w:lineRule="auto"/>
        <w:jc w:val="both"/>
        <w:rPr>
          <w:noProof/>
        </w:rPr>
      </w:pPr>
      <w:r>
        <w:rPr>
          <w:noProof/>
        </w:rPr>
        <w:t>L'investissement vise à réduire la consommation finale d'énergie et les émissions de gaz à effet de serre des entreprises.</w:t>
      </w:r>
    </w:p>
    <w:p w14:paraId="1216B90E" w14:textId="1B7F78C3" w:rsidR="003C4798" w:rsidRDefault="00417595">
      <w:pPr>
        <w:pStyle w:val="P68B1DB1-Normal047"/>
        <w:pBdr>
          <w:top w:val="nil"/>
          <w:left w:val="nil"/>
          <w:bottom w:val="nil"/>
          <w:right w:val="nil"/>
          <w:between w:val="nil"/>
        </w:pBdr>
        <w:spacing w:before="60" w:after="120" w:line="240" w:lineRule="auto"/>
        <w:jc w:val="both"/>
        <w:rPr>
          <w:noProof/>
        </w:rPr>
      </w:pPr>
      <w:r>
        <w:rPr>
          <w:noProof/>
        </w:rPr>
        <w:t>La mise en œuvre de solutions vertes dans les entreprises vise à se concentrer sur l'amélioration des processus industriels et énergétiques afin d'améliorer l'efficacité énergétique et de réduire l'intensité énergétique, conduisant à une réduction - et à une efficacité accrue - de la consommation d'énergie, ainsi qu'à des investissements dans les sources d'énergie renouvelables et à faibles émissions de carbone dans les entreprises.</w:t>
      </w:r>
    </w:p>
    <w:p w14:paraId="1216B90F" w14:textId="77777777" w:rsidR="003C4798" w:rsidRDefault="00417595">
      <w:pPr>
        <w:pStyle w:val="P68B1DB1-Normal049"/>
        <w:pBdr>
          <w:top w:val="nil"/>
          <w:left w:val="nil"/>
          <w:bottom w:val="nil"/>
          <w:right w:val="nil"/>
          <w:between w:val="nil"/>
        </w:pBdr>
        <w:spacing w:before="60" w:after="120" w:line="240" w:lineRule="auto"/>
        <w:jc w:val="both"/>
        <w:rPr>
          <w:noProof/>
        </w:rPr>
      </w:pPr>
      <w:r>
        <w:rPr>
          <w:noProof/>
          <w:color w:val="000000" w:themeColor="text1"/>
        </w:rPr>
        <w:t>L'investissement soutient notamment i) la construction, l'extension ou la modernisation d'installations industrielles et de production existantes, d'équipements industriels et d'installations électriques visant à améliorer leur efficacité énergétique; ii) la construction et l’installation de sources d’énergie renouvelables propres dans les entreprises, y compris les éoliennes, les capteurs solaires, les panneaux photovoltaïques, les systèmes géothermiques et les pompes à chaleur; iii) la construction d’installations de stockage d’énergie dans des entreprises en rapport avec la production d’énergie à partir de sources renouvelables; iv) construire/améliorer ses propres sources d’énergie (internes) à faible intensité de carbone, y compris la cogénération; v) accroître la part des carburants à émissions faibles ou nulles dans les procédés de fabrication, en respectant les normes d’émission les plus élevées; vi) remplacer les sources de chaleur à faible consommation d’énergie utilisant des combustibles (solides, liquides, gazeux) ou de l’électricité par des sources plus économes en énergie; vii) la thermomodernisation des bâtiments et des installations utilisés dans les procédés industriels. Les projets sont sélectionnés sur la base d'un concours</w:t>
      </w:r>
      <w:r>
        <w:rPr>
          <w:noProof/>
        </w:rPr>
        <w:t xml:space="preserve"> général, en tenant compte des critères suivants: i) état de préparation – maturité du projet en vue de sa mise en œuvre; ii) la cohérence avec les plans existants en matière de neutralité climatique; iii) le degré de réduction des émissions de CO2 et de PM 2,5 et PM10; iv) le degré de réduction de la consommation d’énergie primaire. </w:t>
      </w:r>
    </w:p>
    <w:p w14:paraId="1216B910" w14:textId="4BFDBB40" w:rsidR="003C4798" w:rsidRDefault="00417595">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rPr>
      </w:pPr>
      <w:r>
        <w:rPr>
          <w:rFonts w:ascii="Times New Roman" w:hAnsi="Times New Roman"/>
          <w:noProof/>
          <w:sz w:val="24"/>
        </w:rPr>
        <w:t>Afin de garantir que la mesure est conforme aux orientations techniques «Ne pas causer de préjudice important» (2021/C 58/01), les critères d’éligibilité contenus dans les termes de référence pour les prochains appels à projets excluent la liste d’activités suivante: i) les activités liées aux combustibles fossiles, y compris leur utilisation en aval;</w:t>
      </w:r>
      <w:r>
        <w:rPr>
          <w:rStyle w:val="FootnoteReference"/>
          <w:rFonts w:ascii="Times New Roman" w:hAnsi="Times New Roman"/>
          <w:noProof/>
          <w:sz w:val="24"/>
        </w:rPr>
        <w:footnoteReference w:id="28"/>
      </w:r>
      <w:r>
        <w:rPr>
          <w:rFonts w:ascii="Times New Roman" w:hAnsi="Times New Roman"/>
          <w:noProof/>
          <w:sz w:val="24"/>
        </w:rPr>
        <w:t xml:space="preserve"> ii) les activités menées dans le cadre du système d’échange de quotas d’émission de l’UE (SEQE) pour atteindre des émissions de gaz à effet de serre prévues qui ne sont pas inférieures aux référentiels pertinents;</w:t>
      </w:r>
      <w:r>
        <w:rPr>
          <w:rStyle w:val="FootnoteReference"/>
          <w:rFonts w:ascii="Times New Roman" w:hAnsi="Times New Roman"/>
          <w:noProof/>
          <w:sz w:val="24"/>
        </w:rPr>
        <w:footnoteReference w:id="29"/>
      </w:r>
      <w:r>
        <w:rPr>
          <w:rFonts w:ascii="Times New Roman" w:hAnsi="Times New Roman"/>
          <w:noProof/>
          <w:sz w:val="24"/>
        </w:rPr>
        <w:t xml:space="preserve"> iii) les activités liées aux décharges de déchets, aux incinérateurs</w:t>
      </w:r>
      <w:r>
        <w:rPr>
          <w:rStyle w:val="FootnoteReference"/>
          <w:rFonts w:ascii="Times New Roman" w:hAnsi="Times New Roman"/>
          <w:noProof/>
          <w:sz w:val="24"/>
        </w:rPr>
        <w:footnoteReference w:id="30"/>
      </w:r>
      <w:r>
        <w:rPr>
          <w:rFonts w:ascii="Times New Roman" w:hAnsi="Times New Roman"/>
          <w:noProof/>
          <w:sz w:val="24"/>
        </w:rPr>
        <w:t xml:space="preserve"> et aux usines de traitement biologique mécanique;</w:t>
      </w:r>
      <w:r>
        <w:rPr>
          <w:rStyle w:val="FootnoteReference"/>
          <w:rFonts w:ascii="Times New Roman" w:hAnsi="Times New Roman"/>
          <w:noProof/>
          <w:sz w:val="24"/>
        </w:rPr>
        <w:footnoteReference w:id="31"/>
      </w:r>
      <w:r>
        <w:rPr>
          <w:rFonts w:ascii="Times New Roman" w:hAnsi="Times New Roman"/>
          <w:noProof/>
          <w:sz w:val="24"/>
        </w:rPr>
        <w:t xml:space="preserve"> et iv) les activités dans lesquelles l’élimination à long terme des déchets peut nuire à l’environnement. Le mandat exige en outre que seules les activités conformes à la législation environnementale pertinente de l’Union et des États membres soient sélectionnées.</w:t>
      </w:r>
      <w:r>
        <w:rPr>
          <w:noProof/>
        </w:rPr>
        <w:t xml:space="preserve"> </w:t>
      </w:r>
      <w:r>
        <w:rPr>
          <w:rFonts w:ascii="Times New Roman" w:hAnsi="Times New Roman"/>
          <w:noProof/>
          <w:color w:val="000000" w:themeColor="text1"/>
          <w:sz w:val="24"/>
        </w:rPr>
        <w:t>La mise en œuvre de l’investissement est achevée au plus tard le 31 décembre 2023.</w:t>
      </w:r>
    </w:p>
    <w:p w14:paraId="1216B911" w14:textId="77777777" w:rsidR="003C4798" w:rsidRDefault="003C4798">
      <w:pPr>
        <w:pStyle w:val="Normal0"/>
        <w:pBdr>
          <w:top w:val="nil"/>
          <w:left w:val="nil"/>
          <w:bottom w:val="nil"/>
          <w:right w:val="nil"/>
          <w:between w:val="nil"/>
        </w:pBdr>
        <w:spacing w:before="60" w:after="120" w:line="240" w:lineRule="auto"/>
        <w:jc w:val="both"/>
        <w:rPr>
          <w:noProof/>
        </w:rPr>
      </w:pPr>
    </w:p>
    <w:p w14:paraId="1216B912" w14:textId="77777777" w:rsidR="003C4798" w:rsidRDefault="00417595">
      <w:pPr>
        <w:pStyle w:val="P68B1DB1-Normal048"/>
        <w:pBdr>
          <w:top w:val="nil"/>
          <w:left w:val="nil"/>
          <w:bottom w:val="nil"/>
          <w:right w:val="nil"/>
          <w:between w:val="nil"/>
        </w:pBdr>
        <w:spacing w:before="60" w:after="120" w:line="240" w:lineRule="auto"/>
        <w:jc w:val="both"/>
        <w:rPr>
          <w:noProof/>
        </w:rPr>
      </w:pPr>
      <w:r>
        <w:rPr>
          <w:noProof/>
        </w:rPr>
        <w:t>B2.3 Soutien aux investissements dans les parcs éoliens en mer</w:t>
      </w:r>
    </w:p>
    <w:p w14:paraId="1216B913" w14:textId="77777777" w:rsidR="003C4798" w:rsidRDefault="00417595">
      <w:pPr>
        <w:pStyle w:val="P68B1DB1-Normal037"/>
        <w:pBdr>
          <w:top w:val="nil"/>
          <w:left w:val="nil"/>
          <w:bottom w:val="nil"/>
          <w:right w:val="nil"/>
          <w:between w:val="nil"/>
        </w:pBdr>
        <w:spacing w:before="60" w:after="120" w:line="240" w:lineRule="auto"/>
        <w:jc w:val="both"/>
        <w:rPr>
          <w:noProof/>
        </w:rPr>
      </w:pPr>
      <w:r>
        <w:rPr>
          <w:noProof/>
        </w:rPr>
        <w:t xml:space="preserve">L’objectif de la réforme est de soutenir l’énergie éolienne en mer et de réduire l’incidence des contraintes d’allocation sur le marché de l’électricité. Cette mesure consiste à: (i) l’adoption de règlements concernant les centrales électriques en mer, (ii) la publication des résultats des enchères du ou des contrats d’écart compensatoire pour l’électricité produite à partir de capacités éoliennes en mer, (iii) la modification des règles du marché d’équilibrage afin d’inclure l’acquisition explicite de capacités d’équilibrage (réserves) avant le couplage unique à un jour (SDAC) et (iv) une étude sur les mesures visant à limiter les contraintes d’allocation dans le système électrique polonais. </w:t>
      </w:r>
    </w:p>
    <w:p w14:paraId="1216B914" w14:textId="77777777" w:rsidR="003C4798" w:rsidRDefault="003C4798">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szCs w:val="24"/>
        </w:rPr>
      </w:pPr>
    </w:p>
    <w:p w14:paraId="1216B915" w14:textId="77777777" w:rsidR="003C4798" w:rsidRDefault="00417595">
      <w:pPr>
        <w:pStyle w:val="P68B1DB1-Normal048"/>
        <w:pBdr>
          <w:top w:val="nil"/>
          <w:left w:val="nil"/>
          <w:bottom w:val="nil"/>
          <w:right w:val="nil"/>
          <w:between w:val="nil"/>
        </w:pBdr>
        <w:spacing w:before="60" w:after="120" w:line="240" w:lineRule="auto"/>
        <w:jc w:val="both"/>
        <w:rPr>
          <w:noProof/>
        </w:rPr>
      </w:pPr>
      <w:r>
        <w:rPr>
          <w:noProof/>
        </w:rPr>
        <w:t>B2.4 Cadre juridique pour le développement des installations de stockage d'énergie</w:t>
      </w:r>
    </w:p>
    <w:p w14:paraId="1216B916" w14:textId="77777777" w:rsidR="003C4798" w:rsidRDefault="00417595">
      <w:pPr>
        <w:pStyle w:val="P68B1DB1-Normal047"/>
        <w:pBdr>
          <w:top w:val="nil"/>
          <w:left w:val="nil"/>
          <w:bottom w:val="nil"/>
          <w:right w:val="nil"/>
          <w:between w:val="nil"/>
        </w:pBdr>
        <w:spacing w:before="60" w:after="120" w:line="240" w:lineRule="auto"/>
        <w:jc w:val="both"/>
        <w:rPr>
          <w:noProof/>
        </w:rPr>
      </w:pPr>
      <w:r>
        <w:rPr>
          <w:noProof/>
        </w:rPr>
        <w:t xml:space="preserve">L'objectif de la réforme est d'éliminer les obstacles juridiques existants au développement des technologies de stockage et de créer un environnement juridique stable pour le fonctionnement des activités de stockage. </w:t>
      </w:r>
    </w:p>
    <w:p w14:paraId="1216B917" w14:textId="77777777" w:rsidR="003C4798" w:rsidRDefault="00417595">
      <w:pPr>
        <w:pStyle w:val="P68B1DB1-Normal047"/>
        <w:pBdr>
          <w:top w:val="nil"/>
          <w:left w:val="nil"/>
          <w:bottom w:val="nil"/>
          <w:right w:val="nil"/>
          <w:between w:val="nil"/>
        </w:pBdr>
        <w:spacing w:before="60" w:after="120" w:line="240" w:lineRule="auto"/>
        <w:jc w:val="both"/>
        <w:rPr>
          <w:noProof/>
        </w:rPr>
      </w:pPr>
      <w:r>
        <w:rPr>
          <w:noProof/>
        </w:rPr>
        <w:t>La réforme exempte, entre autres, le stockage de l’électricité de l’obligation tarifaire et supprime la double tarification des redevances de réseau. Elle subordonne l’obligation d’obtenir une concession/une inscription au registre à la capacité totale de stockage d’électricité installée, quelle que soit sa capacité. Le cadre tarifaire proposé pour le stockage doit être non discriminatoire et refléter les coûts.</w:t>
      </w:r>
    </w:p>
    <w:p w14:paraId="1216B918" w14:textId="77777777" w:rsidR="003C4798" w:rsidRDefault="00417595">
      <w:pPr>
        <w:pStyle w:val="P68B1DB1-Normal047"/>
        <w:pBdr>
          <w:top w:val="nil"/>
          <w:left w:val="nil"/>
          <w:bottom w:val="nil"/>
          <w:right w:val="nil"/>
          <w:between w:val="nil"/>
        </w:pBdr>
        <w:spacing w:before="60" w:after="120" w:line="240" w:lineRule="auto"/>
        <w:jc w:val="both"/>
        <w:rPr>
          <w:noProof/>
        </w:rPr>
      </w:pPr>
      <w:r>
        <w:rPr>
          <w:noProof/>
        </w:rPr>
        <w:t>La mise en œuvre de la réforme devait être achevée au plus tard le 30 juin 2021.</w:t>
      </w:r>
    </w:p>
    <w:p w14:paraId="1216B919" w14:textId="77777777" w:rsidR="003C4798" w:rsidRDefault="003C4798">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rPr>
      </w:pPr>
    </w:p>
    <w:p w14:paraId="1216B91A" w14:textId="77777777" w:rsidR="003C4798" w:rsidRDefault="00417595">
      <w:pPr>
        <w:pStyle w:val="P68B1DB1-Normal048"/>
        <w:pBdr>
          <w:top w:val="nil"/>
          <w:left w:val="nil"/>
          <w:bottom w:val="nil"/>
          <w:right w:val="nil"/>
          <w:between w:val="nil"/>
        </w:pBdr>
        <w:spacing w:before="60" w:after="120" w:line="240" w:lineRule="auto"/>
        <w:jc w:val="both"/>
        <w:rPr>
          <w:noProof/>
          <w:color w:val="000000" w:themeColor="text1"/>
        </w:rPr>
      </w:pPr>
      <w:r>
        <w:rPr>
          <w:noProof/>
        </w:rPr>
        <w:t>B3.2 Appui à la restauration de l ' environnement et à la protection contre les substances dangereuses</w:t>
      </w:r>
    </w:p>
    <w:p w14:paraId="1216B91B" w14:textId="77777777" w:rsidR="003C4798" w:rsidRDefault="00417595">
      <w:pPr>
        <w:pStyle w:val="P68B1DB1-Normal037"/>
        <w:pBdr>
          <w:top w:val="nil"/>
          <w:left w:val="nil"/>
          <w:bottom w:val="nil"/>
          <w:right w:val="nil"/>
          <w:between w:val="nil"/>
        </w:pBdr>
        <w:spacing w:before="120" w:after="120" w:line="240" w:lineRule="auto"/>
        <w:jc w:val="both"/>
        <w:rPr>
          <w:noProof/>
        </w:rPr>
      </w:pPr>
      <w:r>
        <w:rPr>
          <w:noProof/>
        </w:rPr>
        <w:t>L’objectif de la réforme est de réduire les incidences négatives sur l’environnement des grandes zones postindustrielles et des matières dangereuses qui subsistent dans les zones marines polonaises. Cette mesure consiste en des modifications juridiques visant à faciliter l’élimination complète des incidences négatives sur l’environnement de certaines grandes zones postindustrielles ainsi qu’en des modifications juridiques dans le domaine de la manipulation de matières dangereuses.</w:t>
      </w:r>
    </w:p>
    <w:p w14:paraId="1216B91C"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91D"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B3.2.1 Investissements dans la neutralisation des risques et la restauration des sites onshore et offshore</w:t>
      </w:r>
    </w:p>
    <w:p w14:paraId="1216B91E" w14:textId="77777777" w:rsidR="003C4798" w:rsidRDefault="00417595">
      <w:pPr>
        <w:pStyle w:val="P68B1DB1-Normal047"/>
        <w:pBdr>
          <w:top w:val="nil"/>
          <w:left w:val="nil"/>
          <w:bottom w:val="nil"/>
          <w:right w:val="nil"/>
          <w:between w:val="nil"/>
        </w:pBdr>
        <w:spacing w:before="120" w:after="120" w:line="240" w:lineRule="auto"/>
        <w:jc w:val="both"/>
        <w:rPr>
          <w:noProof/>
        </w:rPr>
      </w:pPr>
      <w:r>
        <w:rPr>
          <w:noProof/>
        </w:rPr>
        <w:t>L’objectif de l’investissement est d’éliminer la menace pour la santé et la vie humaines que représente la présence de polluants ou de substances dangereuses dans les sites terrestres et en mer. Cette mesure consiste en la publication de documents pour les investissements liés à des sites terrestres et en mer prédéfinis en République de Pologne qui sont exposés à la présence de polluants ou de substances dangereuses.</w:t>
      </w:r>
    </w:p>
    <w:p w14:paraId="1216B920" w14:textId="77777777" w:rsidR="003C4798" w:rsidRDefault="00417595">
      <w:pPr>
        <w:pStyle w:val="P68B1DB1-Normal048"/>
        <w:pBdr>
          <w:top w:val="nil"/>
          <w:left w:val="nil"/>
          <w:bottom w:val="nil"/>
          <w:right w:val="nil"/>
          <w:between w:val="nil"/>
        </w:pBdr>
        <w:spacing w:before="120" w:after="120" w:line="240" w:lineRule="auto"/>
        <w:jc w:val="both"/>
        <w:rPr>
          <w:noProof/>
        </w:rPr>
      </w:pPr>
      <w:r>
        <w:rPr>
          <w:noProof/>
        </w:rPr>
        <w:t>B3.3 Appui à la gestion durable des ressources en eau dans l'agriculture et les zones rurales</w:t>
      </w:r>
    </w:p>
    <w:p w14:paraId="1216B921" w14:textId="77777777" w:rsidR="003C4798" w:rsidRDefault="00417595">
      <w:pPr>
        <w:pStyle w:val="P68B1DB1-Normal047"/>
        <w:pBdr>
          <w:top w:val="nil"/>
          <w:left w:val="nil"/>
          <w:bottom w:val="nil"/>
          <w:right w:val="nil"/>
          <w:between w:val="nil"/>
        </w:pBdr>
        <w:spacing w:before="120" w:after="120" w:line="240" w:lineRule="auto"/>
        <w:jc w:val="both"/>
        <w:rPr>
          <w:noProof/>
          <w:color w:val="000000"/>
        </w:rPr>
      </w:pPr>
      <w:r>
        <w:rPr>
          <w:noProof/>
        </w:rPr>
        <w:t>L'objectif de la réforme est d'améliorer les conditions d'investissement dans les zones rurales en matière de gestion de l'eau et d'utilisation efficace des ressources. La réforme contribue à accroître la résilience de l’agriculture face à la sécheresse et à la prévention des inondations dans les zones agricoles; améliorer l'utilisation rationnelle de l'eau en régulant correctement les relations hydriques dans les zones agricoles et en réduisant le ruissellement; et l'augmentation de la rétention d'eau.</w:t>
      </w:r>
    </w:p>
    <w:p w14:paraId="1216B922" w14:textId="77777777" w:rsidR="003C4798" w:rsidRDefault="00417595">
      <w:pPr>
        <w:pStyle w:val="P68B1DB1-Normal049"/>
        <w:pBdr>
          <w:top w:val="nil"/>
          <w:left w:val="nil"/>
          <w:bottom w:val="nil"/>
          <w:right w:val="nil"/>
          <w:between w:val="nil"/>
        </w:pBdr>
        <w:spacing w:before="120" w:after="120" w:line="240" w:lineRule="auto"/>
        <w:jc w:val="both"/>
        <w:rPr>
          <w:noProof/>
          <w:color w:val="000000" w:themeColor="text1"/>
        </w:rPr>
      </w:pPr>
      <w:r>
        <w:rPr>
          <w:noProof/>
          <w:color w:val="000000" w:themeColor="text1"/>
        </w:rPr>
        <w:t>La réforme consiste en des modifications de la législation nationale nécessaires pour améliorer les conditions d'une gestion résiliente de l'eau dans les zones agricoles et</w:t>
      </w:r>
      <w:r>
        <w:rPr>
          <w:noProof/>
        </w:rPr>
        <w:t xml:space="preserve"> rurales. Les modifications facilitent la préparation et la mise en œuvre d’investissements concernant la rétention d’eau et l’arrêt de son drainage des terres agricoles, y compris en particulier les investissements liés à la reconstruction et à la reconstruction des dispositifs de drainage afin qu’ils remplissent la fonction de rétention et protègent ainsi les terres agricoles contre la sécheresse et limitent le risque d’inondations. </w:t>
      </w:r>
    </w:p>
    <w:p w14:paraId="1216B923" w14:textId="77777777" w:rsidR="003C4798" w:rsidRDefault="00417595">
      <w:pPr>
        <w:pStyle w:val="P68B1DB1-Normal049"/>
        <w:pBdr>
          <w:top w:val="nil"/>
          <w:left w:val="nil"/>
          <w:bottom w:val="nil"/>
          <w:right w:val="nil"/>
          <w:between w:val="nil"/>
        </w:pBdr>
        <w:spacing w:before="120" w:after="120" w:line="240" w:lineRule="auto"/>
        <w:jc w:val="both"/>
        <w:rPr>
          <w:noProof/>
          <w:color w:val="000000" w:themeColor="text1"/>
        </w:rPr>
      </w:pPr>
      <w:r>
        <w:rPr>
          <w:noProof/>
        </w:rPr>
        <w:t>La réforme est conforme aux exigences énoncées dans les orientations techniques «Ne pas causer de préjudice important» (2021/C 58/01), en particulier, elle garantit le respect de la législation environnementale de l’Union, y compris la directive EIE (2011/92/UE) et la directive-cadre sur l’eau (2000/60/CE).</w:t>
      </w:r>
    </w:p>
    <w:p w14:paraId="1216B924" w14:textId="77777777" w:rsidR="003C4798" w:rsidRDefault="00417595">
      <w:pPr>
        <w:pStyle w:val="P68B1DB1-Normal049"/>
        <w:pBdr>
          <w:top w:val="nil"/>
          <w:left w:val="nil"/>
          <w:bottom w:val="nil"/>
          <w:right w:val="nil"/>
          <w:between w:val="nil"/>
        </w:pBdr>
        <w:spacing w:before="120" w:after="120" w:line="240" w:lineRule="auto"/>
        <w:jc w:val="both"/>
        <w:rPr>
          <w:noProof/>
          <w:color w:val="000000"/>
        </w:rPr>
      </w:pPr>
      <w:r>
        <w:rPr>
          <w:noProof/>
        </w:rPr>
        <w:t>Les modifications n'entraînent aucune détérioration</w:t>
      </w:r>
      <w:r>
        <w:rPr>
          <w:noProof/>
          <w:color w:val="000000" w:themeColor="text1"/>
        </w:rPr>
        <w:t xml:space="preserve"> du niveau de conformité avec la législation environnementale de l'UE, en particulier en ce qui concerne les investissements considérés comme importants ou potentiellement importants en vertu du règlement du Conseil des ministres sur les projets susceptibles d'avoir une incidence significative sur l'environnement et les investissements dans les zones Natura 2000 ou ayant une incidence sur celles-ci. En outre, les modifications ne modifient pas les règles actuellement contraignantes en matière de prise d’eau.</w:t>
      </w:r>
    </w:p>
    <w:p w14:paraId="1216B925" w14:textId="77777777" w:rsidR="003C4798" w:rsidRDefault="00417595">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La mise en œuvre de la réforme est achevée au plus tard le 30 juin 2022.</w:t>
      </w:r>
    </w:p>
    <w:p w14:paraId="1216B926"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927" w14:textId="77777777" w:rsidR="003C4798" w:rsidRDefault="00417595">
      <w:pPr>
        <w:pStyle w:val="P68B1DB1-Normal048"/>
        <w:pBdr>
          <w:top w:val="nil"/>
          <w:left w:val="nil"/>
          <w:bottom w:val="nil"/>
          <w:right w:val="nil"/>
          <w:between w:val="nil"/>
        </w:pBdr>
        <w:spacing w:before="120" w:after="120" w:line="240" w:lineRule="auto"/>
        <w:jc w:val="both"/>
        <w:rPr>
          <w:noProof/>
        </w:rPr>
      </w:pPr>
      <w:r>
        <w:rPr>
          <w:noProof/>
        </w:rPr>
        <w:t>B3.3.1 Investissements visant à accroître le potentiel de gestion durable de l'eau dans les zones rurales</w:t>
      </w:r>
    </w:p>
    <w:p w14:paraId="1216B928" w14:textId="77777777" w:rsidR="003C4798" w:rsidRDefault="00417595">
      <w:pPr>
        <w:pStyle w:val="P68B1DB1-Normal050"/>
        <w:pBdr>
          <w:top w:val="nil"/>
          <w:left w:val="nil"/>
          <w:bottom w:val="nil"/>
          <w:right w:val="nil"/>
          <w:between w:val="nil"/>
        </w:pBdr>
        <w:spacing w:before="120" w:after="120" w:line="240" w:lineRule="auto"/>
        <w:jc w:val="both"/>
        <w:rPr>
          <w:noProof/>
        </w:rPr>
      </w:pPr>
      <w:r>
        <w:rPr>
          <w:noProof/>
        </w:rPr>
        <w:t>L’objectif de l’investissement est de soutenir les investissements dans les zones rurales en vue d’améliorer la gestion de l’eau et l’utilisation efficace des ressources.</w:t>
      </w:r>
    </w:p>
    <w:p w14:paraId="1216B929" w14:textId="107A260F" w:rsidR="003C4798" w:rsidRDefault="00417595">
      <w:pPr>
        <w:pStyle w:val="P68B1DB1-Normal050"/>
        <w:pBdr>
          <w:top w:val="nil"/>
          <w:left w:val="nil"/>
          <w:bottom w:val="nil"/>
          <w:right w:val="nil"/>
          <w:between w:val="nil"/>
        </w:pBdr>
        <w:spacing w:before="120" w:after="120" w:line="240" w:lineRule="auto"/>
        <w:jc w:val="both"/>
        <w:rPr>
          <w:noProof/>
        </w:rPr>
      </w:pPr>
      <w:r>
        <w:rPr>
          <w:noProof/>
        </w:rPr>
        <w:t>L’investissement contribue à accroître la résilience de l’agriculture face à la sécheresse et à la prévention des inondations dans les zones agricoles; améliorer l'utilisation rationnelle de l'eau en régulant correctement les relations hydriques dans les zones agricoles et en réduisant le ruissellement; et l’augmentation de la rétention d’eau, à condition que leurs besoins et leur nature soient justifiés de manière appropriée. La priorité est accordée aux solutions résilientes au changement climatique et fondées sur la nature. Les projets relevant de la présente mesure font l’objet d’une évaluation des incidences sur l’environnement (EIE) et sont conformes aux exigences énoncées dans les orientations techniques sur le principe consistant à «ne pas causer de préjudice important» [C(2023) 6454 final]. Le respect de la législation environnementale de l'UE, y compris la directive EIE (2011/92/UE) et la directive-cadre sur l'eau (2000/60/CE), doit être assuré. Tous les projets d’investissement financés au titre de ce volet qui nécessitent une décision d’EIE sont conformes à la directive 2011/92/UE telle que modifiée par la directive 2014/52/UE. Plus précisément, tous les nouveaux projets nécessitant une EIE sont autorisés en vertu de la loi sur la communication d’informations sur l’environnement et sa protection, la participation du public à la protection de l’environnement et l’évaluation des incidences sur l’environnement, telle que modifiée par la loi du 30 mars 2021 modifiant cette loi et certains autres actes. Les dispositions des «Lignes directrices relatives aux actions correctives pour les projets cofinancés par des fonds de l’UE affectés par l’infraction 2016/2046», telles que communiquées à la Pologne le 23 février 2021 [réf. Ares(2021)1423319), sont prises en compte pour la mise en œuvre de tous les projets d’investissement pour lesquels une décision environnementale ou un permis de construire ou de développement a été demandé ou délivré avant l’entrée en vigueur de la loi du 30 mars 2021. Seuls les projets qui n’entraînent pas de détérioration de l’état des eaux de surface et des eaux souterraines et qui n’empêchent pas l’amélioration de l’état écologique ou du potentiel des masses d’eau touchées sont soutenus.</w:t>
      </w:r>
    </w:p>
    <w:p w14:paraId="1216B92A" w14:textId="77777777" w:rsidR="003C4798" w:rsidRDefault="00417595">
      <w:pPr>
        <w:pStyle w:val="P68B1DB1-Normal050"/>
        <w:pBdr>
          <w:top w:val="nil"/>
          <w:left w:val="nil"/>
          <w:bottom w:val="nil"/>
          <w:right w:val="nil"/>
          <w:between w:val="nil"/>
        </w:pBdr>
        <w:spacing w:before="120" w:after="120" w:line="240" w:lineRule="auto"/>
        <w:jc w:val="both"/>
        <w:rPr>
          <w:noProof/>
        </w:rPr>
      </w:pPr>
      <w:r>
        <w:rPr>
          <w:noProof/>
        </w:rPr>
        <w:t xml:space="preserve">Tout investissement ayant des effets négatifs sur la nature est exclu du soutien. En cas de captage d’eau, une autorisation appropriée doit être accordée par l’autorité compétente, garantissant que les masses d’eau concernées sont dans un bon état écologique et précisant les conditions permettant d’éviter leur détérioration, conformément aux exigences de la directive 2000/60/CE et aux orientations techniques sur le principe consistant à «ne pas causer de préjudice important», et attestée par les dernières données justificatives pertinentes. Le captage d’eau est évité lorsque les masses d’eau concernées (eaux de surface ou souterraines) sont ou devraient (dans le contexte de l’intensification du changement climatique) être dans un état ou un potentiel moins que bon. Les mesures sont également conformes aux dispositions de la directive 2009/147/CE concernant la conservation des oiseaux sauvages (directive «Oiseaux») et de la directive 92/43/CEE concernant la conservation des habitats naturels ainsi que de la faune et de la flore sauvages (directive «Habitats»). </w:t>
      </w:r>
    </w:p>
    <w:p w14:paraId="1216B92B" w14:textId="77777777" w:rsidR="003C4798" w:rsidRDefault="00417595">
      <w:pPr>
        <w:pStyle w:val="P68B1DB1-Normal050"/>
        <w:pBdr>
          <w:top w:val="nil"/>
          <w:left w:val="nil"/>
          <w:bottom w:val="nil"/>
          <w:right w:val="nil"/>
          <w:between w:val="nil"/>
        </w:pBdr>
        <w:spacing w:before="120" w:after="120" w:line="240" w:lineRule="auto"/>
        <w:jc w:val="both"/>
        <w:rPr>
          <w:noProof/>
        </w:rPr>
      </w:pPr>
      <w:r>
        <w:rPr>
          <w:noProof/>
        </w:rPr>
        <w:t>La mise en œuvre de l’investissement est achevée au plus tard le 31 décembre 2025.</w:t>
      </w:r>
    </w:p>
    <w:p w14:paraId="4F4C1A54"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noProof/>
          <w:sz w:val="24"/>
          <w:szCs w:val="24"/>
        </w:rPr>
      </w:pPr>
    </w:p>
    <w:p w14:paraId="1216B92C" w14:textId="77777777" w:rsidR="003C4798" w:rsidRDefault="00417595">
      <w:pPr>
        <w:pStyle w:val="P68B1DB1-Normal048"/>
        <w:pBdr>
          <w:top w:val="nil"/>
          <w:left w:val="nil"/>
          <w:bottom w:val="nil"/>
          <w:right w:val="nil"/>
          <w:between w:val="nil"/>
        </w:pBdr>
        <w:spacing w:before="120" w:after="120" w:line="240" w:lineRule="auto"/>
        <w:rPr>
          <w:rFonts w:eastAsia="Times New Roman" w:cs="Times New Roman"/>
          <w:noProof/>
          <w:color w:val="006100"/>
        </w:rPr>
      </w:pPr>
      <w:r>
        <w:rPr>
          <w:noProof/>
        </w:rPr>
        <w:t>B3.4 Cadre propice aux investissements en faveur de la transition écologique dans les zones urbaines</w:t>
      </w:r>
    </w:p>
    <w:p w14:paraId="1216B92D" w14:textId="77777777" w:rsidR="003C4798" w:rsidRDefault="00417595">
      <w:pPr>
        <w:pStyle w:val="P68B1DB1-Normal047"/>
        <w:pBdr>
          <w:top w:val="nil"/>
          <w:left w:val="nil"/>
          <w:bottom w:val="nil"/>
          <w:right w:val="nil"/>
          <w:between w:val="nil"/>
        </w:pBdr>
        <w:spacing w:before="120" w:after="120" w:line="240" w:lineRule="auto"/>
        <w:jc w:val="both"/>
        <w:rPr>
          <w:noProof/>
          <w:color w:val="000000"/>
        </w:rPr>
      </w:pPr>
      <w:r>
        <w:rPr>
          <w:noProof/>
        </w:rPr>
        <w:t>L’objectif de la réforme est de soutenir la capacité des villes à hiérarchiser, planifier, exécuter et financer des projets d’investissement visant à atténuer le changement climatique et à s’y adapter, conformément au pacte vert pour l’Europe. La réforme et les investissements associés visent notamment à accroître la part des espaces verts dans les villes.</w:t>
      </w:r>
    </w:p>
    <w:p w14:paraId="1216B92E" w14:textId="77777777" w:rsidR="003C4798" w:rsidRDefault="00417595">
      <w:pPr>
        <w:pStyle w:val="P68B1DB1-Normal049"/>
        <w:pBdr>
          <w:top w:val="nil"/>
          <w:left w:val="nil"/>
          <w:bottom w:val="nil"/>
          <w:right w:val="nil"/>
          <w:between w:val="nil"/>
        </w:pBdr>
        <w:spacing w:before="120" w:after="120" w:line="240" w:lineRule="auto"/>
        <w:jc w:val="both"/>
        <w:rPr>
          <w:noProof/>
          <w:color w:val="000000"/>
        </w:rPr>
      </w:pPr>
      <w:r>
        <w:rPr>
          <w:noProof/>
        </w:rPr>
        <w:t>Un ensemble</w:t>
      </w:r>
      <w:r>
        <w:rPr>
          <w:noProof/>
          <w:color w:val="000000" w:themeColor="text1"/>
        </w:rPr>
        <w:t xml:space="preserve"> de modifications législatives garantit que les aspects de durabilité sont intégrés dans les procédures de planification urbaine et que les parties prenantes sont consultées dans le cadre de ces procédures. En outre, il convient de veiller à ce que les autorités locales reçoivent un soutien approprié en matière de capacités pour hiérarchiser, planifier et exécuter des projets d’atténuation du changement climatique et d’adaptation à celui-ci. Ces éléments réglementaires et de renforcement des capacités sont complétés par la mise en place d’un instrument spécifique visant à fournir un financement pour les investissements dans la transition écologique dans les zones urbaines.</w:t>
      </w:r>
    </w:p>
    <w:p w14:paraId="1216B92F" w14:textId="77777777" w:rsidR="003C4798" w:rsidRDefault="00417595">
      <w:pPr>
        <w:pStyle w:val="Normal0"/>
        <w:spacing w:before="120"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Afin de garantir que la mesure est conforme aux orientations techniques «Ne pas causer de préjudice important» (2021/C58/01), les critères d’éligibilité des projets excluent la liste d’activités suivante: i) les activités liées aux combustibles fossiles, y compris leur utilisation en aval;</w:t>
      </w:r>
      <w:r>
        <w:rPr>
          <w:rStyle w:val="FootnoteReference"/>
          <w:rFonts w:ascii="Times New Roman" w:hAnsi="Times New Roman"/>
          <w:noProof/>
          <w:color w:val="000000" w:themeColor="text1"/>
          <w:sz w:val="24"/>
        </w:rPr>
        <w:footnoteReference w:id="32"/>
      </w:r>
      <w:r>
        <w:rPr>
          <w:rFonts w:ascii="Times New Roman" w:hAnsi="Times New Roman"/>
          <w:noProof/>
          <w:color w:val="000000" w:themeColor="text1"/>
          <w:sz w:val="24"/>
        </w:rPr>
        <w:t xml:space="preserve"> ii) les activités menées dans le cadre du système d’échange de quotas d’émission de l’UE (SEQE) pour atteindre des émissions de gaz à effet de serre prévues qui ne sont pas inférieures aux référentiels pertinents;</w:t>
      </w:r>
      <w:r>
        <w:rPr>
          <w:rStyle w:val="FootnoteReference"/>
          <w:rFonts w:ascii="Times New Roman" w:hAnsi="Times New Roman"/>
          <w:noProof/>
          <w:color w:val="000000" w:themeColor="text1"/>
          <w:sz w:val="24"/>
        </w:rPr>
        <w:footnoteReference w:id="33"/>
      </w:r>
      <w:r>
        <w:rPr>
          <w:rFonts w:ascii="Times New Roman" w:hAnsi="Times New Roman"/>
          <w:noProof/>
          <w:color w:val="000000" w:themeColor="text1"/>
          <w:sz w:val="24"/>
        </w:rPr>
        <w:t xml:space="preserve"> iii) les activités liées aux décharges de déchets, aux incinérateurs</w:t>
      </w:r>
      <w:r>
        <w:rPr>
          <w:rStyle w:val="FootnoteReference"/>
          <w:rFonts w:ascii="Times New Roman" w:hAnsi="Times New Roman"/>
          <w:noProof/>
          <w:color w:val="000000" w:themeColor="text1"/>
          <w:sz w:val="24"/>
        </w:rPr>
        <w:footnoteReference w:id="34"/>
      </w:r>
      <w:r>
        <w:rPr>
          <w:rFonts w:ascii="Times New Roman" w:hAnsi="Times New Roman"/>
          <w:noProof/>
          <w:color w:val="000000" w:themeColor="text1"/>
          <w:sz w:val="24"/>
        </w:rPr>
        <w:t xml:space="preserve"> et aux usines de traitement biologique mécanique;</w:t>
      </w:r>
      <w:r>
        <w:rPr>
          <w:rStyle w:val="FootnoteReference"/>
          <w:rFonts w:ascii="Times New Roman" w:hAnsi="Times New Roman"/>
          <w:noProof/>
          <w:color w:val="000000" w:themeColor="text1"/>
          <w:sz w:val="24"/>
        </w:rPr>
        <w:footnoteReference w:id="35"/>
      </w:r>
      <w:r>
        <w:rPr>
          <w:rFonts w:ascii="Times New Roman" w:hAnsi="Times New Roman"/>
          <w:noProof/>
          <w:color w:val="000000" w:themeColor="text1"/>
          <w:sz w:val="24"/>
        </w:rPr>
        <w:t xml:space="preserve"> et iv) les activités dans lesquelles l’élimination à long terme des déchets peut nuire à l’environnement. Le mandat exige en outre que seules les activités conformes à la législation environnementale pertinente de l’Union et des États membres puissent être sélectionnées.</w:t>
      </w:r>
    </w:p>
    <w:p w14:paraId="1216B931" w14:textId="359AF1A4" w:rsidR="003C4798" w:rsidRDefault="00417595">
      <w:pPr>
        <w:pStyle w:val="P68B1DB1-Normal047"/>
        <w:pBdr>
          <w:top w:val="nil"/>
          <w:left w:val="nil"/>
          <w:bottom w:val="nil"/>
          <w:right w:val="nil"/>
          <w:between w:val="nil"/>
        </w:pBdr>
        <w:spacing w:before="120" w:after="120" w:line="240" w:lineRule="auto"/>
        <w:rPr>
          <w:rFonts w:eastAsia="Times New Roman" w:cs="Times New Roman"/>
          <w:noProof/>
          <w:color w:val="000000"/>
        </w:rPr>
      </w:pPr>
      <w:r>
        <w:rPr>
          <w:noProof/>
        </w:rPr>
        <w:t>Le Fonds pour la transition urbaine verte est mis en place au plus tard le 30 juin 2022.</w:t>
      </w:r>
    </w:p>
    <w:p w14:paraId="1216B932" w14:textId="77777777" w:rsidR="003C4798" w:rsidRDefault="00417595">
      <w:pPr>
        <w:pStyle w:val="P68B1DB1-Normal036"/>
        <w:pBdr>
          <w:top w:val="nil"/>
          <w:left w:val="nil"/>
          <w:bottom w:val="nil"/>
          <w:right w:val="nil"/>
          <w:between w:val="nil"/>
        </w:pBdr>
        <w:spacing w:before="120" w:after="120" w:line="240" w:lineRule="auto"/>
        <w:rPr>
          <w:rFonts w:eastAsia="Times New Roman" w:cs="Times New Roman"/>
          <w:bCs/>
          <w:noProof/>
          <w:color w:val="000000"/>
        </w:rPr>
      </w:pPr>
      <w:r>
        <w:rPr>
          <w:noProof/>
        </w:rPr>
        <w:t>B3.4.1 Investissements dans une transformation écologique des villes</w:t>
      </w:r>
    </w:p>
    <w:p w14:paraId="1216B933" w14:textId="77777777" w:rsidR="003C4798" w:rsidRDefault="00417595">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L’objectif de l’investissement est de soutenir la transition écologique dans les zones urbaines. Cette mesure consiste à soutenir des projets dans les villes au titre de l’instrument de transformation urbaine verte.</w:t>
      </w:r>
    </w:p>
    <w:p w14:paraId="1216B934"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u w:val="single"/>
        </w:rPr>
      </w:pPr>
    </w:p>
    <w:p w14:paraId="1216B935"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rPr>
      </w:pPr>
      <w:r>
        <w:rPr>
          <w:noProof/>
        </w:rPr>
        <w:t>B3.5 Réforme de la construction de logements pour les personnes à faible revenu et à revenu moyen, compte tenu de l'efficacité énergétique accrue des bâtiments</w:t>
      </w:r>
    </w:p>
    <w:p w14:paraId="1216B936" w14:textId="77777777" w:rsidR="003C4798" w:rsidRDefault="00417595">
      <w:pPr>
        <w:pStyle w:val="P68B1DB1-Normal047"/>
        <w:pBdr>
          <w:top w:val="nil"/>
          <w:left w:val="nil"/>
          <w:bottom w:val="nil"/>
          <w:right w:val="nil"/>
          <w:between w:val="nil"/>
        </w:pBdr>
        <w:spacing w:before="120" w:after="120" w:line="240" w:lineRule="auto"/>
        <w:jc w:val="both"/>
        <w:rPr>
          <w:noProof/>
        </w:rPr>
      </w:pPr>
      <w:r>
        <w:rPr>
          <w:noProof/>
        </w:rPr>
        <w:t>L’objectif de la réforme est d’accroître l’offre de logements économes en énergie pour les ménages à revenu faible et moyen.</w:t>
      </w:r>
    </w:p>
    <w:p w14:paraId="1216B937" w14:textId="77777777" w:rsidR="003C4798" w:rsidRDefault="00417595">
      <w:pPr>
        <w:pStyle w:val="P68B1DB1-Normal047"/>
        <w:pBdr>
          <w:top w:val="nil"/>
          <w:left w:val="nil"/>
          <w:bottom w:val="nil"/>
          <w:right w:val="nil"/>
          <w:between w:val="nil"/>
        </w:pBdr>
        <w:spacing w:before="120" w:after="120" w:line="240" w:lineRule="auto"/>
        <w:jc w:val="both"/>
        <w:rPr>
          <w:noProof/>
        </w:rPr>
      </w:pPr>
      <w:r>
        <w:rPr>
          <w:noProof/>
        </w:rPr>
        <w:t>Cet objectif est atteint en augmentant le taux de cofinancement public pour les bâtiments qui répondent à des normes d’efficacité énergétique 20 % plus ambitieuses que la norme minimale d’efficacité énergétique en vigueur en Pologne (norme relative aux bâtiments à consommation d’énergie quasi nulle, NZEB).</w:t>
      </w:r>
    </w:p>
    <w:p w14:paraId="1216B938" w14:textId="77777777" w:rsidR="003C4798" w:rsidRDefault="00417595">
      <w:pPr>
        <w:pStyle w:val="P68B1DB1-Normal047"/>
        <w:pBdr>
          <w:top w:val="nil"/>
          <w:left w:val="nil"/>
          <w:bottom w:val="nil"/>
          <w:right w:val="nil"/>
          <w:between w:val="nil"/>
        </w:pBdr>
        <w:spacing w:before="120" w:after="120" w:line="240" w:lineRule="auto"/>
        <w:rPr>
          <w:noProof/>
        </w:rPr>
      </w:pPr>
      <w:r>
        <w:rPr>
          <w:noProof/>
        </w:rPr>
        <w:t>La réforme est achevée au plus tard le 30 juin 2022.</w:t>
      </w:r>
      <w:r>
        <w:rPr>
          <w:noProof/>
        </w:rPr>
        <w:br/>
      </w:r>
    </w:p>
    <w:p w14:paraId="1216B939" w14:textId="4011C998"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rPr>
      </w:pPr>
      <w:r>
        <w:rPr>
          <w:noProof/>
        </w:rPr>
        <w:t xml:space="preserve">B3.5.1 Investissements dans des projets de logement </w:t>
      </w:r>
    </w:p>
    <w:p w14:paraId="1216B93A" w14:textId="77777777" w:rsidR="003C4798" w:rsidRDefault="00417595">
      <w:pPr>
        <w:pStyle w:val="P68B1DB1-Normal037"/>
        <w:pBdr>
          <w:top w:val="nil"/>
          <w:left w:val="nil"/>
          <w:bottom w:val="nil"/>
          <w:right w:val="nil"/>
          <w:between w:val="nil"/>
        </w:pBdr>
        <w:spacing w:before="120" w:after="120" w:line="240" w:lineRule="auto"/>
        <w:jc w:val="both"/>
        <w:rPr>
          <w:noProof/>
        </w:rPr>
      </w:pPr>
      <w:r>
        <w:rPr>
          <w:noProof/>
        </w:rPr>
        <w:t>L'objectif de l'investissement est d'augmenter l'offre de logements.</w:t>
      </w:r>
    </w:p>
    <w:p w14:paraId="1216B93B" w14:textId="56518D1F" w:rsidR="003C4798" w:rsidRDefault="00417595">
      <w:pPr>
        <w:pStyle w:val="P68B1DB1-Normal037"/>
        <w:pBdr>
          <w:top w:val="nil"/>
          <w:left w:val="nil"/>
          <w:bottom w:val="nil"/>
          <w:right w:val="nil"/>
          <w:between w:val="nil"/>
        </w:pBdr>
        <w:spacing w:before="120" w:after="120" w:line="240" w:lineRule="auto"/>
        <w:jc w:val="both"/>
        <w:rPr>
          <w:noProof/>
        </w:rPr>
      </w:pPr>
      <w:r>
        <w:rPr>
          <w:noProof/>
        </w:rPr>
        <w:t>Cette mesure consiste en la construction et la rénovation de bâtiments, pour lesquels l’appel précise que les types de projets suivants sont soutenus: les logements faisant partie du parc résidentiel de la commune, les logements protégés et les appartements locatifs créés avec la participation d’une commune ou d’une association intercommunale par des investisseurs autres que la commune.</w:t>
      </w:r>
    </w:p>
    <w:p w14:paraId="1216B93C" w14:textId="77777777" w:rsidR="003C4798" w:rsidRDefault="00417595">
      <w:pPr>
        <w:pStyle w:val="P68B1DB1-Normal27"/>
        <w:rPr>
          <w:rFonts w:eastAsia="Times New Roman" w:cs="Times New Roman"/>
          <w:bCs/>
          <w:noProof/>
          <w:color w:val="000000" w:themeColor="text1"/>
          <w:szCs w:val="24"/>
        </w:rPr>
      </w:pPr>
      <w:r>
        <w:rPr>
          <w:noProof/>
        </w:rPr>
        <w:t>B3.6 Améliorer les conditions de développement des sources d'énergie renouvelables</w:t>
      </w:r>
    </w:p>
    <w:p w14:paraId="1216B93D" w14:textId="77777777" w:rsidR="003C4798" w:rsidRDefault="00417595">
      <w:pPr>
        <w:pStyle w:val="P68B1DB1-Normal60"/>
        <w:spacing w:before="120" w:after="120" w:line="240" w:lineRule="auto"/>
        <w:jc w:val="both"/>
        <w:rPr>
          <w:rFonts w:eastAsia="Times New Roman" w:cs="Times New Roman"/>
          <w:noProof/>
          <w:szCs w:val="24"/>
        </w:rPr>
      </w:pPr>
      <w:r>
        <w:rPr>
          <w:noProof/>
        </w:rPr>
        <w:t>L’objectif de la réforme est d’améliorer l’environnement réglementaire pour l’énergie distribuée et la prosommation, de développer la chaîne d’approvisionnement de l’énergie éolienne en mer, de mettre en œuvre des systèmes de gestion de l’énergie, d’augmenter la capacité installée des sources d’énergie renouvelables et d’augmenter la part de l’énergie produite à partir de sources renouvelables.</w:t>
      </w:r>
    </w:p>
    <w:p w14:paraId="1216B93E" w14:textId="77777777" w:rsidR="003C4798" w:rsidRDefault="00417595">
      <w:pPr>
        <w:pStyle w:val="P68B1DB1-Normal38"/>
        <w:spacing w:before="120" w:after="120" w:line="240" w:lineRule="auto"/>
        <w:jc w:val="both"/>
        <w:rPr>
          <w:rFonts w:eastAsia="Times New Roman" w:cs="Times New Roman"/>
          <w:noProof/>
        </w:rPr>
      </w:pPr>
      <w:r>
        <w:rPr>
          <w:noProof/>
        </w:rPr>
        <w:t xml:space="preserve">La réforme consiste en des modifications de la loi sur les énergies renouvelables (ci-après la «loi sur les énergies renouvelables»), telles que l’instauration de meilleures conditions pour le fonctionnement des pôles énergétiques, la mise en œuvre de modèles collectifs de prosommateurs d’énergie, la mise en œuvre de dispositions relatives aux nouvelles communautés d’énergie renouvelable, l’introduction de dispositions précisant les principes d’exploitation de l’un des modèles de communauté d’énergie renouvelable et l’adoption des principes de gestion d’une entreprise pour le secteur du biométhane. </w:t>
      </w:r>
    </w:p>
    <w:p w14:paraId="1216B93F" w14:textId="77777777" w:rsidR="003C4798" w:rsidRDefault="00417595">
      <w:pPr>
        <w:pStyle w:val="P68B1DB1-Normal60"/>
        <w:spacing w:before="120" w:after="120" w:line="240" w:lineRule="auto"/>
        <w:jc w:val="both"/>
        <w:rPr>
          <w:noProof/>
        </w:rPr>
      </w:pPr>
      <w:r>
        <w:rPr>
          <w:noProof/>
        </w:rPr>
        <w:t>La mise en œuvre de l’action est achevée au plus tard le 30 mars 2023.</w:t>
      </w:r>
    </w:p>
    <w:p w14:paraId="1216B940" w14:textId="77777777" w:rsidR="003C4798" w:rsidRDefault="00417595">
      <w:pPr>
        <w:pStyle w:val="P68B1DB1-Normal60"/>
        <w:spacing w:before="120" w:after="120" w:line="240" w:lineRule="auto"/>
        <w:jc w:val="both"/>
        <w:rPr>
          <w:noProof/>
        </w:rPr>
      </w:pPr>
      <w:r>
        <w:rPr>
          <w:noProof/>
        </w:rPr>
        <w:t>La réforme modifiera également la loi sur les investissements dans l'énergie éolienne terrestre afin de faciliter la possibilité d'investissements dans l'énergie éolienne terrestre dans les municipalités qui souhaitent installer de telles installations en donnant aux autorités municipales plus de pouvoir pour déterminer l'emplacement des investissements individuels et pour permettre à l'installation d'être située plus près des bâtiments résidentiels que la distance minimale actuelle de 10 fois la hauteur de l'installation.</w:t>
      </w:r>
    </w:p>
    <w:p w14:paraId="1216B941" w14:textId="77777777" w:rsidR="003C4798" w:rsidRDefault="00417595">
      <w:pPr>
        <w:pStyle w:val="P68B1DB1-Normal60"/>
        <w:spacing w:before="120" w:after="120" w:line="240" w:lineRule="auto"/>
        <w:jc w:val="both"/>
        <w:rPr>
          <w:noProof/>
        </w:rPr>
      </w:pPr>
      <w:r>
        <w:rPr>
          <w:noProof/>
        </w:rPr>
        <w:t>La mise en œuvre de l’action est achevée au plus tard le 30 juin 2022.</w:t>
      </w:r>
    </w:p>
    <w:p w14:paraId="1216B942" w14:textId="77777777" w:rsidR="003C4798" w:rsidRDefault="00417595">
      <w:pPr>
        <w:pStyle w:val="P68B1DB1-Normal38"/>
        <w:spacing w:before="120" w:after="120" w:line="240" w:lineRule="auto"/>
        <w:jc w:val="both"/>
        <w:rPr>
          <w:noProof/>
        </w:rPr>
      </w:pPr>
      <w:r>
        <w:rPr>
          <w:noProof/>
        </w:rPr>
        <w:t>La réforme susmentionnée s’accompagne de l’entrée en vigueur d’un règlement prévoyant un plan d’enchères pour les énergies renouvelables par technologie (y compris pour les nouveaux parcs éoliens terrestres). Le plan fixe un budget et un volume d’électricité qui sont disponibles pour chaque enchère concurrentielle pour la période 2022-2027. Le règlement est publié au plus tard le 30 septembre 2022.</w:t>
      </w:r>
    </w:p>
    <w:p w14:paraId="1216B943" w14:textId="77777777" w:rsidR="003C4798" w:rsidRDefault="00417595">
      <w:pPr>
        <w:pStyle w:val="P68B1DB1-Normal38"/>
        <w:spacing w:before="120" w:after="120" w:line="240" w:lineRule="auto"/>
        <w:jc w:val="both"/>
        <w:rPr>
          <w:noProof/>
        </w:rPr>
      </w:pPr>
      <w:r>
        <w:rPr>
          <w:noProof/>
        </w:rPr>
        <w:t>En outre, la Pologne augmente progressivement la capacité installée des parcs éoliens terrestres et des installations photovoltaïques afin de contribuer à la transition écologique. La capacité éolienne et photovoltaïque terrestre installée doit atteindre 23,5 GW au plus tard le 30 septembre 2023.</w:t>
      </w:r>
    </w:p>
    <w:p w14:paraId="1216B944" w14:textId="3912B995" w:rsidR="003C4798" w:rsidRDefault="00417595">
      <w:pPr>
        <w:pStyle w:val="P68B1DB1-Normal60"/>
        <w:spacing w:before="120" w:after="120" w:line="240" w:lineRule="auto"/>
        <w:jc w:val="both"/>
        <w:rPr>
          <w:noProof/>
        </w:rPr>
      </w:pPr>
      <w:r>
        <w:rPr>
          <w:noProof/>
        </w:rPr>
        <w:t>En ce qui concerne le développement des parcs éoliens en mer, la réforme introduit des règles détaillées pour le paiement de la redevance de concession au président de l’Office de régulation de l’énergie étendue aux entités participant à la production d’électricité dans les parcs éoliens en mer.</w:t>
      </w:r>
    </w:p>
    <w:p w14:paraId="1216B945" w14:textId="77777777" w:rsidR="003C4798" w:rsidRDefault="00417595">
      <w:pPr>
        <w:pStyle w:val="P68B1DB1-Normal60"/>
        <w:spacing w:before="120" w:after="120" w:line="240" w:lineRule="auto"/>
        <w:jc w:val="both"/>
        <w:rPr>
          <w:noProof/>
        </w:rPr>
      </w:pPr>
      <w:r>
        <w:rPr>
          <w:noProof/>
        </w:rPr>
        <w:t>La mise en œuvre de cette action est achevée au plus tard le 30 juin 2022.</w:t>
      </w:r>
    </w:p>
    <w:p w14:paraId="1216B946" w14:textId="77777777" w:rsidR="003C4798" w:rsidRDefault="00417595">
      <w:pPr>
        <w:pStyle w:val="P68B1DB1-Normal60"/>
        <w:spacing w:before="120" w:after="120" w:line="240" w:lineRule="auto"/>
        <w:jc w:val="both"/>
        <w:rPr>
          <w:noProof/>
        </w:rPr>
      </w:pPr>
      <w:r>
        <w:rPr>
          <w:noProof/>
        </w:rPr>
        <w:t>En outre, la réforme réglemente également les types de flux de trésorerie à prendre en considération dans le calcul du prix ajusté et la méthode détaillée de calcul du prix ajusté.</w:t>
      </w:r>
    </w:p>
    <w:p w14:paraId="1216B947" w14:textId="77777777" w:rsidR="003C4798" w:rsidRDefault="00417595">
      <w:pPr>
        <w:pStyle w:val="P68B1DB1-Normal60"/>
        <w:spacing w:before="120" w:after="120" w:line="240" w:lineRule="auto"/>
        <w:jc w:val="both"/>
        <w:rPr>
          <w:rFonts w:eastAsia="Times New Roman" w:cs="Times New Roman"/>
          <w:noProof/>
          <w:szCs w:val="24"/>
        </w:rPr>
      </w:pPr>
      <w:r>
        <w:rPr>
          <w:noProof/>
        </w:rPr>
        <w:t>La mise en œuvre de cette action est achevée au plus tard le 31 décembre 2022.</w:t>
      </w:r>
    </w:p>
    <w:p w14:paraId="1216B948"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sectPr w:rsidR="003C4798" w:rsidSect="006C5441">
          <w:headerReference w:type="even" r:id="rId60"/>
          <w:headerReference w:type="default" r:id="rId61"/>
          <w:footerReference w:type="even" r:id="rId62"/>
          <w:footerReference w:type="default" r:id="rId63"/>
          <w:headerReference w:type="first" r:id="rId64"/>
          <w:footerReference w:type="first" r:id="rId65"/>
          <w:pgSz w:w="11907" w:h="16839"/>
          <w:pgMar w:top="1134" w:right="1134" w:bottom="1134" w:left="1134" w:header="567" w:footer="567" w:gutter="0"/>
          <w:cols w:space="720"/>
          <w:docGrid w:linePitch="299"/>
        </w:sectPr>
      </w:pPr>
    </w:p>
    <w:p w14:paraId="1216B949" w14:textId="77777777" w:rsidR="003C4798" w:rsidRDefault="00417595">
      <w:pPr>
        <w:pStyle w:val="Normal0"/>
        <w:pBdr>
          <w:top w:val="nil"/>
          <w:left w:val="nil"/>
          <w:bottom w:val="nil"/>
          <w:right w:val="nil"/>
          <w:between w:val="nil"/>
        </w:pBdr>
        <w:spacing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B.4. </w:t>
      </w:r>
      <w:r>
        <w:rPr>
          <w:noProof/>
        </w:rPr>
        <w:t xml:space="preserve"> </w:t>
      </w:r>
      <w:r>
        <w:rPr>
          <w:rFonts w:ascii="Times New Roman" w:hAnsi="Times New Roman"/>
          <w:b/>
          <w:noProof/>
          <w:color w:val="000000"/>
          <w:sz w:val="24"/>
        </w:rPr>
        <w:t>Étapes, objectifs, indicateurs et calendrier du suivi et de la mise en œuvre du prêt</w:t>
      </w:r>
    </w:p>
    <w:tbl>
      <w:tblPr>
        <w:tblW w:w="1564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12"/>
        <w:gridCol w:w="1720"/>
        <w:gridCol w:w="1258"/>
        <w:gridCol w:w="1848"/>
        <w:gridCol w:w="1545"/>
        <w:gridCol w:w="938"/>
        <w:gridCol w:w="1230"/>
        <w:gridCol w:w="992"/>
        <w:gridCol w:w="1134"/>
        <w:gridCol w:w="851"/>
        <w:gridCol w:w="3312"/>
      </w:tblGrid>
      <w:tr w:rsidR="003C4798" w14:paraId="1216B952" w14:textId="77777777" w:rsidTr="00EC21D5">
        <w:trPr>
          <w:trHeight w:val="939"/>
          <w:tblHeader/>
          <w:jc w:val="center"/>
        </w:trPr>
        <w:tc>
          <w:tcPr>
            <w:tcW w:w="812" w:type="dxa"/>
            <w:vMerge w:val="restart"/>
            <w:shd w:val="clear" w:color="auto" w:fill="BDD7EE"/>
            <w:vAlign w:val="center"/>
          </w:tcPr>
          <w:p w14:paraId="1216B94A"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Seq. N°</w:t>
            </w:r>
          </w:p>
        </w:tc>
        <w:tc>
          <w:tcPr>
            <w:tcW w:w="1720" w:type="dxa"/>
            <w:vMerge w:val="restart"/>
            <w:shd w:val="clear" w:color="auto" w:fill="BDD7EE"/>
            <w:vAlign w:val="center"/>
          </w:tcPr>
          <w:p w14:paraId="1216B94B"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Mesure connexe (réforme ou investissement)</w:t>
            </w:r>
          </w:p>
        </w:tc>
        <w:tc>
          <w:tcPr>
            <w:tcW w:w="1258" w:type="dxa"/>
            <w:vMerge w:val="restart"/>
            <w:shd w:val="clear" w:color="auto" w:fill="BDD7EE"/>
            <w:vAlign w:val="center"/>
          </w:tcPr>
          <w:p w14:paraId="1216B94C"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Étape/cible</w:t>
            </w:r>
          </w:p>
        </w:tc>
        <w:tc>
          <w:tcPr>
            <w:tcW w:w="1848" w:type="dxa"/>
            <w:vMerge w:val="restart"/>
            <w:shd w:val="clear" w:color="auto" w:fill="BDD7EE"/>
            <w:vAlign w:val="center"/>
          </w:tcPr>
          <w:p w14:paraId="1216B94D"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Nom</w:t>
            </w:r>
          </w:p>
        </w:tc>
        <w:tc>
          <w:tcPr>
            <w:tcW w:w="1545" w:type="dxa"/>
            <w:vMerge w:val="restart"/>
            <w:shd w:val="clear" w:color="auto" w:fill="BDD7EE"/>
            <w:vAlign w:val="center"/>
          </w:tcPr>
          <w:p w14:paraId="1216B94E" w14:textId="43252E19" w:rsidR="003C4798" w:rsidRDefault="00417595">
            <w:pPr>
              <w:pStyle w:val="P68B1DB1-Normal021"/>
              <w:pBdr>
                <w:top w:val="nil"/>
                <w:left w:val="nil"/>
                <w:bottom w:val="nil"/>
                <w:right w:val="nil"/>
                <w:between w:val="nil"/>
              </w:pBdr>
              <w:spacing w:after="0" w:line="240" w:lineRule="auto"/>
              <w:jc w:val="center"/>
              <w:rPr>
                <w:rFonts w:eastAsia="Times New Roman"/>
                <w:b/>
                <w:noProof/>
                <w:color w:val="000000"/>
              </w:rPr>
            </w:pPr>
            <w:r>
              <w:rPr>
                <w:b/>
                <w:noProof/>
                <w:color w:val="000000"/>
              </w:rPr>
              <w:t>Indicateurs qualitatifs</w:t>
            </w:r>
            <w:r>
              <w:rPr>
                <w:noProof/>
              </w:rPr>
              <w:br/>
            </w:r>
            <w:r>
              <w:rPr>
                <w:b/>
                <w:noProof/>
                <w:color w:val="000000"/>
              </w:rPr>
              <w:t>(pour les jalons)</w:t>
            </w:r>
          </w:p>
        </w:tc>
        <w:tc>
          <w:tcPr>
            <w:tcW w:w="3160" w:type="dxa"/>
            <w:gridSpan w:val="3"/>
            <w:shd w:val="clear" w:color="auto" w:fill="BDD7EE"/>
            <w:vAlign w:val="center"/>
          </w:tcPr>
          <w:p w14:paraId="1216B94F" w14:textId="649DAF82" w:rsidR="003C4798" w:rsidRDefault="00417595">
            <w:pPr>
              <w:pStyle w:val="P68B1DB1-Normal021"/>
              <w:pBdr>
                <w:top w:val="nil"/>
                <w:left w:val="nil"/>
                <w:bottom w:val="nil"/>
                <w:right w:val="nil"/>
                <w:between w:val="nil"/>
              </w:pBdr>
              <w:spacing w:after="0" w:line="240" w:lineRule="auto"/>
              <w:jc w:val="center"/>
              <w:rPr>
                <w:rFonts w:eastAsia="Times New Roman"/>
                <w:b/>
                <w:noProof/>
                <w:color w:val="000000"/>
              </w:rPr>
            </w:pPr>
            <w:r>
              <w:rPr>
                <w:b/>
                <w:noProof/>
                <w:color w:val="000000"/>
              </w:rPr>
              <w:t>Indicateurs quantitatifs</w:t>
            </w:r>
            <w:r>
              <w:rPr>
                <w:noProof/>
              </w:rPr>
              <w:br/>
            </w:r>
            <w:r>
              <w:rPr>
                <w:b/>
                <w:noProof/>
                <w:color w:val="000000"/>
              </w:rPr>
              <w:t>(pour les objectifs)</w:t>
            </w:r>
          </w:p>
        </w:tc>
        <w:tc>
          <w:tcPr>
            <w:tcW w:w="1985" w:type="dxa"/>
            <w:gridSpan w:val="2"/>
            <w:shd w:val="clear" w:color="auto" w:fill="BDD7EE"/>
            <w:vAlign w:val="center"/>
          </w:tcPr>
          <w:p w14:paraId="1216B950"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Calendrier indicatif d'achèvement</w:t>
            </w:r>
          </w:p>
        </w:tc>
        <w:tc>
          <w:tcPr>
            <w:tcW w:w="3312" w:type="dxa"/>
            <w:vMerge w:val="restart"/>
            <w:shd w:val="clear" w:color="auto" w:fill="BDD7EE"/>
            <w:vAlign w:val="center"/>
          </w:tcPr>
          <w:p w14:paraId="1216B951"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Description de chaque jalon et cible</w:t>
            </w:r>
          </w:p>
        </w:tc>
      </w:tr>
      <w:tr w:rsidR="003C4798" w14:paraId="1216B95E" w14:textId="77777777" w:rsidTr="00EC21D5">
        <w:trPr>
          <w:trHeight w:val="699"/>
          <w:jc w:val="center"/>
        </w:trPr>
        <w:tc>
          <w:tcPr>
            <w:tcW w:w="812" w:type="dxa"/>
            <w:vMerge/>
            <w:vAlign w:val="center"/>
          </w:tcPr>
          <w:p w14:paraId="1216B953"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720" w:type="dxa"/>
            <w:vMerge/>
            <w:vAlign w:val="center"/>
          </w:tcPr>
          <w:p w14:paraId="1216B954"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58" w:type="dxa"/>
            <w:vMerge/>
            <w:vAlign w:val="center"/>
          </w:tcPr>
          <w:p w14:paraId="1216B955"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48" w:type="dxa"/>
            <w:vMerge/>
            <w:vAlign w:val="center"/>
          </w:tcPr>
          <w:p w14:paraId="1216B956"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45" w:type="dxa"/>
            <w:vMerge/>
            <w:vAlign w:val="center"/>
          </w:tcPr>
          <w:p w14:paraId="1216B957"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38" w:type="dxa"/>
            <w:shd w:val="clear" w:color="auto" w:fill="BDD7EE"/>
            <w:vAlign w:val="center"/>
          </w:tcPr>
          <w:p w14:paraId="1216B958"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Unité de mesure</w:t>
            </w:r>
          </w:p>
        </w:tc>
        <w:tc>
          <w:tcPr>
            <w:tcW w:w="1230" w:type="dxa"/>
            <w:shd w:val="clear" w:color="auto" w:fill="BDD7EE"/>
            <w:vAlign w:val="center"/>
          </w:tcPr>
          <w:p w14:paraId="1216B959"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Données de référence</w:t>
            </w:r>
          </w:p>
        </w:tc>
        <w:tc>
          <w:tcPr>
            <w:tcW w:w="992" w:type="dxa"/>
            <w:shd w:val="clear" w:color="auto" w:fill="BDD7EE"/>
            <w:vAlign w:val="center"/>
          </w:tcPr>
          <w:p w14:paraId="1216B95A"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Objectif</w:t>
            </w:r>
          </w:p>
        </w:tc>
        <w:tc>
          <w:tcPr>
            <w:tcW w:w="1134" w:type="dxa"/>
            <w:shd w:val="clear" w:color="auto" w:fill="BDD7EE"/>
            <w:vAlign w:val="center"/>
          </w:tcPr>
          <w:p w14:paraId="1216B95B"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Trimestre</w:t>
            </w:r>
          </w:p>
        </w:tc>
        <w:tc>
          <w:tcPr>
            <w:tcW w:w="851" w:type="dxa"/>
            <w:shd w:val="clear" w:color="auto" w:fill="BDD7EE"/>
            <w:vAlign w:val="center"/>
          </w:tcPr>
          <w:p w14:paraId="1216B95C"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Année</w:t>
            </w:r>
          </w:p>
        </w:tc>
        <w:tc>
          <w:tcPr>
            <w:tcW w:w="3312" w:type="dxa"/>
            <w:vMerge/>
            <w:vAlign w:val="center"/>
          </w:tcPr>
          <w:p w14:paraId="1216B95D"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C4798" w14:paraId="1216B96A" w14:textId="77777777" w:rsidTr="00EC21D5">
        <w:trPr>
          <w:trHeight w:val="1409"/>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5F"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B1L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0"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B1.2 Faciliter la mise en œuvre de l'obligation d'économies d'énergie pour les entreprises du secteur de l'énergie</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1"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2"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Entrée en vigueur du règlement d'application de la loi sur l'efficacité énergétique</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3"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Disposition du règlement d’application de la loi sur l’efficacité énergétique indiquant son entrée en vigueur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4"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5" w14:textId="77777777" w:rsidR="003C4798" w:rsidRDefault="003C4798">
            <w:pPr>
              <w:jc w:val="center"/>
              <w:rPr>
                <w:rFonts w:ascii="Times New Roman" w:hAnsi="Times New Roman" w:cs="Times New Roman"/>
                <w:noProof/>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6"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7"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8"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2022</w:t>
            </w:r>
          </w:p>
        </w:tc>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9"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entrée en vigueur du règlement d'application de la loi sur l'efficacité énergétique, qui établit une valeur de référence pour les économies d'énergie réalisées dans le cadre de projets améliorant l'efficacité énergétique; et définir une méthode de calcul des économies d'énergie pour les projets dans le secteur des transports.</w:t>
            </w:r>
          </w:p>
        </w:tc>
      </w:tr>
      <w:tr w:rsidR="003C4798" w14:paraId="1216B976" w14:textId="77777777" w:rsidTr="00EC21D5">
        <w:trPr>
          <w:trHeight w:val="855"/>
          <w:jc w:val="center"/>
        </w:trPr>
        <w:tc>
          <w:tcPr>
            <w:tcW w:w="812" w:type="dxa"/>
            <w:shd w:val="clear" w:color="auto" w:fill="C6EFCE"/>
          </w:tcPr>
          <w:p w14:paraId="1216B96B" w14:textId="77777777" w:rsidR="003C4798" w:rsidRDefault="00417595">
            <w:pPr>
              <w:pStyle w:val="P68B1DB1-Normal021"/>
              <w:pBdr>
                <w:top w:val="nil"/>
                <w:left w:val="nil"/>
                <w:bottom w:val="nil"/>
                <w:right w:val="nil"/>
                <w:between w:val="nil"/>
              </w:pBdr>
              <w:spacing w:after="0" w:line="240" w:lineRule="auto"/>
              <w:jc w:val="center"/>
              <w:rPr>
                <w:b/>
                <w:noProof/>
                <w:color w:val="000000"/>
              </w:rPr>
            </w:pPr>
            <w:r>
              <w:rPr>
                <w:noProof/>
              </w:rPr>
              <w:t>B2L</w:t>
            </w:r>
          </w:p>
        </w:tc>
        <w:tc>
          <w:tcPr>
            <w:tcW w:w="1720" w:type="dxa"/>
            <w:shd w:val="clear" w:color="auto" w:fill="C6EFCE"/>
          </w:tcPr>
          <w:p w14:paraId="1216B96C" w14:textId="77777777" w:rsidR="003C4798" w:rsidRDefault="00417595">
            <w:pPr>
              <w:pStyle w:val="P68B1DB1-Normal062"/>
              <w:pBdr>
                <w:top w:val="nil"/>
                <w:left w:val="nil"/>
                <w:bottom w:val="nil"/>
                <w:right w:val="nil"/>
                <w:between w:val="nil"/>
              </w:pBdr>
              <w:spacing w:after="0" w:line="240" w:lineRule="auto"/>
              <w:rPr>
                <w:noProof/>
              </w:rPr>
            </w:pPr>
            <w:r>
              <w:rPr>
                <w:noProof/>
              </w:rPr>
              <w:t>B1.2.1 Efficacité énergétique et SER dans les entreprises – investissements présentant le potentiel de réduction des gaz à effet de serre le plus élevé</w:t>
            </w:r>
          </w:p>
        </w:tc>
        <w:tc>
          <w:tcPr>
            <w:tcW w:w="1258" w:type="dxa"/>
            <w:shd w:val="clear" w:color="auto" w:fill="C6EFCE"/>
          </w:tcPr>
          <w:p w14:paraId="1216B96D"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Étape</w:t>
            </w:r>
          </w:p>
        </w:tc>
        <w:tc>
          <w:tcPr>
            <w:tcW w:w="1848" w:type="dxa"/>
            <w:shd w:val="clear" w:color="auto" w:fill="C6EFCE"/>
          </w:tcPr>
          <w:p w14:paraId="1216B96E" w14:textId="77777777" w:rsidR="003C4798" w:rsidRDefault="00417595">
            <w:pPr>
              <w:pStyle w:val="P68B1DB1-Normal062"/>
              <w:pBdr>
                <w:top w:val="nil"/>
                <w:left w:val="nil"/>
                <w:bottom w:val="nil"/>
                <w:right w:val="nil"/>
                <w:between w:val="nil"/>
              </w:pBdr>
              <w:spacing w:after="0" w:line="240" w:lineRule="auto"/>
              <w:rPr>
                <w:noProof/>
              </w:rPr>
            </w:pPr>
            <w:r>
              <w:rPr>
                <w:noProof/>
              </w:rPr>
              <w:t>Instructions de financement (y compris les critères d’éligibilité et de sélection) pour le régime d’aide ciblant l’efficacité énergétique et les SER dans les entreprises, y compris celles couvertes par le système d’échange de quotas d’émission de l’UE</w:t>
            </w:r>
          </w:p>
        </w:tc>
        <w:tc>
          <w:tcPr>
            <w:tcW w:w="1545" w:type="dxa"/>
            <w:shd w:val="clear" w:color="auto" w:fill="C6EFCE"/>
          </w:tcPr>
          <w:p w14:paraId="1216B96F" w14:textId="7E6595AC" w:rsidR="003C4798" w:rsidRDefault="00417595">
            <w:pPr>
              <w:pStyle w:val="P68B1DB1-Normal062"/>
              <w:pBdr>
                <w:top w:val="nil"/>
                <w:left w:val="nil"/>
                <w:bottom w:val="nil"/>
                <w:right w:val="nil"/>
                <w:between w:val="nil"/>
              </w:pBdr>
              <w:spacing w:after="0" w:line="240" w:lineRule="auto"/>
              <w:rPr>
                <w:noProof/>
              </w:rPr>
            </w:pPr>
            <w:r>
              <w:rPr>
                <w:noProof/>
              </w:rPr>
              <w:t>Publication du régime d'aide</w:t>
            </w:r>
          </w:p>
        </w:tc>
        <w:tc>
          <w:tcPr>
            <w:tcW w:w="938" w:type="dxa"/>
            <w:shd w:val="clear" w:color="auto" w:fill="C6EFCE"/>
          </w:tcPr>
          <w:p w14:paraId="1216B970"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230" w:type="dxa"/>
            <w:shd w:val="clear" w:color="auto" w:fill="C6EFCE"/>
          </w:tcPr>
          <w:p w14:paraId="1216B971"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shd w:val="clear" w:color="auto" w:fill="C6EFCE"/>
          </w:tcPr>
          <w:p w14:paraId="1216B972"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shd w:val="clear" w:color="auto" w:fill="C6EFCE"/>
          </w:tcPr>
          <w:p w14:paraId="1216B973"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T4</w:t>
            </w:r>
          </w:p>
        </w:tc>
        <w:tc>
          <w:tcPr>
            <w:tcW w:w="851" w:type="dxa"/>
            <w:shd w:val="clear" w:color="auto" w:fill="C6EFCE"/>
          </w:tcPr>
          <w:p w14:paraId="1216B974"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2022</w:t>
            </w:r>
          </w:p>
        </w:tc>
        <w:tc>
          <w:tcPr>
            <w:tcW w:w="3312" w:type="dxa"/>
            <w:shd w:val="clear" w:color="auto" w:fill="C6EFCE"/>
          </w:tcPr>
          <w:p w14:paraId="1216B975" w14:textId="42A649B6" w:rsidR="003C4798" w:rsidRDefault="00417595">
            <w:pPr>
              <w:pStyle w:val="P68B1DB1-Normal062"/>
              <w:pBdr>
                <w:top w:val="nil"/>
                <w:left w:val="nil"/>
                <w:bottom w:val="nil"/>
                <w:right w:val="nil"/>
                <w:between w:val="nil"/>
              </w:pBdr>
              <w:spacing w:after="0" w:line="240" w:lineRule="auto"/>
              <w:rPr>
                <w:noProof/>
              </w:rPr>
            </w:pPr>
            <w:r>
              <w:rPr>
                <w:noProof/>
              </w:rPr>
              <w:t>La politique d'investissement du régime comprend au moins les critères d'éligibilité et de sélection des projets suivants: i) l’objectif du prix le plus bas par tonne de gaz à effet de serre économisé; ii) garantir le respect des orientations techniques DNSH (2021/C58/01) par l’utilisation de la liste d’exclusion et le respect de la législation environnementale de l’UE et des États membres et iii) préciser les objectifs de décarbonation.</w:t>
            </w:r>
          </w:p>
        </w:tc>
      </w:tr>
      <w:tr w:rsidR="003C4798" w14:paraId="1216B982" w14:textId="77777777" w:rsidTr="00EC21D5">
        <w:trPr>
          <w:trHeight w:val="313"/>
          <w:jc w:val="center"/>
        </w:trPr>
        <w:tc>
          <w:tcPr>
            <w:tcW w:w="812" w:type="dxa"/>
            <w:shd w:val="clear" w:color="auto" w:fill="C6EFCE"/>
          </w:tcPr>
          <w:p w14:paraId="1216B977"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B3L</w:t>
            </w:r>
          </w:p>
        </w:tc>
        <w:tc>
          <w:tcPr>
            <w:tcW w:w="1720" w:type="dxa"/>
            <w:shd w:val="clear" w:color="auto" w:fill="C6EFCE"/>
          </w:tcPr>
          <w:p w14:paraId="1216B978"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B1.2.1 Efficacité énergétique et SER dans les entreprises – investissements présentant le potentiel de réduction des gaz à effet de serre le plus élevé</w:t>
            </w:r>
          </w:p>
        </w:tc>
        <w:tc>
          <w:tcPr>
            <w:tcW w:w="1258" w:type="dxa"/>
            <w:shd w:val="clear" w:color="auto" w:fill="C6EFCE"/>
          </w:tcPr>
          <w:p w14:paraId="1216B979"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Objectif</w:t>
            </w:r>
          </w:p>
        </w:tc>
        <w:tc>
          <w:tcPr>
            <w:tcW w:w="1848" w:type="dxa"/>
            <w:shd w:val="clear" w:color="auto" w:fill="C6EFCE"/>
          </w:tcPr>
          <w:p w14:paraId="1216B97A"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Attribution de tous les contrats pour la mise en œuvre de l'efficacité énergétique et des SER dans les entreprises</w:t>
            </w:r>
          </w:p>
        </w:tc>
        <w:tc>
          <w:tcPr>
            <w:tcW w:w="1545" w:type="dxa"/>
            <w:shd w:val="clear" w:color="auto" w:fill="C6EFCE"/>
          </w:tcPr>
          <w:p w14:paraId="1216B97B"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 xml:space="preserve"> </w:t>
            </w:r>
          </w:p>
        </w:tc>
        <w:tc>
          <w:tcPr>
            <w:tcW w:w="938" w:type="dxa"/>
            <w:shd w:val="clear" w:color="auto" w:fill="C6EFCE"/>
          </w:tcPr>
          <w:p w14:paraId="1216B97C"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Numéro</w:t>
            </w:r>
          </w:p>
        </w:tc>
        <w:tc>
          <w:tcPr>
            <w:tcW w:w="1230" w:type="dxa"/>
            <w:shd w:val="clear" w:color="auto" w:fill="C6EFCE"/>
          </w:tcPr>
          <w:p w14:paraId="1216B97D"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0</w:t>
            </w:r>
          </w:p>
        </w:tc>
        <w:tc>
          <w:tcPr>
            <w:tcW w:w="992" w:type="dxa"/>
            <w:shd w:val="clear" w:color="auto" w:fill="C6EFCE"/>
          </w:tcPr>
          <w:p w14:paraId="1216B97E"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13</w:t>
            </w:r>
          </w:p>
        </w:tc>
        <w:tc>
          <w:tcPr>
            <w:tcW w:w="1134" w:type="dxa"/>
            <w:shd w:val="clear" w:color="auto" w:fill="C6EFCE"/>
          </w:tcPr>
          <w:p w14:paraId="1216B97F"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T4</w:t>
            </w:r>
          </w:p>
        </w:tc>
        <w:tc>
          <w:tcPr>
            <w:tcW w:w="851" w:type="dxa"/>
            <w:shd w:val="clear" w:color="auto" w:fill="C6EFCE"/>
          </w:tcPr>
          <w:p w14:paraId="1216B980"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2023</w:t>
            </w:r>
          </w:p>
        </w:tc>
        <w:tc>
          <w:tcPr>
            <w:tcW w:w="3312" w:type="dxa"/>
            <w:shd w:val="clear" w:color="auto" w:fill="C6EFCE"/>
          </w:tcPr>
          <w:p w14:paraId="1216B981"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Nombre de contrats attribués à des projets d’investissement liés à l’amélioration des processus industriels et énergétiques afin d’améliorer l’efficacité énergétique et de réduire l’intensité énergétique, ce qui a conduit à la réduction et à la rationalisation de la consommation d’énergie grâce à des investissements dans les sources d’énergie renouvelables et à faibles émissions de carbone dans les entreprises. Le dispositif est déployé conformément à ses instructions de financement, telles que décrites au point B2L. Le système est mis en œuvre selon un processus non discriminatoire, transparent et ouvert, ouvert à tous les secteurs industriels.</w:t>
            </w:r>
          </w:p>
        </w:tc>
      </w:tr>
      <w:tr w:rsidR="003C4798" w14:paraId="1216B98F" w14:textId="77777777" w:rsidTr="00EC21D5">
        <w:trPr>
          <w:trHeight w:val="313"/>
          <w:jc w:val="center"/>
        </w:trPr>
        <w:tc>
          <w:tcPr>
            <w:tcW w:w="812" w:type="dxa"/>
            <w:shd w:val="clear" w:color="auto" w:fill="C6EFCE"/>
          </w:tcPr>
          <w:p w14:paraId="1216B983"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B4L</w:t>
            </w:r>
          </w:p>
        </w:tc>
        <w:tc>
          <w:tcPr>
            <w:tcW w:w="1720" w:type="dxa"/>
            <w:shd w:val="clear" w:color="auto" w:fill="C6EFCE"/>
          </w:tcPr>
          <w:p w14:paraId="1216B984"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B2.3 Soutien aux investissements dans les parcs éoliens en mer</w:t>
            </w:r>
          </w:p>
        </w:tc>
        <w:tc>
          <w:tcPr>
            <w:tcW w:w="1258" w:type="dxa"/>
            <w:shd w:val="clear" w:color="auto" w:fill="C6EFCE"/>
          </w:tcPr>
          <w:p w14:paraId="1216B985"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shd w:val="clear" w:color="auto" w:fill="C6EFCE"/>
          </w:tcPr>
          <w:p w14:paraId="1216B986"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 xml:space="preserve">Entrée en vigueur des règlements d'application découlant de la loi sur la promotion de la production d'électricité dans les parcs éoliens en mer </w:t>
            </w:r>
          </w:p>
        </w:tc>
        <w:tc>
          <w:tcPr>
            <w:tcW w:w="1545" w:type="dxa"/>
            <w:shd w:val="clear" w:color="auto" w:fill="C6EFCE"/>
          </w:tcPr>
          <w:p w14:paraId="1216B987"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Dispositions des règlements indiquant leur entrée en vigueur</w:t>
            </w:r>
          </w:p>
        </w:tc>
        <w:tc>
          <w:tcPr>
            <w:tcW w:w="938" w:type="dxa"/>
            <w:shd w:val="clear" w:color="auto" w:fill="C6EFCE"/>
          </w:tcPr>
          <w:p w14:paraId="1216B988"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30" w:type="dxa"/>
            <w:shd w:val="clear" w:color="auto" w:fill="C6EFCE"/>
          </w:tcPr>
          <w:p w14:paraId="1216B989"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98A"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98B"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T2</w:t>
            </w:r>
          </w:p>
        </w:tc>
        <w:tc>
          <w:tcPr>
            <w:tcW w:w="851" w:type="dxa"/>
            <w:shd w:val="clear" w:color="auto" w:fill="C6EFCE"/>
          </w:tcPr>
          <w:p w14:paraId="1216B98C"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2024</w:t>
            </w:r>
          </w:p>
        </w:tc>
        <w:tc>
          <w:tcPr>
            <w:tcW w:w="3312" w:type="dxa"/>
            <w:shd w:val="clear" w:color="auto" w:fill="C6EFCE"/>
          </w:tcPr>
          <w:p w14:paraId="1216B98D"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 xml:space="preserve">Deux règlements d'application entrent en vigueur: </w:t>
            </w:r>
          </w:p>
          <w:p w14:paraId="473A536E" w14:textId="77777777" w:rsidR="003C4798" w:rsidRDefault="00417595">
            <w:pPr>
              <w:pStyle w:val="P68B1DB1-Normal021"/>
              <w:pBdr>
                <w:top w:val="nil"/>
                <w:left w:val="nil"/>
                <w:bottom w:val="nil"/>
                <w:right w:val="nil"/>
                <w:between w:val="nil"/>
              </w:pBdr>
              <w:spacing w:after="0" w:line="240" w:lineRule="auto"/>
              <w:rPr>
                <w:noProof/>
              </w:rPr>
            </w:pPr>
            <w:r>
              <w:rPr>
                <w:noProof/>
                <w:color w:val="000000" w:themeColor="text1"/>
              </w:rPr>
              <w:t>1. Règlement du ministre du climat et de l'environnement sur les exigences relatives aux éléments d'un ensemble d'équipements pour l'évacuation de l'électricité et aux éléments des sous-stations en mer - En outre, le règlement garantit la qualité appropriée des infrastructures dans le cadre de leur intégration potentielle au réseau électrique en cas de transfert des prises de courant des parcs éoliens en mer, comme stipulé aux articles 82 à 83 de la loi sur l'éolien en mer.</w:t>
            </w:r>
            <w:r>
              <w:rPr>
                <w:noProof/>
              </w:rPr>
              <w:t xml:space="preserve"> </w:t>
            </w:r>
          </w:p>
          <w:p w14:paraId="1216B98E" w14:textId="37976CEB" w:rsidR="003C4798" w:rsidRDefault="00417595">
            <w:pPr>
              <w:pStyle w:val="P68B1DB1-Normal062"/>
              <w:pBdr>
                <w:top w:val="nil"/>
                <w:left w:val="nil"/>
                <w:bottom w:val="nil"/>
                <w:right w:val="nil"/>
                <w:between w:val="nil"/>
              </w:pBdr>
              <w:spacing w:after="0" w:line="240" w:lineRule="auto"/>
              <w:rPr>
                <w:noProof/>
              </w:rPr>
            </w:pPr>
            <w:r>
              <w:rPr>
                <w:noProof/>
              </w:rPr>
              <w:t>2. Règlement du ministre du climat et de l'environnement sur le prix maximal en PLN par 1 MWh, qui peut être indiqué dans les offres soumises lors d'une vente aux enchères par les producteurs.</w:t>
            </w:r>
          </w:p>
        </w:tc>
      </w:tr>
      <w:tr w:rsidR="003C4798" w14:paraId="1216B99B" w14:textId="77777777" w:rsidTr="00EC21D5">
        <w:trPr>
          <w:trHeight w:val="313"/>
          <w:jc w:val="center"/>
        </w:trPr>
        <w:tc>
          <w:tcPr>
            <w:tcW w:w="812" w:type="dxa"/>
            <w:shd w:val="clear" w:color="auto" w:fill="C6EFCE"/>
          </w:tcPr>
          <w:p w14:paraId="1216B990"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B5L</w:t>
            </w:r>
          </w:p>
        </w:tc>
        <w:tc>
          <w:tcPr>
            <w:tcW w:w="1720" w:type="dxa"/>
            <w:shd w:val="clear" w:color="auto" w:fill="C6EFCE"/>
          </w:tcPr>
          <w:p w14:paraId="1216B991"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B2.3 Soutien aux investissements dans les parcs éoliens en mer</w:t>
            </w:r>
          </w:p>
        </w:tc>
        <w:tc>
          <w:tcPr>
            <w:tcW w:w="1258" w:type="dxa"/>
            <w:shd w:val="clear" w:color="auto" w:fill="C6EFCE"/>
          </w:tcPr>
          <w:p w14:paraId="1216B992"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848" w:type="dxa"/>
            <w:shd w:val="clear" w:color="auto" w:fill="C6EFCE"/>
          </w:tcPr>
          <w:p w14:paraId="1216B993"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Résultats des contrats d’enchères de différence pour l’éolien en mer</w:t>
            </w:r>
          </w:p>
        </w:tc>
        <w:tc>
          <w:tcPr>
            <w:tcW w:w="1545" w:type="dxa"/>
            <w:shd w:val="clear" w:color="auto" w:fill="C6EFCE"/>
          </w:tcPr>
          <w:p w14:paraId="1216B994"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Publication des résultats</w:t>
            </w:r>
          </w:p>
        </w:tc>
        <w:tc>
          <w:tcPr>
            <w:tcW w:w="938" w:type="dxa"/>
            <w:shd w:val="clear" w:color="auto" w:fill="C6EFCE"/>
          </w:tcPr>
          <w:p w14:paraId="1216B995"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30" w:type="dxa"/>
            <w:shd w:val="clear" w:color="auto" w:fill="C6EFCE"/>
          </w:tcPr>
          <w:p w14:paraId="1216B996"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99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998"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shd w:val="clear" w:color="auto" w:fill="C6EFCE"/>
          </w:tcPr>
          <w:p w14:paraId="1216B999"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3312" w:type="dxa"/>
            <w:shd w:val="clear" w:color="auto" w:fill="C6EFCE"/>
          </w:tcPr>
          <w:p w14:paraId="1216B99A" w14:textId="2E9954FC"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Les résultats du ou des contrats d’enchères sur différence (CdD) menés pour la capacité éolienne en mer de 4 GW sont publiés.</w:t>
            </w:r>
          </w:p>
        </w:tc>
      </w:tr>
      <w:tr w:rsidR="003C4798" w14:paraId="1216B9A7" w14:textId="77777777" w:rsidTr="00EC21D5">
        <w:trPr>
          <w:trHeight w:val="313"/>
          <w:jc w:val="center"/>
        </w:trPr>
        <w:tc>
          <w:tcPr>
            <w:tcW w:w="812" w:type="dxa"/>
            <w:shd w:val="clear" w:color="auto" w:fill="C6EFCE"/>
          </w:tcPr>
          <w:p w14:paraId="1216B99C"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B6L</w:t>
            </w:r>
          </w:p>
        </w:tc>
        <w:tc>
          <w:tcPr>
            <w:tcW w:w="1720" w:type="dxa"/>
            <w:shd w:val="clear" w:color="auto" w:fill="C6EFCE"/>
          </w:tcPr>
          <w:p w14:paraId="1216B99D"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B2.3 Soutien aux investissements dans les parcs éoliens en mer</w:t>
            </w:r>
          </w:p>
        </w:tc>
        <w:tc>
          <w:tcPr>
            <w:tcW w:w="1258" w:type="dxa"/>
            <w:shd w:val="clear" w:color="auto" w:fill="C6EFCE"/>
          </w:tcPr>
          <w:p w14:paraId="1216B99E"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shd w:val="clear" w:color="auto" w:fill="C6EFCE"/>
          </w:tcPr>
          <w:p w14:paraId="1216B99F"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Entrée en vigueur d’une modification du règlement relatif aux conditions détaillées d’exploitation du réseau électrique, qui modifie les règles nationales d’équilibrage afin de réduire au maximum l’incidence des contraintes d’allocation</w:t>
            </w:r>
          </w:p>
        </w:tc>
        <w:tc>
          <w:tcPr>
            <w:tcW w:w="1545" w:type="dxa"/>
            <w:shd w:val="clear" w:color="auto" w:fill="C6EFCE"/>
          </w:tcPr>
          <w:p w14:paraId="1216B9A0"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Disposition de la modification du règlement indiquant son entrée en vigueur</w:t>
            </w:r>
          </w:p>
        </w:tc>
        <w:tc>
          <w:tcPr>
            <w:tcW w:w="938" w:type="dxa"/>
            <w:shd w:val="clear" w:color="auto" w:fill="C6EFCE"/>
          </w:tcPr>
          <w:p w14:paraId="1216B9A1"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30" w:type="dxa"/>
            <w:shd w:val="clear" w:color="auto" w:fill="C6EFCE"/>
          </w:tcPr>
          <w:p w14:paraId="1216B9A2"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9A3"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9A4"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T4</w:t>
            </w:r>
          </w:p>
        </w:tc>
        <w:tc>
          <w:tcPr>
            <w:tcW w:w="851" w:type="dxa"/>
            <w:shd w:val="clear" w:color="auto" w:fill="C6EFCE"/>
          </w:tcPr>
          <w:p w14:paraId="1216B9A5"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2023</w:t>
            </w:r>
          </w:p>
        </w:tc>
        <w:tc>
          <w:tcPr>
            <w:tcW w:w="3312" w:type="dxa"/>
            <w:shd w:val="clear" w:color="auto" w:fill="C6EFCE"/>
          </w:tcPr>
          <w:p w14:paraId="1216B9A6" w14:textId="77777777" w:rsidR="003C4798" w:rsidRDefault="00417595">
            <w:pPr>
              <w:pStyle w:val="P68B1DB1-Normal062"/>
              <w:pBdr>
                <w:top w:val="nil"/>
                <w:left w:val="nil"/>
                <w:bottom w:val="nil"/>
                <w:right w:val="nil"/>
                <w:between w:val="nil"/>
              </w:pBdr>
              <w:spacing w:after="0" w:line="240" w:lineRule="auto"/>
              <w:rPr>
                <w:noProof/>
              </w:rPr>
            </w:pPr>
            <w:r>
              <w:rPr>
                <w:noProof/>
              </w:rPr>
              <w:t>Dans le cadre de la réforme du marché de l’énergie, les règles du marché d’équilibrage sont modifiées afin d’inclure l’acquisition explicite de réserves avant le couplage unique à un jour (SDAC). Cette solution a été proposée par l’ACER dans la méthodologie CORE CCM (décision 02/2019 de l’ACER) comme l’une des solutions possibles pour réduire au maximum l’incidence des contraintes d’allocation. Afin de mettre en œuvre cette réforme, le ministre chargé de l'énergie modifie le règlement du ministre de l'économie du 4 mai 2007 relatif aux modalités de fonctionnement du réseau électrique.</w:t>
            </w:r>
          </w:p>
        </w:tc>
      </w:tr>
      <w:tr w:rsidR="003C4798" w14:paraId="1216B9B3" w14:textId="77777777" w:rsidTr="00EC21D5">
        <w:trPr>
          <w:trHeight w:val="313"/>
          <w:jc w:val="center"/>
        </w:trPr>
        <w:tc>
          <w:tcPr>
            <w:tcW w:w="812" w:type="dxa"/>
            <w:shd w:val="clear" w:color="auto" w:fill="C6EFCE"/>
          </w:tcPr>
          <w:p w14:paraId="1216B9A8"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B6aL</w:t>
            </w:r>
          </w:p>
        </w:tc>
        <w:tc>
          <w:tcPr>
            <w:tcW w:w="1720" w:type="dxa"/>
            <w:shd w:val="clear" w:color="auto" w:fill="C6EFCE"/>
          </w:tcPr>
          <w:p w14:paraId="1216B9A9"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B2.3 Soutien aux investissements dans les parcs éoliens en mer</w:t>
            </w:r>
          </w:p>
        </w:tc>
        <w:tc>
          <w:tcPr>
            <w:tcW w:w="1258" w:type="dxa"/>
            <w:shd w:val="clear" w:color="auto" w:fill="C6EFCE"/>
          </w:tcPr>
          <w:p w14:paraId="1216B9AA"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Étape</w:t>
            </w:r>
          </w:p>
        </w:tc>
        <w:tc>
          <w:tcPr>
            <w:tcW w:w="1848" w:type="dxa"/>
            <w:shd w:val="clear" w:color="auto" w:fill="C6EFCE"/>
          </w:tcPr>
          <w:p w14:paraId="1216B9AB"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Étude sur les mesures visant à limiter les contraintes d’allocation dans le système électrique polonais</w:t>
            </w:r>
          </w:p>
        </w:tc>
        <w:tc>
          <w:tcPr>
            <w:tcW w:w="1545" w:type="dxa"/>
            <w:shd w:val="clear" w:color="auto" w:fill="C6EFCE"/>
          </w:tcPr>
          <w:p w14:paraId="1216B9AC"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Publication sur le site web de l’autorité de régulation de l’énergie d’une étude sur les mesures visant à limiter les contraintes d’allocation dans le système électrique polonais</w:t>
            </w:r>
          </w:p>
        </w:tc>
        <w:tc>
          <w:tcPr>
            <w:tcW w:w="938" w:type="dxa"/>
            <w:shd w:val="clear" w:color="auto" w:fill="C6EFCE"/>
          </w:tcPr>
          <w:p w14:paraId="1216B9AD"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230" w:type="dxa"/>
            <w:shd w:val="clear" w:color="auto" w:fill="C6EFCE"/>
          </w:tcPr>
          <w:p w14:paraId="1216B9AE"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shd w:val="clear" w:color="auto" w:fill="C6EFCE"/>
          </w:tcPr>
          <w:p w14:paraId="1216B9AF"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shd w:val="clear" w:color="auto" w:fill="C6EFCE"/>
          </w:tcPr>
          <w:p w14:paraId="1216B9B0"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T4</w:t>
            </w:r>
          </w:p>
        </w:tc>
        <w:tc>
          <w:tcPr>
            <w:tcW w:w="851" w:type="dxa"/>
            <w:shd w:val="clear" w:color="auto" w:fill="C6EFCE"/>
          </w:tcPr>
          <w:p w14:paraId="1216B9B1"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2025</w:t>
            </w:r>
          </w:p>
        </w:tc>
        <w:tc>
          <w:tcPr>
            <w:tcW w:w="3312" w:type="dxa"/>
            <w:shd w:val="clear" w:color="auto" w:fill="C6EFCE"/>
          </w:tcPr>
          <w:p w14:paraId="1216B9B2" w14:textId="77777777" w:rsidR="003C4798" w:rsidRDefault="00417595">
            <w:pPr>
              <w:pStyle w:val="P68B1DB1-Normal021"/>
              <w:pBdr>
                <w:top w:val="nil"/>
                <w:left w:val="nil"/>
                <w:bottom w:val="nil"/>
                <w:right w:val="nil"/>
                <w:between w:val="nil"/>
              </w:pBdr>
              <w:spacing w:after="0" w:line="240" w:lineRule="auto"/>
              <w:rPr>
                <w:noProof/>
                <w:color w:val="000000" w:themeColor="text1"/>
              </w:rPr>
            </w:pPr>
            <w:r>
              <w:rPr>
                <w:noProof/>
                <w:color w:val="000000" w:themeColor="text1"/>
              </w:rPr>
              <w:t>Une étude sur les mesures visant à limiter les contraintes d’allocation dans le système électrique polonais est réalisée et publiée par le régulateur de l’énergie sur son site web. L'étude contient une évaluation de l'utilisation des contraintes d'allocation depuis l'adoption de la réforme en B6L, la motivation de leur utilisation, l'impact des mesures existantes visant à limiter les contraintes d'allocation et recommande des mesures supplémentaires pour réduire au maximum l'utilisation des contraintes d'allocation dans le système électrique polonais.</w:t>
            </w:r>
          </w:p>
        </w:tc>
      </w:tr>
      <w:tr w:rsidR="003C4798" w14:paraId="1216B9BF" w14:textId="77777777" w:rsidTr="00EC21D5">
        <w:trPr>
          <w:trHeight w:val="313"/>
          <w:jc w:val="center"/>
        </w:trPr>
        <w:tc>
          <w:tcPr>
            <w:tcW w:w="812" w:type="dxa"/>
            <w:shd w:val="clear" w:color="auto" w:fill="C6EFCE"/>
          </w:tcPr>
          <w:p w14:paraId="1216B9B4"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B10L</w:t>
            </w:r>
          </w:p>
        </w:tc>
        <w:tc>
          <w:tcPr>
            <w:tcW w:w="1720" w:type="dxa"/>
            <w:shd w:val="clear" w:color="auto" w:fill="C6EFCE"/>
          </w:tcPr>
          <w:p w14:paraId="1216B9B5"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B2.4 Cadre juridique pour le développement des installations de stockage d'énergie</w:t>
            </w:r>
          </w:p>
        </w:tc>
        <w:tc>
          <w:tcPr>
            <w:tcW w:w="1258" w:type="dxa"/>
            <w:shd w:val="clear" w:color="auto" w:fill="C6EFCE"/>
          </w:tcPr>
          <w:p w14:paraId="1216B9B6"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shd w:val="clear" w:color="auto" w:fill="C6EFCE"/>
          </w:tcPr>
          <w:p w14:paraId="1216B9B7"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Entrée en vigueur des modifications de la loi sur l'énergie en ce qui concerne le stockage de l'énergie</w:t>
            </w:r>
          </w:p>
        </w:tc>
        <w:tc>
          <w:tcPr>
            <w:tcW w:w="1545" w:type="dxa"/>
            <w:shd w:val="clear" w:color="auto" w:fill="C6EFCE"/>
          </w:tcPr>
          <w:p w14:paraId="1216B9B8"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Disposition des amendements à la loi sur l'énergie indiquant son entrée en vigueur</w:t>
            </w:r>
          </w:p>
        </w:tc>
        <w:tc>
          <w:tcPr>
            <w:tcW w:w="938" w:type="dxa"/>
            <w:shd w:val="clear" w:color="auto" w:fill="C6EFCE"/>
          </w:tcPr>
          <w:p w14:paraId="1216B9B9"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30" w:type="dxa"/>
            <w:shd w:val="clear" w:color="auto" w:fill="C6EFCE"/>
          </w:tcPr>
          <w:p w14:paraId="1216B9BA"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9BB"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9BC"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T2</w:t>
            </w:r>
          </w:p>
        </w:tc>
        <w:tc>
          <w:tcPr>
            <w:tcW w:w="851" w:type="dxa"/>
            <w:shd w:val="clear" w:color="auto" w:fill="C6EFCE"/>
          </w:tcPr>
          <w:p w14:paraId="1216B9BD"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2021</w:t>
            </w:r>
          </w:p>
        </w:tc>
        <w:tc>
          <w:tcPr>
            <w:tcW w:w="3312" w:type="dxa"/>
            <w:shd w:val="clear" w:color="auto" w:fill="C6EFCE"/>
          </w:tcPr>
          <w:p w14:paraId="1216B9BE"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Les modifications facilitent le développement du stockage de l’électricité, y compris, en particulier, une exemption de l’obligation tarifaire, l’absence de double redevance de réseau, l’exemption partielle des redevances de raccordement du stockage au réseau, l’exemption de l’obligation de présenter des certificats d’origine et de certaines redevances en ce qui concerne l’électricité stockée. Le cadre tarifaire proposé pour le stockage doit être non discriminatoire et refléter les coûts.</w:t>
            </w:r>
          </w:p>
        </w:tc>
      </w:tr>
      <w:tr w:rsidR="003C4798" w14:paraId="1216B9CB" w14:textId="77777777" w:rsidTr="00EC21D5">
        <w:trPr>
          <w:trHeight w:val="313"/>
          <w:jc w:val="center"/>
        </w:trPr>
        <w:tc>
          <w:tcPr>
            <w:tcW w:w="812" w:type="dxa"/>
            <w:shd w:val="clear" w:color="auto" w:fill="C6EFCE"/>
          </w:tcPr>
          <w:p w14:paraId="1216B9C0"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B14L</w:t>
            </w:r>
          </w:p>
        </w:tc>
        <w:tc>
          <w:tcPr>
            <w:tcW w:w="1720" w:type="dxa"/>
            <w:shd w:val="clear" w:color="auto" w:fill="C6EFCE"/>
          </w:tcPr>
          <w:p w14:paraId="1216B9C1"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B3.2 Appui à la restauration de l ' environnement et à la protection contre les substances dangereuses</w:t>
            </w:r>
          </w:p>
        </w:tc>
        <w:tc>
          <w:tcPr>
            <w:tcW w:w="1258" w:type="dxa"/>
            <w:shd w:val="clear" w:color="auto" w:fill="C6EFCE"/>
          </w:tcPr>
          <w:p w14:paraId="1216B9C2"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shd w:val="clear" w:color="auto" w:fill="C6EFCE"/>
          </w:tcPr>
          <w:p w14:paraId="1216B9C3" w14:textId="1A2BD81B" w:rsidR="003C4798" w:rsidRDefault="00417595">
            <w:pPr>
              <w:pStyle w:val="P68B1DB1-Normal062"/>
              <w:pBdr>
                <w:top w:val="nil"/>
                <w:left w:val="nil"/>
                <w:bottom w:val="nil"/>
                <w:right w:val="nil"/>
                <w:between w:val="nil"/>
              </w:pBdr>
              <w:spacing w:after="0" w:line="240" w:lineRule="auto"/>
              <w:rPr>
                <w:noProof/>
              </w:rPr>
            </w:pPr>
            <w:r>
              <w:rPr>
                <w:noProof/>
              </w:rPr>
              <w:t>Entrée en vigueur d'une loi visant à faciliter l'élimination complète des incidences négatives sur l'environnement des grandes zones postindustrielles</w:t>
            </w:r>
          </w:p>
        </w:tc>
        <w:tc>
          <w:tcPr>
            <w:tcW w:w="1545" w:type="dxa"/>
            <w:shd w:val="clear" w:color="auto" w:fill="C6EFCE"/>
          </w:tcPr>
          <w:p w14:paraId="1216B9C4"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Disposition de la loi indiquant son entrée en vigueur</w:t>
            </w:r>
          </w:p>
        </w:tc>
        <w:tc>
          <w:tcPr>
            <w:tcW w:w="938" w:type="dxa"/>
            <w:shd w:val="clear" w:color="auto" w:fill="C6EFCE"/>
          </w:tcPr>
          <w:p w14:paraId="1216B9C5"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230" w:type="dxa"/>
            <w:shd w:val="clear" w:color="auto" w:fill="C6EFCE"/>
          </w:tcPr>
          <w:p w14:paraId="1216B9C6"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992" w:type="dxa"/>
            <w:shd w:val="clear" w:color="auto" w:fill="C6EFCE"/>
          </w:tcPr>
          <w:p w14:paraId="1216B9C7"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34" w:type="dxa"/>
            <w:shd w:val="clear" w:color="auto" w:fill="C6EFCE"/>
          </w:tcPr>
          <w:p w14:paraId="1216B9C8"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T4</w:t>
            </w:r>
          </w:p>
        </w:tc>
        <w:tc>
          <w:tcPr>
            <w:tcW w:w="851" w:type="dxa"/>
            <w:shd w:val="clear" w:color="auto" w:fill="C6EFCE"/>
          </w:tcPr>
          <w:p w14:paraId="1216B9C9"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2022</w:t>
            </w:r>
          </w:p>
        </w:tc>
        <w:tc>
          <w:tcPr>
            <w:tcW w:w="3312" w:type="dxa"/>
            <w:shd w:val="clear" w:color="auto" w:fill="C6EFCE"/>
          </w:tcPr>
          <w:p w14:paraId="1216B9CA" w14:textId="7D09BA37" w:rsidR="003C4798" w:rsidRDefault="00417595">
            <w:pPr>
              <w:pStyle w:val="P68B1DB1-Normal021"/>
              <w:pBdr>
                <w:top w:val="nil"/>
                <w:left w:val="nil"/>
                <w:bottom w:val="nil"/>
                <w:right w:val="nil"/>
                <w:between w:val="nil"/>
              </w:pBdr>
              <w:spacing w:after="0" w:line="240" w:lineRule="auto"/>
              <w:rPr>
                <w:noProof/>
                <w:color w:val="006100"/>
              </w:rPr>
            </w:pPr>
            <w:r>
              <w:rPr>
                <w:noProof/>
                <w:color w:val="000000" w:themeColor="text1"/>
              </w:rPr>
              <w:t>Entrée en vigueur d'une loi visant à accroître la sécurité pour la santé humaine et l'état de l'environnement. La loi supprime les obstacles organisationnels et juridiques à l'élimination complète des incidences négatives sur l'environnement des grandes zones postindustrielles.</w:t>
            </w:r>
            <w:r>
              <w:rPr>
                <w:noProof/>
              </w:rPr>
              <w:t xml:space="preserve"> </w:t>
            </w:r>
            <w:r>
              <w:rPr>
                <w:noProof/>
              </w:rPr>
              <w:br/>
            </w:r>
            <w:r>
              <w:rPr>
                <w:noProof/>
                <w:color w:val="000000" w:themeColor="text1"/>
              </w:rPr>
              <w:t xml:space="preserve">C'est une forme de pilotage pour des emplacements prédéfinis. </w:t>
            </w:r>
            <w:r>
              <w:rPr>
                <w:noProof/>
              </w:rPr>
              <w:br/>
            </w:r>
            <w:r>
              <w:rPr>
                <w:noProof/>
                <w:color w:val="000000" w:themeColor="text1"/>
              </w:rPr>
              <w:t>La loi prévoit des règles pour quatre composantes de terrain indépendantes (différents emplacements et champs d'application des travaux): 1) ancienne usine chimique "Tarnowskie Góry" à Tarnowskie Góry; 2) ancienne usine chimique "Zachem" à Bydgoszcz; 3) Usine "Organika-Azot" à Jaworzno; 4) ancienne usine de colorants "Boruta" à Zgierz.</w:t>
            </w:r>
            <w:r>
              <w:rPr>
                <w:noProof/>
              </w:rPr>
              <w:t xml:space="preserve"> </w:t>
            </w:r>
            <w:r>
              <w:rPr>
                <w:noProof/>
              </w:rPr>
              <w:br/>
            </w:r>
            <w:r>
              <w:rPr>
                <w:noProof/>
                <w:color w:val="000000" w:themeColor="text1"/>
              </w:rPr>
              <w:t>La portée du projet comprend la reconnaissance et l'inventaire des zones, la préparation et l'évaluation de l'ampleur des problèmes liés à la réduction de l'impact environnemental des grands friches industrielles et l'élaboration d'une documentation d'investissement complète pour ces zones.</w:t>
            </w:r>
          </w:p>
        </w:tc>
      </w:tr>
      <w:tr w:rsidR="003C4798" w14:paraId="1216B9D7" w14:textId="77777777" w:rsidTr="00EC21D5">
        <w:trPr>
          <w:trHeight w:val="313"/>
          <w:jc w:val="center"/>
        </w:trPr>
        <w:tc>
          <w:tcPr>
            <w:tcW w:w="812" w:type="dxa"/>
            <w:shd w:val="clear" w:color="auto" w:fill="C6EFCE"/>
          </w:tcPr>
          <w:p w14:paraId="1216B9CC"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B15L</w:t>
            </w:r>
          </w:p>
        </w:tc>
        <w:tc>
          <w:tcPr>
            <w:tcW w:w="1720" w:type="dxa"/>
            <w:shd w:val="clear" w:color="auto" w:fill="C6EFCE"/>
          </w:tcPr>
          <w:p w14:paraId="1216B9CD"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B3.2 Appui à la restauration de l ' environnement et à la protection contre les substances dangereuses</w:t>
            </w:r>
          </w:p>
        </w:tc>
        <w:tc>
          <w:tcPr>
            <w:tcW w:w="1258" w:type="dxa"/>
            <w:shd w:val="clear" w:color="auto" w:fill="C6EFCE"/>
          </w:tcPr>
          <w:p w14:paraId="1216B9CE"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848" w:type="dxa"/>
            <w:shd w:val="clear" w:color="auto" w:fill="C6EFCE"/>
          </w:tcPr>
          <w:p w14:paraId="1216B9CF" w14:textId="1F0E3796"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Entrée en vigueur d’un ou de plusieurs actes juridiques dans le domaine des matières dangereuses qui subsistent dans les zones marines de la République de Pologne</w:t>
            </w:r>
          </w:p>
        </w:tc>
        <w:tc>
          <w:tcPr>
            <w:tcW w:w="1545" w:type="dxa"/>
            <w:shd w:val="clear" w:color="auto" w:fill="C6EFCE"/>
          </w:tcPr>
          <w:p w14:paraId="1216B9D0"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Disposition du ou des actes juridiques indiquant leur entrée en vigueur</w:t>
            </w:r>
          </w:p>
        </w:tc>
        <w:tc>
          <w:tcPr>
            <w:tcW w:w="938" w:type="dxa"/>
            <w:shd w:val="clear" w:color="auto" w:fill="C6EFCE"/>
          </w:tcPr>
          <w:p w14:paraId="1216B9D1"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rPr>
            </w:pPr>
          </w:p>
        </w:tc>
        <w:tc>
          <w:tcPr>
            <w:tcW w:w="1230" w:type="dxa"/>
            <w:shd w:val="clear" w:color="auto" w:fill="C6EFCE"/>
          </w:tcPr>
          <w:p w14:paraId="1216B9D2"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rPr>
            </w:pPr>
          </w:p>
        </w:tc>
        <w:tc>
          <w:tcPr>
            <w:tcW w:w="992" w:type="dxa"/>
            <w:shd w:val="clear" w:color="auto" w:fill="C6EFCE"/>
          </w:tcPr>
          <w:p w14:paraId="1216B9D3"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rPr>
            </w:pPr>
          </w:p>
        </w:tc>
        <w:tc>
          <w:tcPr>
            <w:tcW w:w="1134" w:type="dxa"/>
            <w:shd w:val="clear" w:color="auto" w:fill="C6EFCE"/>
          </w:tcPr>
          <w:p w14:paraId="1216B9D4"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T2</w:t>
            </w:r>
          </w:p>
        </w:tc>
        <w:tc>
          <w:tcPr>
            <w:tcW w:w="851" w:type="dxa"/>
            <w:shd w:val="clear" w:color="auto" w:fill="C6EFCE"/>
          </w:tcPr>
          <w:p w14:paraId="1216B9D5"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3312" w:type="dxa"/>
            <w:shd w:val="clear" w:color="auto" w:fill="C6EFCE"/>
          </w:tcPr>
          <w:p w14:paraId="1216B9D6" w14:textId="77777777" w:rsidR="003C4798" w:rsidRDefault="00417595">
            <w:pPr>
              <w:pStyle w:val="P68B1DB1-Normal021"/>
              <w:pBdr>
                <w:top w:val="nil"/>
                <w:left w:val="nil"/>
                <w:bottom w:val="nil"/>
                <w:right w:val="nil"/>
                <w:between w:val="nil"/>
              </w:pBdr>
              <w:spacing w:after="0" w:line="240" w:lineRule="auto"/>
              <w:rPr>
                <w:noProof/>
                <w:color w:val="000000" w:themeColor="text1"/>
              </w:rPr>
            </w:pPr>
            <w:r>
              <w:rPr>
                <w:noProof/>
                <w:color w:val="000000" w:themeColor="text1"/>
              </w:rPr>
              <w:t>Entrée en vigueur du ou des actes juridiques, qui prévoient:</w:t>
            </w:r>
            <w:r>
              <w:rPr>
                <w:noProof/>
              </w:rPr>
              <w:t xml:space="preserve"> </w:t>
            </w:r>
            <w:r>
              <w:rPr>
                <w:noProof/>
              </w:rPr>
              <w:br/>
            </w:r>
            <w:r>
              <w:rPr>
                <w:noProof/>
                <w:color w:val="000000" w:themeColor="text1"/>
              </w:rPr>
              <w:t>- description des compétences des autorités publiques en matière d'élimination des matières dangereuses dans les zones marines de la République de Pologne;</w:t>
            </w:r>
            <w:r>
              <w:rPr>
                <w:noProof/>
              </w:rPr>
              <w:t xml:space="preserve"> </w:t>
            </w:r>
            <w:r>
              <w:rPr>
                <w:noProof/>
              </w:rPr>
              <w:br/>
            </w:r>
            <w:r>
              <w:rPr>
                <w:noProof/>
                <w:color w:val="000000" w:themeColor="text1"/>
              </w:rPr>
              <w:t>l'obligation d'élaborer un plan annuel sur la question des matières dangereuses qui subsistent dans les zones marines de la République de Pologne;</w:t>
            </w:r>
            <w:r>
              <w:rPr>
                <w:noProof/>
              </w:rPr>
              <w:t xml:space="preserve"> </w:t>
            </w:r>
            <w:r>
              <w:rPr>
                <w:noProof/>
              </w:rPr>
              <w:br/>
            </w:r>
            <w:r>
              <w:rPr>
                <w:noProof/>
                <w:color w:val="000000" w:themeColor="text1"/>
              </w:rPr>
              <w:t>- une définition des matières dangereuses coulées, l'établissement d'un registre de ces matières dangereuses, l'obligation de signaler les matières dangereuses découvertes ou identifiées.</w:t>
            </w:r>
          </w:p>
        </w:tc>
      </w:tr>
      <w:tr w:rsidR="003C4798" w14:paraId="1216B9E5" w14:textId="77777777" w:rsidTr="00EC21D5">
        <w:trPr>
          <w:trHeight w:val="313"/>
          <w:jc w:val="center"/>
        </w:trPr>
        <w:tc>
          <w:tcPr>
            <w:tcW w:w="812" w:type="dxa"/>
            <w:shd w:val="clear" w:color="auto" w:fill="C6EFCE"/>
          </w:tcPr>
          <w:p w14:paraId="1216B9D8" w14:textId="36EB090B" w:rsidR="003C4798" w:rsidRDefault="00417595">
            <w:pPr>
              <w:pStyle w:val="P68B1DB1-Normal021"/>
              <w:pBdr>
                <w:top w:val="nil"/>
                <w:left w:val="nil"/>
                <w:bottom w:val="nil"/>
                <w:right w:val="nil"/>
                <w:between w:val="nil"/>
              </w:pBdr>
              <w:spacing w:after="0" w:line="240" w:lineRule="auto"/>
              <w:jc w:val="center"/>
              <w:rPr>
                <w:noProof/>
              </w:rPr>
            </w:pPr>
            <w:r>
              <w:rPr>
                <w:noProof/>
              </w:rPr>
              <w:t>B16L</w:t>
            </w:r>
          </w:p>
        </w:tc>
        <w:tc>
          <w:tcPr>
            <w:tcW w:w="1720" w:type="dxa"/>
            <w:shd w:val="clear" w:color="auto" w:fill="C6EFCE"/>
          </w:tcPr>
          <w:p w14:paraId="1216B9D9" w14:textId="77777777" w:rsidR="003C4798" w:rsidRDefault="00417595">
            <w:pPr>
              <w:pStyle w:val="P68B1DB1-Normal062"/>
              <w:pBdr>
                <w:top w:val="nil"/>
                <w:left w:val="nil"/>
                <w:bottom w:val="nil"/>
                <w:right w:val="nil"/>
                <w:between w:val="nil"/>
              </w:pBdr>
              <w:spacing w:after="0" w:line="240" w:lineRule="auto"/>
              <w:rPr>
                <w:noProof/>
              </w:rPr>
            </w:pPr>
            <w:r>
              <w:rPr>
                <w:noProof/>
              </w:rPr>
              <w:t>B3.2.1 Investissements dans la neutralisation des risques et la restauration des sites onshore et offshore</w:t>
            </w:r>
          </w:p>
        </w:tc>
        <w:tc>
          <w:tcPr>
            <w:tcW w:w="1258" w:type="dxa"/>
            <w:shd w:val="clear" w:color="auto" w:fill="C6EFCE"/>
          </w:tcPr>
          <w:p w14:paraId="1216B9DA"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Objectif</w:t>
            </w:r>
          </w:p>
        </w:tc>
        <w:tc>
          <w:tcPr>
            <w:tcW w:w="1848" w:type="dxa"/>
            <w:shd w:val="clear" w:color="auto" w:fill="C6EFCE"/>
          </w:tcPr>
          <w:p w14:paraId="1216B9DB" w14:textId="429DD208" w:rsidR="003C4798" w:rsidRDefault="00417595">
            <w:pPr>
              <w:pStyle w:val="P68B1DB1-Normal021"/>
              <w:pBdr>
                <w:top w:val="nil"/>
                <w:left w:val="nil"/>
                <w:bottom w:val="nil"/>
                <w:right w:val="nil"/>
                <w:between w:val="nil"/>
              </w:pBdr>
              <w:spacing w:after="0" w:line="240" w:lineRule="auto"/>
              <w:rPr>
                <w:noProof/>
                <w:color w:val="000000" w:themeColor="text1"/>
              </w:rPr>
            </w:pPr>
            <w:r>
              <w:rPr>
                <w:noProof/>
                <w:color w:val="000000" w:themeColor="text1"/>
              </w:rPr>
              <w:t xml:space="preserve">Documentation pour les investissements liés aux sites terrestres et offshore </w:t>
            </w:r>
            <w:r>
              <w:rPr>
                <w:noProof/>
              </w:rPr>
              <w:t>exposés à la présence de polluants ou de substances dangereuses</w:t>
            </w:r>
          </w:p>
        </w:tc>
        <w:tc>
          <w:tcPr>
            <w:tcW w:w="1545" w:type="dxa"/>
            <w:shd w:val="clear" w:color="auto" w:fill="C6EFCE"/>
          </w:tcPr>
          <w:p w14:paraId="1216B9DC" w14:textId="77777777" w:rsidR="003C4798" w:rsidRDefault="003C4798">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shd w:val="clear" w:color="auto" w:fill="C6EFCE"/>
          </w:tcPr>
          <w:p w14:paraId="1216B9DD"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Numéro</w:t>
            </w:r>
          </w:p>
        </w:tc>
        <w:tc>
          <w:tcPr>
            <w:tcW w:w="1230" w:type="dxa"/>
            <w:shd w:val="clear" w:color="auto" w:fill="C6EFCE"/>
          </w:tcPr>
          <w:p w14:paraId="1216B9DE"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0</w:t>
            </w:r>
          </w:p>
        </w:tc>
        <w:tc>
          <w:tcPr>
            <w:tcW w:w="992" w:type="dxa"/>
            <w:shd w:val="clear" w:color="auto" w:fill="C6EFCE"/>
          </w:tcPr>
          <w:p w14:paraId="1216B9DF" w14:textId="4B5E26C8" w:rsidR="003C4798" w:rsidRDefault="00417595">
            <w:pPr>
              <w:pStyle w:val="P68B1DB1-Normal062"/>
              <w:pBdr>
                <w:top w:val="nil"/>
                <w:left w:val="nil"/>
                <w:bottom w:val="nil"/>
                <w:right w:val="nil"/>
                <w:between w:val="nil"/>
              </w:pBdr>
              <w:spacing w:after="0" w:line="240" w:lineRule="auto"/>
              <w:jc w:val="center"/>
              <w:rPr>
                <w:noProof/>
              </w:rPr>
            </w:pPr>
            <w:r>
              <w:rPr>
                <w:noProof/>
              </w:rPr>
              <w:t>8</w:t>
            </w:r>
          </w:p>
        </w:tc>
        <w:tc>
          <w:tcPr>
            <w:tcW w:w="1134" w:type="dxa"/>
            <w:shd w:val="clear" w:color="auto" w:fill="C6EFCE"/>
          </w:tcPr>
          <w:p w14:paraId="1216B9E0"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T3</w:t>
            </w:r>
          </w:p>
        </w:tc>
        <w:tc>
          <w:tcPr>
            <w:tcW w:w="851" w:type="dxa"/>
            <w:shd w:val="clear" w:color="auto" w:fill="C6EFCE"/>
          </w:tcPr>
          <w:p w14:paraId="1216B9E1"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2026</w:t>
            </w:r>
          </w:p>
        </w:tc>
        <w:tc>
          <w:tcPr>
            <w:tcW w:w="3312" w:type="dxa"/>
            <w:shd w:val="clear" w:color="auto" w:fill="C6EFCE"/>
          </w:tcPr>
          <w:p w14:paraId="1216B9E2" w14:textId="7F773CAC" w:rsidR="003C4798" w:rsidRDefault="00417595">
            <w:pPr>
              <w:pStyle w:val="P68B1DB1-Normal021"/>
              <w:pBdr>
                <w:top w:val="nil"/>
                <w:left w:val="nil"/>
                <w:bottom w:val="nil"/>
                <w:right w:val="nil"/>
                <w:between w:val="nil"/>
              </w:pBdr>
              <w:spacing w:after="0" w:line="240" w:lineRule="auto"/>
              <w:rPr>
                <w:noProof/>
              </w:rPr>
            </w:pPr>
            <w:r>
              <w:rPr>
                <w:noProof/>
              </w:rPr>
              <w:t>Documentation publiée relative aux investissements dans la neutralisation des risques et la restauration d’au moins quatre sites terrestres prédéfinis et de quatre sites offshore prédéfinis exposés à la présence de polluants ou de substances dangereuses:</w:t>
            </w:r>
          </w:p>
          <w:p w14:paraId="1216B9E3" w14:textId="77777777" w:rsidR="003C4798" w:rsidRDefault="00417595">
            <w:pPr>
              <w:pStyle w:val="P68B1DB1-Normal021"/>
              <w:pBdr>
                <w:top w:val="nil"/>
                <w:left w:val="nil"/>
                <w:bottom w:val="nil"/>
                <w:right w:val="nil"/>
                <w:between w:val="nil"/>
              </w:pBdr>
              <w:spacing w:after="0" w:line="240" w:lineRule="auto"/>
              <w:rPr>
                <w:noProof/>
              </w:rPr>
            </w:pPr>
            <w:r>
              <w:rPr>
                <w:noProof/>
              </w:rPr>
              <w:t xml:space="preserve">a) pour chaque site terrestre, une évaluation de l'état de l'environnement; et </w:t>
            </w:r>
          </w:p>
          <w:p w14:paraId="1216B9E4" w14:textId="77777777" w:rsidR="003C4798" w:rsidRDefault="00417595">
            <w:pPr>
              <w:pStyle w:val="P68B1DB1-Normal021"/>
              <w:pBdr>
                <w:top w:val="nil"/>
                <w:left w:val="nil"/>
                <w:bottom w:val="nil"/>
                <w:right w:val="nil"/>
                <w:between w:val="nil"/>
              </w:pBdr>
              <w:spacing w:after="0" w:line="240" w:lineRule="auto"/>
              <w:rPr>
                <w:noProof/>
                <w:color w:val="000000" w:themeColor="text1"/>
              </w:rPr>
            </w:pPr>
            <w:r>
              <w:rPr>
                <w:noProof/>
              </w:rPr>
              <w:t>b) pour chaque site offshore, des plans de neutralisation contenant les méthodes prévues pour neutraliser les matières dangereuses inondées, en tenant compte de l'impact des activités prévues et de leurs effets sur l'état du milieu marin.</w:t>
            </w:r>
          </w:p>
        </w:tc>
      </w:tr>
      <w:tr w:rsidR="003C4798" w14:paraId="1216B9F2" w14:textId="77777777" w:rsidTr="00EC21D5">
        <w:trPr>
          <w:trHeight w:val="313"/>
          <w:jc w:val="center"/>
        </w:trPr>
        <w:tc>
          <w:tcPr>
            <w:tcW w:w="812" w:type="dxa"/>
            <w:tcBorders>
              <w:top w:val="single" w:sz="4" w:space="0" w:color="auto"/>
            </w:tcBorders>
            <w:shd w:val="clear" w:color="auto" w:fill="C6EFCE"/>
          </w:tcPr>
          <w:p w14:paraId="1216B9E6"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B21L</w:t>
            </w:r>
          </w:p>
        </w:tc>
        <w:tc>
          <w:tcPr>
            <w:tcW w:w="1720" w:type="dxa"/>
            <w:tcBorders>
              <w:top w:val="single" w:sz="4" w:space="0" w:color="auto"/>
            </w:tcBorders>
            <w:shd w:val="clear" w:color="auto" w:fill="C6EFCE"/>
          </w:tcPr>
          <w:p w14:paraId="1216B9E7"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B3.3 Appui à la gestion durable des ressources en eau dans l'agriculture et les zones rurales</w:t>
            </w:r>
          </w:p>
        </w:tc>
        <w:tc>
          <w:tcPr>
            <w:tcW w:w="1258" w:type="dxa"/>
            <w:tcBorders>
              <w:top w:val="single" w:sz="4" w:space="0" w:color="auto"/>
            </w:tcBorders>
            <w:shd w:val="clear" w:color="auto" w:fill="C6EFCE"/>
          </w:tcPr>
          <w:p w14:paraId="1216B9E8"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tcBorders>
              <w:top w:val="single" w:sz="4" w:space="0" w:color="auto"/>
            </w:tcBorders>
            <w:shd w:val="clear" w:color="auto" w:fill="C6EFCE"/>
          </w:tcPr>
          <w:p w14:paraId="1216B9E9" w14:textId="77777777" w:rsidR="003C4798" w:rsidRDefault="00417595">
            <w:pPr>
              <w:pStyle w:val="P68B1DB1-Normal021"/>
              <w:pBdr>
                <w:top w:val="nil"/>
                <w:left w:val="nil"/>
                <w:bottom w:val="nil"/>
                <w:right w:val="nil"/>
                <w:between w:val="nil"/>
              </w:pBdr>
              <w:spacing w:after="0" w:line="240" w:lineRule="auto"/>
              <w:rPr>
                <w:noProof/>
                <w:u w:val="single"/>
              </w:rPr>
            </w:pPr>
            <w:r>
              <w:rPr>
                <w:noProof/>
              </w:rPr>
              <w:t>Entrée en vigueur des modifications de la législation nationale nécessaires pour améliorer les conditions d’une gestion résiliente de l’eau dans l’agriculture et les zones rurales</w:t>
            </w:r>
          </w:p>
        </w:tc>
        <w:tc>
          <w:tcPr>
            <w:tcW w:w="1545" w:type="dxa"/>
            <w:tcBorders>
              <w:top w:val="single" w:sz="4" w:space="0" w:color="auto"/>
            </w:tcBorders>
            <w:shd w:val="clear" w:color="auto" w:fill="C6EFCE"/>
          </w:tcPr>
          <w:p w14:paraId="1216B9EA"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Disposition des amendements indiquant l'entrée en vigueur</w:t>
            </w:r>
          </w:p>
        </w:tc>
        <w:tc>
          <w:tcPr>
            <w:tcW w:w="938" w:type="dxa"/>
            <w:tcBorders>
              <w:top w:val="single" w:sz="4" w:space="0" w:color="auto"/>
            </w:tcBorders>
            <w:shd w:val="clear" w:color="auto" w:fill="C6EFCE"/>
          </w:tcPr>
          <w:p w14:paraId="1216B9EB"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30" w:type="dxa"/>
            <w:tcBorders>
              <w:top w:val="single" w:sz="4" w:space="0" w:color="auto"/>
            </w:tcBorders>
            <w:shd w:val="clear" w:color="auto" w:fill="C6EFCE"/>
          </w:tcPr>
          <w:p w14:paraId="1216B9EC"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auto"/>
            </w:tcBorders>
            <w:shd w:val="clear" w:color="auto" w:fill="C6EFCE"/>
          </w:tcPr>
          <w:p w14:paraId="1216B9ED"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auto"/>
            </w:tcBorders>
            <w:shd w:val="clear" w:color="auto" w:fill="C6EFCE"/>
          </w:tcPr>
          <w:p w14:paraId="1216B9EE"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T2</w:t>
            </w:r>
          </w:p>
        </w:tc>
        <w:tc>
          <w:tcPr>
            <w:tcW w:w="851" w:type="dxa"/>
            <w:tcBorders>
              <w:top w:val="single" w:sz="4" w:space="0" w:color="auto"/>
            </w:tcBorders>
            <w:shd w:val="clear" w:color="auto" w:fill="C6EFCE"/>
          </w:tcPr>
          <w:p w14:paraId="1216B9EF"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2022</w:t>
            </w:r>
          </w:p>
        </w:tc>
        <w:tc>
          <w:tcPr>
            <w:tcW w:w="3312" w:type="dxa"/>
            <w:tcBorders>
              <w:top w:val="single" w:sz="4" w:space="0" w:color="auto"/>
            </w:tcBorders>
            <w:shd w:val="clear" w:color="auto" w:fill="C6EFCE"/>
          </w:tcPr>
          <w:p w14:paraId="1216B9F0" w14:textId="0575D9ED" w:rsidR="003C4798" w:rsidRDefault="00417595">
            <w:pPr>
              <w:pStyle w:val="P68B1DB1-Normal062"/>
              <w:pBdr>
                <w:top w:val="nil"/>
                <w:left w:val="nil"/>
                <w:bottom w:val="nil"/>
                <w:right w:val="nil"/>
                <w:between w:val="nil"/>
              </w:pBdr>
              <w:spacing w:after="0" w:line="240" w:lineRule="auto"/>
              <w:rPr>
                <w:noProof/>
                <w:color w:val="006100"/>
              </w:rPr>
            </w:pPr>
            <w:r>
              <w:rPr>
                <w:noProof/>
              </w:rPr>
              <w:t xml:space="preserve">Entrée en vigueur des modifications qui contribuent à accroître la résilience de l’agriculture face à la sécheresse et à la prévention des inondations dans les zones agricoles; améliorer l'utilisation rationnelle de l'eau en régulant correctement les relations hydriques dans les zones agricoles et en réduisant le ruissellement; et l'augmentation de la rétention d'eau. Les modifications sont conformes aux exigences énoncées dans les orientations techniques «Ne pas causer de préjudice important» (2021/C 58/01), en particulier, elles garantissent le respect de la législation environnementale de l’Union, y compris la directive EIE et la directive-cadre sur l’eau. </w:t>
            </w:r>
          </w:p>
          <w:p w14:paraId="1216B9F1" w14:textId="77777777" w:rsidR="003C4798" w:rsidRDefault="00417595">
            <w:pPr>
              <w:pStyle w:val="P68B1DB1-Normal062"/>
              <w:pBdr>
                <w:top w:val="nil"/>
                <w:left w:val="nil"/>
                <w:bottom w:val="nil"/>
                <w:right w:val="nil"/>
                <w:between w:val="nil"/>
              </w:pBdr>
              <w:spacing w:after="0" w:line="240" w:lineRule="auto"/>
              <w:rPr>
                <w:noProof/>
              </w:rPr>
            </w:pPr>
            <w:r>
              <w:rPr>
                <w:noProof/>
              </w:rPr>
              <w:t>Les modifications n'entraînent aucune détérioration du niveau de conformité avec la législation environnementale de l'UE en ce qui concerne les investissements considérés comme importants ou potentiellement importants en vertu du règlement du Conseil des ministres sur les projets susceptibles d'avoir une incidence significative sur l'environnement et les investissements dans les zones Natura 2000 ou ayant une incidence sur celles-ci. En outre, les modifications ne modifient pas les règles actuellement contraignantes en matière de prise d’eau.</w:t>
            </w:r>
          </w:p>
        </w:tc>
      </w:tr>
      <w:tr w:rsidR="003C4798" w14:paraId="1216BA00" w14:textId="77777777" w:rsidTr="00EC21D5">
        <w:trPr>
          <w:trHeight w:val="313"/>
          <w:jc w:val="center"/>
        </w:trPr>
        <w:tc>
          <w:tcPr>
            <w:tcW w:w="812" w:type="dxa"/>
            <w:shd w:val="clear" w:color="auto" w:fill="C6EFCE"/>
          </w:tcPr>
          <w:p w14:paraId="1216B9F3"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B22L</w:t>
            </w:r>
          </w:p>
        </w:tc>
        <w:tc>
          <w:tcPr>
            <w:tcW w:w="1720" w:type="dxa"/>
            <w:shd w:val="clear" w:color="auto" w:fill="C6EFCE"/>
          </w:tcPr>
          <w:p w14:paraId="1216B9F4"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B3.3.1 Investissements visant à accroître le potentiel de gestion durable de l'eau dans les zones rurales</w:t>
            </w:r>
          </w:p>
        </w:tc>
        <w:tc>
          <w:tcPr>
            <w:tcW w:w="1258" w:type="dxa"/>
            <w:shd w:val="clear" w:color="auto" w:fill="C6EFCE"/>
          </w:tcPr>
          <w:p w14:paraId="1216B9F5"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848" w:type="dxa"/>
            <w:shd w:val="clear" w:color="auto" w:fill="C6EFCE"/>
          </w:tcPr>
          <w:p w14:paraId="1216B9F6"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 xml:space="preserve">Adoption de critères de sélection pour les appels à propositions </w:t>
            </w:r>
          </w:p>
        </w:tc>
        <w:tc>
          <w:tcPr>
            <w:tcW w:w="1545" w:type="dxa"/>
            <w:shd w:val="clear" w:color="auto" w:fill="C6EFCE"/>
          </w:tcPr>
          <w:p w14:paraId="1216B9F7"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Adoption des critères par le ministère de l'agriculture et du développement rural</w:t>
            </w:r>
          </w:p>
        </w:tc>
        <w:tc>
          <w:tcPr>
            <w:tcW w:w="938" w:type="dxa"/>
            <w:shd w:val="clear" w:color="auto" w:fill="C6EFCE"/>
          </w:tcPr>
          <w:p w14:paraId="1216B9F8"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30" w:type="dxa"/>
            <w:shd w:val="clear" w:color="auto" w:fill="C6EFCE"/>
          </w:tcPr>
          <w:p w14:paraId="1216B9F9"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shd w:val="clear" w:color="auto" w:fill="C6EFCE"/>
          </w:tcPr>
          <w:p w14:paraId="1216B9FA"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shd w:val="clear" w:color="auto" w:fill="C6EFCE"/>
          </w:tcPr>
          <w:p w14:paraId="1216B9FB"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T2</w:t>
            </w:r>
          </w:p>
        </w:tc>
        <w:tc>
          <w:tcPr>
            <w:tcW w:w="851" w:type="dxa"/>
            <w:shd w:val="clear" w:color="auto" w:fill="C6EFCE"/>
          </w:tcPr>
          <w:p w14:paraId="1216B9FC"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2022</w:t>
            </w:r>
          </w:p>
        </w:tc>
        <w:tc>
          <w:tcPr>
            <w:tcW w:w="3312" w:type="dxa"/>
            <w:shd w:val="clear" w:color="auto" w:fill="C6EFCE"/>
          </w:tcPr>
          <w:p w14:paraId="1216B9FD"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 xml:space="preserve">Les investissements sont sélectionnés au moyen d’appels spécifiques, sur la base de critères environnementaux. </w:t>
            </w:r>
          </w:p>
          <w:p w14:paraId="1216B9FE"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Le projet contribue à accroître la résilience de l’agriculture à la sécheresse et à la prévention des inondations dans les zones agricoles; améliorer l'utilisation rationnelle de l'eau en régulant correctement les relations hydriques dans les zones agricoles et en réduisant le ruissellement; et l’augmentation de la rétention d’eau, à condition que leurs besoins et leur nature soient justifiés de manière appropriée.</w:t>
            </w:r>
          </w:p>
          <w:p w14:paraId="1216B9FF" w14:textId="1C5F81C1" w:rsidR="003C4798" w:rsidRDefault="00417595">
            <w:pPr>
              <w:pStyle w:val="P68B1DB1-Normal062"/>
              <w:pBdr>
                <w:top w:val="nil"/>
                <w:left w:val="nil"/>
                <w:bottom w:val="nil"/>
                <w:right w:val="nil"/>
                <w:between w:val="nil"/>
              </w:pBdr>
              <w:spacing w:after="0" w:line="240" w:lineRule="auto"/>
              <w:rPr>
                <w:noProof/>
              </w:rPr>
            </w:pPr>
            <w:r>
              <w:rPr>
                <w:noProof/>
              </w:rPr>
              <w:t>La priorité est accordée aux solutions fondées sur la nature ou à d’autres solutions résilientes au changement climatique. Seuls les projets qui n’entraînent pas de détérioration de l’état des eaux de surface et des eaux souterraines et qui n’empêchent pas l’amélioration de l’état écologique ou du potentiel des masses d’eau touchées sont soutenus.</w:t>
            </w:r>
          </w:p>
        </w:tc>
      </w:tr>
      <w:tr w:rsidR="003C4798" w14:paraId="1216BA0C" w14:textId="77777777" w:rsidTr="00EC21D5">
        <w:trPr>
          <w:trHeight w:val="313"/>
          <w:jc w:val="center"/>
        </w:trPr>
        <w:tc>
          <w:tcPr>
            <w:tcW w:w="812" w:type="dxa"/>
            <w:shd w:val="clear" w:color="auto" w:fill="C6EFCE"/>
          </w:tcPr>
          <w:p w14:paraId="1216BA01"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B24L</w:t>
            </w:r>
          </w:p>
        </w:tc>
        <w:tc>
          <w:tcPr>
            <w:tcW w:w="1720" w:type="dxa"/>
            <w:shd w:val="clear" w:color="auto" w:fill="C6EFCE"/>
          </w:tcPr>
          <w:p w14:paraId="1216BA02"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B3.4 Cadre propice aux investissements en faveur de la transition écologique dans les zones urbaines</w:t>
            </w:r>
          </w:p>
        </w:tc>
        <w:tc>
          <w:tcPr>
            <w:tcW w:w="1258" w:type="dxa"/>
            <w:shd w:val="clear" w:color="auto" w:fill="C6EFCE"/>
          </w:tcPr>
          <w:p w14:paraId="1216BA03"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848" w:type="dxa"/>
            <w:shd w:val="clear" w:color="auto" w:fill="C6EFCE"/>
          </w:tcPr>
          <w:p w14:paraId="1216BA04" w14:textId="170198EA"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Entrée en vigueur d’une loi visant à soutenir la capacité des zones urbaines à investir dans la transition écologique</w:t>
            </w:r>
          </w:p>
        </w:tc>
        <w:tc>
          <w:tcPr>
            <w:tcW w:w="1545" w:type="dxa"/>
            <w:shd w:val="clear" w:color="auto" w:fill="C6EFCE"/>
          </w:tcPr>
          <w:p w14:paraId="1216BA05"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Disposition de la loi indiquant son entrée en vigueur</w:t>
            </w:r>
          </w:p>
        </w:tc>
        <w:tc>
          <w:tcPr>
            <w:tcW w:w="938" w:type="dxa"/>
            <w:shd w:val="clear" w:color="auto" w:fill="C6EFCE"/>
          </w:tcPr>
          <w:p w14:paraId="1216BA06"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30" w:type="dxa"/>
            <w:shd w:val="clear" w:color="auto" w:fill="C6EFCE"/>
          </w:tcPr>
          <w:p w14:paraId="1216BA0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A08"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A09"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shd w:val="clear" w:color="auto" w:fill="C6EFCE"/>
          </w:tcPr>
          <w:p w14:paraId="1216BA0A"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2023</w:t>
            </w:r>
          </w:p>
        </w:tc>
        <w:tc>
          <w:tcPr>
            <w:tcW w:w="3312" w:type="dxa"/>
            <w:shd w:val="clear" w:color="auto" w:fill="C6EFCE"/>
          </w:tcPr>
          <w:p w14:paraId="1216BA0B" w14:textId="77777777" w:rsidR="003C4798" w:rsidRDefault="00417595">
            <w:pPr>
              <w:pStyle w:val="P68B1DB1-Normal062"/>
              <w:spacing w:after="0" w:line="240" w:lineRule="auto"/>
              <w:rPr>
                <w:rFonts w:eastAsia="Times New Roman"/>
                <w:noProof/>
              </w:rPr>
            </w:pPr>
            <w:r>
              <w:rPr>
                <w:noProof/>
              </w:rPr>
              <w:t>Entrée en vigueur d’une loi visant à soutenir la capacité des zones urbaines à investir dans la transition écologique. Elle veille à ce que les aspects liés à la durabilité soient intégrés dans les procédures de planification urbaine. Elle veille à ce que les parties prenantes soient consultées dans le cadre de ces procédures. Il fournit un soutien en matière de capacités aux gouvernements locaux pour la mise en œuvre de ces projets. La loi peut prévoir une période transitoire raisonnable pour l'application effective de certaines obligations d'adaptation urbaine.</w:t>
            </w:r>
          </w:p>
        </w:tc>
      </w:tr>
      <w:tr w:rsidR="003C4798" w14:paraId="1216BA1A" w14:textId="77777777" w:rsidTr="00EC21D5">
        <w:trPr>
          <w:trHeight w:val="313"/>
          <w:jc w:val="center"/>
        </w:trPr>
        <w:tc>
          <w:tcPr>
            <w:tcW w:w="812" w:type="dxa"/>
            <w:shd w:val="clear" w:color="auto" w:fill="C6EFCE"/>
          </w:tcPr>
          <w:p w14:paraId="1216BA0D"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B25L</w:t>
            </w:r>
          </w:p>
        </w:tc>
        <w:tc>
          <w:tcPr>
            <w:tcW w:w="1720" w:type="dxa"/>
            <w:shd w:val="clear" w:color="auto" w:fill="C6EFCE"/>
          </w:tcPr>
          <w:p w14:paraId="1216BA0E"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B3.4 Cadre propice aux investissements en faveur de la transition écologique dans les zones urbaines</w:t>
            </w:r>
          </w:p>
        </w:tc>
        <w:tc>
          <w:tcPr>
            <w:tcW w:w="1258" w:type="dxa"/>
            <w:shd w:val="clear" w:color="auto" w:fill="C6EFCE"/>
          </w:tcPr>
          <w:p w14:paraId="1216BA0F"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848" w:type="dxa"/>
            <w:shd w:val="clear" w:color="auto" w:fill="C6EFCE"/>
          </w:tcPr>
          <w:p w14:paraId="1216BA10"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Instrument de transformation urbaine verte</w:t>
            </w:r>
          </w:p>
        </w:tc>
        <w:tc>
          <w:tcPr>
            <w:tcW w:w="1545" w:type="dxa"/>
            <w:shd w:val="clear" w:color="auto" w:fill="C6EFCE"/>
          </w:tcPr>
          <w:p w14:paraId="1216BA11" w14:textId="77777777" w:rsidR="003C4798" w:rsidRDefault="00417595">
            <w:pPr>
              <w:pStyle w:val="P68B1DB1-Normal021"/>
              <w:pBdr>
                <w:top w:val="nil"/>
                <w:left w:val="nil"/>
                <w:bottom w:val="nil"/>
                <w:right w:val="nil"/>
                <w:between w:val="nil"/>
              </w:pBdr>
              <w:spacing w:after="0" w:line="240" w:lineRule="auto"/>
              <w:rPr>
                <w:rFonts w:eastAsia="Times New Roman"/>
                <w:noProof/>
                <w:color w:val="006100"/>
              </w:rPr>
            </w:pPr>
            <w:r>
              <w:rPr>
                <w:noProof/>
                <w:color w:val="000000"/>
              </w:rPr>
              <w:t>Mise en place de l’instrument de transformation urbaine verte et adoption de ses règles et procédures détaillées en consultation avec toutes les parties prenantes</w:t>
            </w:r>
            <w:r>
              <w:rPr>
                <w:noProof/>
                <w:color w:val="FF0000"/>
              </w:rPr>
              <w:t xml:space="preserve"> </w:t>
            </w:r>
          </w:p>
        </w:tc>
        <w:tc>
          <w:tcPr>
            <w:tcW w:w="938" w:type="dxa"/>
            <w:shd w:val="clear" w:color="auto" w:fill="C6EFCE"/>
          </w:tcPr>
          <w:p w14:paraId="1216BA12"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30" w:type="dxa"/>
            <w:shd w:val="clear" w:color="auto" w:fill="C6EFCE"/>
          </w:tcPr>
          <w:p w14:paraId="1216BA13"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shd w:val="clear" w:color="auto" w:fill="C6EFCE"/>
          </w:tcPr>
          <w:p w14:paraId="1216BA14"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BA15"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T2</w:t>
            </w:r>
          </w:p>
        </w:tc>
        <w:tc>
          <w:tcPr>
            <w:tcW w:w="851" w:type="dxa"/>
            <w:shd w:val="clear" w:color="auto" w:fill="C6EFCE"/>
          </w:tcPr>
          <w:p w14:paraId="1216BA16"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2022</w:t>
            </w:r>
          </w:p>
        </w:tc>
        <w:tc>
          <w:tcPr>
            <w:tcW w:w="3312" w:type="dxa"/>
            <w:shd w:val="clear" w:color="auto" w:fill="C6EFCE"/>
          </w:tcPr>
          <w:p w14:paraId="1216BA17" w14:textId="77777777" w:rsidR="003C4798" w:rsidRDefault="00417595">
            <w:pPr>
              <w:pStyle w:val="P68B1DB1-Normal34"/>
              <w:spacing w:after="0" w:line="257" w:lineRule="auto"/>
              <w:rPr>
                <w:rFonts w:eastAsia="Times New Roman"/>
                <w:noProof/>
                <w:color w:val="006100"/>
              </w:rPr>
            </w:pPr>
            <w:r>
              <w:rPr>
                <w:noProof/>
              </w:rPr>
              <w:t>mise en place de l’instrument pour une transition urbaine verte afin de soutenir a) la transformation écologique des villes; et b) les investissements dans la numérisation verte des villes, avec les procédures adoptées. L’instrument pour une transition urbaine verte est conforme aux orientations techniques relatives au principe consistant à «ne pas causer de préjudice important» (2021/C 58/01). Afin de garantir que la mesure est conforme aux orientations techniques «Ne pas causer de préjudice important» (2021/C 58/01), les critères d’éligibilité des projets excluent la liste d’activités suivante: i) les activités liées aux combustibles fossiles, y compris leur utilisation en aval; ii) les activités menées dans le cadre du système d’échange de quotas d’émission de l’UE (SEQE) pour atteindre des émissions de gaz à effet de serre prévues qui ne sont pas inférieures aux référentiels pertinents; iii) les activités liées aux décharges de déchets, aux incinérateurs et aux usines de traitement biologique mécanique; et iv) les activités dans lesquelles l’élimination à long terme des déchets peut nuire à l’environnement. Le mandat exige en outre que seules les activités conformes à la législation environnementale pertinente de l’Union et des États membres puissent être sélectionnées.</w:t>
            </w:r>
          </w:p>
          <w:p w14:paraId="1216BA18" w14:textId="77777777" w:rsidR="003C4798" w:rsidRDefault="003C4798">
            <w:pPr>
              <w:spacing w:after="0" w:line="257" w:lineRule="auto"/>
              <w:rPr>
                <w:rFonts w:ascii="Times New Roman" w:eastAsia="Times New Roman" w:hAnsi="Times New Roman" w:cs="Times New Roman"/>
                <w:noProof/>
                <w:color w:val="000000" w:themeColor="text1"/>
                <w:sz w:val="18"/>
                <w:szCs w:val="18"/>
              </w:rPr>
            </w:pPr>
          </w:p>
          <w:p w14:paraId="1216BA19" w14:textId="77777777" w:rsidR="003C4798" w:rsidRDefault="00417595">
            <w:pPr>
              <w:pStyle w:val="P68B1DB1-Normal34"/>
              <w:spacing w:after="0" w:line="257" w:lineRule="auto"/>
              <w:rPr>
                <w:rFonts w:eastAsia="Times New Roman"/>
                <w:noProof/>
              </w:rPr>
            </w:pPr>
            <w:r>
              <w:rPr>
                <w:noProof/>
              </w:rPr>
              <w:t>L’instrument de transformation urbaine verte veille à ce que tous les remboursements (c’est-à-dire les intérêts sur le prêt, le rendement des fonds propres ou le principal remboursé, moins les coûts associés) liés à cet instrument soient utilisés pour les mêmes objectifs stratégiques, y compris au-delà de 2026, ou pour rembourser le prêt au titre de la FRR.</w:t>
            </w:r>
          </w:p>
        </w:tc>
      </w:tr>
      <w:tr w:rsidR="003C4798" w14:paraId="1216BA26" w14:textId="77777777" w:rsidTr="00EC21D5">
        <w:trPr>
          <w:trHeight w:val="313"/>
          <w:jc w:val="center"/>
        </w:trPr>
        <w:tc>
          <w:tcPr>
            <w:tcW w:w="812" w:type="dxa"/>
            <w:shd w:val="clear" w:color="auto" w:fill="C6EFCE"/>
          </w:tcPr>
          <w:p w14:paraId="1216BA1B" w14:textId="77777777" w:rsidR="003C4798" w:rsidRDefault="00417595">
            <w:pPr>
              <w:pStyle w:val="P68B1DB1-Normal021"/>
              <w:pBdr>
                <w:top w:val="nil"/>
                <w:left w:val="nil"/>
                <w:bottom w:val="nil"/>
                <w:right w:val="nil"/>
                <w:between w:val="nil"/>
              </w:pBdr>
              <w:spacing w:after="0" w:line="240" w:lineRule="auto"/>
              <w:jc w:val="center"/>
              <w:rPr>
                <w:rFonts w:eastAsia="Times New Roman"/>
                <w:b/>
                <w:noProof/>
                <w:color w:val="000000"/>
              </w:rPr>
            </w:pPr>
            <w:r>
              <w:rPr>
                <w:noProof/>
              </w:rPr>
              <w:t>B26L</w:t>
            </w:r>
          </w:p>
        </w:tc>
        <w:tc>
          <w:tcPr>
            <w:tcW w:w="1720" w:type="dxa"/>
            <w:shd w:val="clear" w:color="auto" w:fill="C6EFCE"/>
          </w:tcPr>
          <w:p w14:paraId="1216BA1C" w14:textId="77777777" w:rsidR="003C4798" w:rsidRDefault="00417595">
            <w:pPr>
              <w:pStyle w:val="P68B1DB1-Normal062"/>
              <w:pBdr>
                <w:top w:val="nil"/>
                <w:left w:val="nil"/>
                <w:bottom w:val="nil"/>
                <w:right w:val="nil"/>
                <w:between w:val="nil"/>
              </w:pBdr>
              <w:spacing w:after="0" w:line="240" w:lineRule="auto"/>
              <w:rPr>
                <w:rFonts w:eastAsia="Times New Roman"/>
                <w:noProof/>
              </w:rPr>
            </w:pPr>
            <w:r>
              <w:rPr>
                <w:noProof/>
              </w:rPr>
              <w:t>B3.4.1 Investissements dans une transformation écologique des villes</w:t>
            </w:r>
          </w:p>
        </w:tc>
        <w:tc>
          <w:tcPr>
            <w:tcW w:w="1258" w:type="dxa"/>
            <w:shd w:val="clear" w:color="auto" w:fill="C6EFCE"/>
          </w:tcPr>
          <w:p w14:paraId="1216BA1D"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Objectif</w:t>
            </w:r>
          </w:p>
        </w:tc>
        <w:tc>
          <w:tcPr>
            <w:tcW w:w="1848" w:type="dxa"/>
            <w:shd w:val="clear" w:color="auto" w:fill="C6EFCE"/>
          </w:tcPr>
          <w:p w14:paraId="1216BA1E" w14:textId="33540DA5" w:rsidR="003C4798" w:rsidRDefault="00417595">
            <w:pPr>
              <w:pStyle w:val="P68B1DB1-Normal062"/>
              <w:pBdr>
                <w:top w:val="nil"/>
                <w:left w:val="nil"/>
                <w:bottom w:val="nil"/>
                <w:right w:val="nil"/>
                <w:between w:val="nil"/>
              </w:pBdr>
              <w:spacing w:after="0" w:line="240" w:lineRule="auto"/>
              <w:rPr>
                <w:rFonts w:eastAsia="Times New Roman"/>
                <w:noProof/>
              </w:rPr>
            </w:pPr>
            <w:r>
              <w:rPr>
                <w:noProof/>
              </w:rPr>
              <w:t>T1 - Signature des contrats de prêt</w:t>
            </w:r>
          </w:p>
        </w:tc>
        <w:tc>
          <w:tcPr>
            <w:tcW w:w="1545" w:type="dxa"/>
            <w:shd w:val="clear" w:color="auto" w:fill="C6EFCE"/>
          </w:tcPr>
          <w:p w14:paraId="1216BA1F"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38" w:type="dxa"/>
            <w:shd w:val="clear" w:color="auto" w:fill="C6EFCE"/>
          </w:tcPr>
          <w:p w14:paraId="1216BA20"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Numéro</w:t>
            </w:r>
          </w:p>
        </w:tc>
        <w:tc>
          <w:tcPr>
            <w:tcW w:w="1230" w:type="dxa"/>
            <w:shd w:val="clear" w:color="auto" w:fill="C6EFCE"/>
          </w:tcPr>
          <w:p w14:paraId="1216BA21"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0</w:t>
            </w:r>
          </w:p>
        </w:tc>
        <w:tc>
          <w:tcPr>
            <w:tcW w:w="992" w:type="dxa"/>
            <w:shd w:val="clear" w:color="auto" w:fill="C6EFCE"/>
          </w:tcPr>
          <w:p w14:paraId="1216BA22" w14:textId="77777777" w:rsidR="003C4798" w:rsidRDefault="00417595">
            <w:pPr>
              <w:pStyle w:val="P68B1DB1-Normal062"/>
              <w:spacing w:after="0" w:line="240" w:lineRule="auto"/>
              <w:jc w:val="center"/>
              <w:rPr>
                <w:rFonts w:eastAsia="Times New Roman"/>
                <w:noProof/>
                <w:color w:val="000000" w:themeColor="text1"/>
              </w:rPr>
            </w:pPr>
            <w:r>
              <w:rPr>
                <w:noProof/>
              </w:rPr>
              <w:t>201</w:t>
            </w:r>
          </w:p>
        </w:tc>
        <w:tc>
          <w:tcPr>
            <w:tcW w:w="1134" w:type="dxa"/>
            <w:shd w:val="clear" w:color="auto" w:fill="C6EFCE"/>
          </w:tcPr>
          <w:p w14:paraId="1216BA23"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T4</w:t>
            </w:r>
          </w:p>
        </w:tc>
        <w:tc>
          <w:tcPr>
            <w:tcW w:w="851" w:type="dxa"/>
            <w:shd w:val="clear" w:color="auto" w:fill="C6EFCE"/>
          </w:tcPr>
          <w:p w14:paraId="1216BA24"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2024</w:t>
            </w:r>
          </w:p>
        </w:tc>
        <w:tc>
          <w:tcPr>
            <w:tcW w:w="3312" w:type="dxa"/>
            <w:shd w:val="clear" w:color="auto" w:fill="C6EFCE"/>
          </w:tcPr>
          <w:p w14:paraId="1216BA25" w14:textId="77777777" w:rsidR="003C4798" w:rsidRDefault="00417595">
            <w:pPr>
              <w:pStyle w:val="P68B1DB1-Normal34"/>
              <w:spacing w:after="0" w:line="257" w:lineRule="auto"/>
              <w:rPr>
                <w:noProof/>
              </w:rPr>
            </w:pPr>
            <w:r>
              <w:rPr>
                <w:noProof/>
              </w:rPr>
              <w:t>201 contrats de prêt signés dans le cadre de l’instrument de transformation urbaine verte.</w:t>
            </w:r>
          </w:p>
        </w:tc>
      </w:tr>
      <w:tr w:rsidR="003C4798" w14:paraId="1216BA32" w14:textId="77777777" w:rsidTr="00EC21D5">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7"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B27aL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8" w14:textId="77777777" w:rsidR="003C4798" w:rsidRDefault="00417595">
            <w:pPr>
              <w:pStyle w:val="P68B1DB1-Normal062"/>
              <w:pBdr>
                <w:top w:val="nil"/>
                <w:left w:val="nil"/>
                <w:bottom w:val="nil"/>
                <w:right w:val="nil"/>
                <w:between w:val="nil"/>
              </w:pBdr>
              <w:spacing w:after="0" w:line="240" w:lineRule="auto"/>
              <w:rPr>
                <w:rFonts w:eastAsia="Times New Roman"/>
                <w:noProof/>
                <w:color w:val="000000" w:themeColor="text1"/>
              </w:rPr>
            </w:pPr>
            <w:r>
              <w:rPr>
                <w:noProof/>
              </w:rPr>
              <w:t>B3.4.1 Investissements dans une transformation écologique des villes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9"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Objectif</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A" w14:textId="3A9C351B" w:rsidR="003C4798" w:rsidRDefault="00417595">
            <w:pPr>
              <w:pStyle w:val="P68B1DB1-Normal062"/>
              <w:spacing w:line="240" w:lineRule="auto"/>
              <w:rPr>
                <w:noProof/>
                <w:color w:val="000000" w:themeColor="text1"/>
              </w:rPr>
            </w:pPr>
            <w:r>
              <w:rPr>
                <w:noProof/>
              </w:rPr>
              <w:t>T2 - Investissements dans la transition écologique</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B" w14:textId="77777777" w:rsidR="003C4798" w:rsidRDefault="003C4798">
            <w:pPr>
              <w:pStyle w:val="Normal0"/>
              <w:spacing w:line="240" w:lineRule="auto"/>
              <w:rPr>
                <w:rFonts w:ascii="Times New Roman" w:eastAsia="Times New Roman" w:hAnsi="Times New Roman" w:cs="Times New Roman"/>
                <w:noProof/>
                <w:color w:val="000000" w:themeColor="text1"/>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C" w14:textId="77777777" w:rsidR="003C4798" w:rsidRDefault="00417595">
            <w:pPr>
              <w:pStyle w:val="P68B1DB1-Normal062"/>
              <w:spacing w:line="240" w:lineRule="auto"/>
              <w:jc w:val="center"/>
              <w:rPr>
                <w:rFonts w:eastAsia="Times New Roman"/>
                <w:noProof/>
                <w:color w:val="000000" w:themeColor="text1"/>
              </w:rPr>
            </w:pPr>
            <w:r>
              <w:rPr>
                <w:noProof/>
              </w:rPr>
              <w:t>Numéro</w:t>
            </w:r>
          </w:p>
        </w:tc>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D" w14:textId="77777777" w:rsidR="003C4798" w:rsidRDefault="00417595">
            <w:pPr>
              <w:pStyle w:val="P68B1DB1-Normal062"/>
              <w:spacing w:line="240" w:lineRule="auto"/>
              <w:jc w:val="center"/>
              <w:rPr>
                <w:rFonts w:eastAsia="Times New Roman"/>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E" w14:textId="77777777" w:rsidR="003C4798" w:rsidRDefault="00417595">
            <w:pPr>
              <w:pStyle w:val="P68B1DB1-Normal062"/>
              <w:spacing w:line="240" w:lineRule="auto"/>
              <w:jc w:val="center"/>
              <w:rPr>
                <w:rFonts w:eastAsia="Times New Roman"/>
                <w:noProof/>
                <w:color w:val="000000" w:themeColor="text1"/>
              </w:rPr>
            </w:pPr>
            <w:r>
              <w:rPr>
                <w:noProof/>
              </w:rPr>
              <w:t>1 033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F" w14:textId="77777777" w:rsidR="003C4798" w:rsidRDefault="00417595">
            <w:pPr>
              <w:pStyle w:val="P68B1DB1-Normal062"/>
              <w:spacing w:line="240" w:lineRule="auto"/>
              <w:jc w:val="center"/>
              <w:rPr>
                <w:rFonts w:eastAsia="Times New Roman"/>
                <w:noProof/>
                <w:color w:val="000000" w:themeColor="text1"/>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0" w14:textId="77777777" w:rsidR="003C4798" w:rsidRDefault="00417595">
            <w:pPr>
              <w:pStyle w:val="P68B1DB1-Normal062"/>
              <w:spacing w:line="240" w:lineRule="auto"/>
              <w:jc w:val="center"/>
              <w:rPr>
                <w:rFonts w:eastAsia="Times New Roman"/>
                <w:noProof/>
                <w:color w:val="000000" w:themeColor="text1"/>
              </w:rPr>
            </w:pPr>
            <w:r>
              <w:rPr>
                <w:noProof/>
              </w:rPr>
              <w:t>2026</w:t>
            </w:r>
          </w:p>
        </w:tc>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1" w14:textId="41405DF0" w:rsidR="003C4798" w:rsidRDefault="00417595">
            <w:pPr>
              <w:pStyle w:val="P68B1DB1-Normal34"/>
              <w:spacing w:after="0" w:line="240" w:lineRule="auto"/>
              <w:rPr>
                <w:noProof/>
              </w:rPr>
            </w:pPr>
            <w:r>
              <w:rPr>
                <w:noProof/>
              </w:rPr>
              <w:t>Un permis d'occupation, une notification d'achèvement, un protocole de réception définitive, un rapport de livraison ou un document équivalent sont délivrés pour 1 033 projets.</w:t>
            </w:r>
          </w:p>
        </w:tc>
      </w:tr>
      <w:tr w:rsidR="003C4798" w14:paraId="1216BA3E" w14:textId="77777777" w:rsidTr="00EC21D5">
        <w:trPr>
          <w:trHeight w:val="313"/>
          <w:jc w:val="center"/>
        </w:trPr>
        <w:tc>
          <w:tcPr>
            <w:tcW w:w="812" w:type="dxa"/>
            <w:shd w:val="clear" w:color="auto" w:fill="C6EFCE"/>
          </w:tcPr>
          <w:p w14:paraId="1216BA33" w14:textId="77777777" w:rsidR="003C4798" w:rsidRDefault="00417595">
            <w:pPr>
              <w:pStyle w:val="P68B1DB1-Normal021"/>
              <w:pBdr>
                <w:top w:val="nil"/>
                <w:left w:val="nil"/>
                <w:bottom w:val="nil"/>
                <w:right w:val="nil"/>
                <w:between w:val="nil"/>
              </w:pBdr>
              <w:spacing w:after="0" w:line="240" w:lineRule="auto"/>
              <w:jc w:val="center"/>
              <w:rPr>
                <w:b/>
                <w:noProof/>
                <w:color w:val="000000"/>
              </w:rPr>
            </w:pPr>
            <w:r>
              <w:rPr>
                <w:noProof/>
              </w:rPr>
              <w:t>B28L</w:t>
            </w:r>
          </w:p>
        </w:tc>
        <w:tc>
          <w:tcPr>
            <w:tcW w:w="1720" w:type="dxa"/>
            <w:shd w:val="clear" w:color="auto" w:fill="C6EFCE"/>
          </w:tcPr>
          <w:p w14:paraId="1216BA34" w14:textId="77777777" w:rsidR="003C4798" w:rsidRDefault="00417595">
            <w:pPr>
              <w:pStyle w:val="P68B1DB1-Normal062"/>
              <w:pBdr>
                <w:top w:val="nil"/>
                <w:left w:val="nil"/>
                <w:bottom w:val="nil"/>
                <w:right w:val="nil"/>
                <w:between w:val="nil"/>
              </w:pBdr>
              <w:spacing w:after="0" w:line="240" w:lineRule="auto"/>
              <w:rPr>
                <w:noProof/>
              </w:rPr>
            </w:pPr>
            <w:r>
              <w:rPr>
                <w:noProof/>
              </w:rPr>
              <w:t>B3.5 Réforme de la construction de logements pour les personnes à faible revenu et à revenu moyen, compte tenu de l'efficacité énergétique accrue des bâtiments</w:t>
            </w:r>
          </w:p>
        </w:tc>
        <w:tc>
          <w:tcPr>
            <w:tcW w:w="1258" w:type="dxa"/>
            <w:shd w:val="clear" w:color="auto" w:fill="C6EFCE"/>
          </w:tcPr>
          <w:p w14:paraId="1216BA35"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Étape</w:t>
            </w:r>
          </w:p>
        </w:tc>
        <w:tc>
          <w:tcPr>
            <w:tcW w:w="1848" w:type="dxa"/>
            <w:shd w:val="clear" w:color="auto" w:fill="C6EFCE"/>
          </w:tcPr>
          <w:p w14:paraId="1216BA36" w14:textId="0448803F"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Entrée en vigueur d’une loi modifiant la loi du 8 décembre 2006 relative à l’aide financière à la création de locaux résidentiels à louer, de logements protégés, d’abris de nuit, d’abris pour les sans-abri, d’installations de chauffage et de locaux temporaires, et modifications d’autres lois qui en résultent</w:t>
            </w:r>
          </w:p>
        </w:tc>
        <w:tc>
          <w:tcPr>
            <w:tcW w:w="1545" w:type="dxa"/>
            <w:shd w:val="clear" w:color="auto" w:fill="C6EFCE"/>
          </w:tcPr>
          <w:p w14:paraId="1216BA37" w14:textId="335A3B90" w:rsidR="003C4798" w:rsidRDefault="00417595">
            <w:pPr>
              <w:pStyle w:val="P68B1DB1-Normal024"/>
              <w:pBdr>
                <w:top w:val="nil"/>
                <w:left w:val="nil"/>
                <w:bottom w:val="nil"/>
                <w:right w:val="nil"/>
                <w:between w:val="nil"/>
              </w:pBdr>
              <w:spacing w:after="0" w:line="240" w:lineRule="auto"/>
              <w:rPr>
                <w:rFonts w:ascii="Times New Roman" w:hAnsi="Times New Roman" w:cs="Times New Roman"/>
                <w:noProof/>
                <w:color w:val="000000"/>
              </w:rPr>
            </w:pPr>
            <w:r>
              <w:rPr>
                <w:rFonts w:ascii="Times New Roman" w:hAnsi="Times New Roman" w:cs="Times New Roman"/>
                <w:noProof/>
                <w:color w:val="000000" w:themeColor="text1"/>
              </w:rPr>
              <w:t>Disposition de la loi modifiant la loi du 8</w:t>
            </w:r>
            <w:r>
              <w:rPr>
                <w:rFonts w:ascii="Times New Roman" w:hAnsi="Times New Roman"/>
                <w:noProof/>
              </w:rPr>
              <w:t> </w:t>
            </w:r>
            <w:r>
              <w:rPr>
                <w:rFonts w:ascii="Times New Roman" w:hAnsi="Times New Roman" w:cs="Times New Roman"/>
                <w:noProof/>
                <w:color w:val="000000" w:themeColor="text1"/>
              </w:rPr>
              <w:t>décembre</w:t>
            </w:r>
            <w:r>
              <w:rPr>
                <w:rFonts w:ascii="Times New Roman" w:hAnsi="Times New Roman"/>
                <w:noProof/>
              </w:rPr>
              <w:t> </w:t>
            </w:r>
            <w:r>
              <w:rPr>
                <w:rFonts w:ascii="Times New Roman" w:hAnsi="Times New Roman" w:cs="Times New Roman"/>
                <w:noProof/>
                <w:color w:val="000000" w:themeColor="text1"/>
              </w:rPr>
              <w:t>2006 relative à l’aide financière à la création de locaux résidentiels à louer, de logements protégés, d’abris de nuit, d’abris pour les sans-abri, d’installations de chauffage et de locaux temporaires, et modification en conséquence d’autres lois indiquant son entrée en vigueur</w:t>
            </w:r>
          </w:p>
        </w:tc>
        <w:tc>
          <w:tcPr>
            <w:tcW w:w="938" w:type="dxa"/>
            <w:shd w:val="clear" w:color="auto" w:fill="C6EFCE"/>
          </w:tcPr>
          <w:p w14:paraId="1216BA38"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230" w:type="dxa"/>
            <w:shd w:val="clear" w:color="auto" w:fill="C6EFCE"/>
          </w:tcPr>
          <w:p w14:paraId="1216BA39"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shd w:val="clear" w:color="auto" w:fill="C6EFCE"/>
          </w:tcPr>
          <w:p w14:paraId="1216BA3A"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shd w:val="clear" w:color="auto" w:fill="C6EFCE"/>
          </w:tcPr>
          <w:p w14:paraId="1216BA3B"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T2</w:t>
            </w:r>
          </w:p>
        </w:tc>
        <w:tc>
          <w:tcPr>
            <w:tcW w:w="851" w:type="dxa"/>
            <w:shd w:val="clear" w:color="auto" w:fill="C6EFCE"/>
          </w:tcPr>
          <w:p w14:paraId="1216BA3C"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2022</w:t>
            </w:r>
          </w:p>
        </w:tc>
        <w:tc>
          <w:tcPr>
            <w:tcW w:w="3312" w:type="dxa"/>
            <w:shd w:val="clear" w:color="auto" w:fill="C6EFCE"/>
          </w:tcPr>
          <w:p w14:paraId="1216BA3D"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La modification de l’acte prévoit une augmentation du soutien aux investissements dans la construction de bâtiments dont la norme énergétique est supérieure de 20 % à celle des bâtiments à consommation d’énergie quasi nulle. L’aide est augmentée par rapport au logement standard, passant de 80 % à 95 % pour les bâtiments destinés aux ménages à faible revenu et de 35 % à 60 % pour les ménages à revenu moyen. Ces dispositions s'appliquent à toute source de soutien public.</w:t>
            </w:r>
          </w:p>
        </w:tc>
      </w:tr>
      <w:tr w:rsidR="003C4798" w14:paraId="1216BA4C" w14:textId="77777777" w:rsidTr="00EC21D5">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F"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B30L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0" w14:textId="610FD0AD" w:rsidR="003C4798" w:rsidRDefault="00417595">
            <w:pPr>
              <w:pStyle w:val="P68B1DB1-Normal062"/>
              <w:pBdr>
                <w:top w:val="nil"/>
                <w:left w:val="nil"/>
                <w:bottom w:val="nil"/>
                <w:right w:val="nil"/>
                <w:between w:val="nil"/>
              </w:pBdr>
              <w:spacing w:after="0" w:line="240" w:lineRule="auto"/>
              <w:rPr>
                <w:noProof/>
              </w:rPr>
            </w:pPr>
            <w:r>
              <w:rPr>
                <w:noProof/>
              </w:rPr>
              <w:t>B3.5.1 Investissements dans des projets de logement</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1"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Objectif</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2" w14:textId="77777777" w:rsidR="003C4798" w:rsidRDefault="00417595">
            <w:pPr>
              <w:pStyle w:val="P68B1DB1-Normal062"/>
              <w:pBdr>
                <w:top w:val="nil"/>
                <w:left w:val="nil"/>
                <w:bottom w:val="nil"/>
                <w:right w:val="nil"/>
                <w:between w:val="nil"/>
              </w:pBdr>
              <w:spacing w:after="0" w:line="240" w:lineRule="auto"/>
              <w:rPr>
                <w:noProof/>
              </w:rPr>
            </w:pPr>
            <w:r>
              <w:rPr>
                <w:noProof/>
              </w:rPr>
              <w:t>Construction ou rénovation de bâtiments</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3" w14:textId="77777777" w:rsidR="003C4798" w:rsidRDefault="003C4798">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4"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Numéro</w:t>
            </w:r>
          </w:p>
        </w:tc>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5" w14:textId="77777777" w:rsidR="003C4798" w:rsidRDefault="00417595">
            <w:pPr>
              <w:pStyle w:val="P68B1DB1-Normal062"/>
              <w:spacing w:after="0" w:line="240" w:lineRule="auto"/>
              <w:jc w:val="center"/>
              <w:rPr>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6" w14:textId="33645B7D" w:rsidR="003C4798" w:rsidRDefault="00417595">
            <w:pPr>
              <w:pStyle w:val="P68B1DB1-Normal062"/>
              <w:pBdr>
                <w:top w:val="nil"/>
                <w:left w:val="nil"/>
                <w:bottom w:val="nil"/>
                <w:right w:val="nil"/>
                <w:between w:val="nil"/>
              </w:pBdr>
              <w:spacing w:line="240" w:lineRule="auto"/>
              <w:jc w:val="center"/>
              <w:rPr>
                <w:rFonts w:eastAsia="Times New Roman"/>
                <w:noProof/>
                <w:color w:val="000000" w:themeColor="text1"/>
              </w:rPr>
            </w:pPr>
            <w:r>
              <w:rPr>
                <w:noProof/>
              </w:rPr>
              <w:t>120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7"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8"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2026</w:t>
            </w:r>
          </w:p>
        </w:tc>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9" w14:textId="5D7B0278" w:rsidR="003C4798" w:rsidRDefault="00417595">
            <w:pPr>
              <w:pStyle w:val="P68B1DB1-Normal062"/>
              <w:spacing w:after="0" w:line="240" w:lineRule="auto"/>
              <w:rPr>
                <w:noProof/>
                <w:color w:val="000000" w:themeColor="text1"/>
              </w:rPr>
            </w:pPr>
            <w:r>
              <w:rPr>
                <w:noProof/>
              </w:rPr>
              <w:t>Nombre de bâtiments construits ou rénovés.</w:t>
            </w:r>
          </w:p>
          <w:p w14:paraId="1216BA4A" w14:textId="77777777" w:rsidR="003C4798" w:rsidRDefault="003C4798">
            <w:pPr>
              <w:pStyle w:val="Normal0"/>
              <w:spacing w:after="0" w:line="240" w:lineRule="auto"/>
              <w:rPr>
                <w:rFonts w:ascii="Times New Roman" w:hAnsi="Times New Roman" w:cs="Times New Roman"/>
                <w:noProof/>
                <w:color w:val="000000" w:themeColor="text1"/>
                <w:sz w:val="18"/>
                <w:szCs w:val="18"/>
              </w:rPr>
            </w:pPr>
          </w:p>
          <w:p w14:paraId="1216BA4B" w14:textId="77777777" w:rsidR="003C4798" w:rsidRDefault="00417595">
            <w:pPr>
              <w:pStyle w:val="P68B1DB1-Normal062"/>
              <w:spacing w:after="0" w:line="240" w:lineRule="auto"/>
              <w:rPr>
                <w:noProof/>
                <w:color w:val="000000" w:themeColor="text1"/>
              </w:rPr>
            </w:pPr>
            <w:r>
              <w:rPr>
                <w:noProof/>
              </w:rPr>
              <w:t>L’appel précise que les types de projets suivants sont soutenus: les logements faisant partie du parc résidentiel de la commune, les logements protégés et les appartements locatifs créés avec la participation d’une commune ou d’une association intercommunale par des investisseurs autres que la commune.</w:t>
            </w:r>
          </w:p>
        </w:tc>
      </w:tr>
      <w:tr w:rsidR="003C4798" w14:paraId="1216BA5B" w14:textId="77777777" w:rsidTr="00EC21D5">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D"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B32L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E"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F"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Étape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0"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Entrée en vigueur des actes modifiant le cadre législatif applicable aux communautés d’énergie renouvelable et au biométhane: Modifications de la loi sur les SER, modifications de la législation concernant le marché de l'énergie et entrée en vigueur d'un règlement relatif à la loi sur les SER</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1" w14:textId="77777777" w:rsidR="003C4798" w:rsidRDefault="00417595">
            <w:pPr>
              <w:pStyle w:val="P68B1DB1-Normal062"/>
              <w:pBdr>
                <w:top w:val="nil"/>
                <w:left w:val="nil"/>
                <w:bottom w:val="nil"/>
                <w:right w:val="nil"/>
                <w:between w:val="nil"/>
              </w:pBdr>
              <w:spacing w:after="0" w:line="240" w:lineRule="auto"/>
              <w:rPr>
                <w:noProof/>
              </w:rPr>
            </w:pPr>
            <w:r>
              <w:rPr>
                <w:noProof/>
              </w:rPr>
              <w:t>Dispositions des actes modificatifs et du règlement indiquant leur entrée en vigueur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2"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3" w14:textId="77777777" w:rsidR="003C4798" w:rsidRDefault="003C4798">
            <w:pPr>
              <w:pStyle w:val="Normal0"/>
              <w:spacing w:after="0"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4"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5"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6"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2023</w:t>
            </w:r>
          </w:p>
        </w:tc>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7" w14:textId="77777777" w:rsidR="003C4798" w:rsidRDefault="00417595">
            <w:pPr>
              <w:pStyle w:val="P68B1DB1-Normal062"/>
              <w:spacing w:after="0" w:line="240" w:lineRule="auto"/>
              <w:rPr>
                <w:noProof/>
                <w:color w:val="000000" w:themeColor="text1"/>
              </w:rPr>
            </w:pPr>
            <w:r>
              <w:rPr>
                <w:noProof/>
              </w:rPr>
              <w:t>Adoption et entrée en vigueur d'actes modificatifs et de règlements, y compris:</w:t>
            </w:r>
          </w:p>
          <w:p w14:paraId="1216BA58" w14:textId="7664745B" w:rsidR="003C4798" w:rsidRDefault="00417595">
            <w:pPr>
              <w:pStyle w:val="P68B1DB1-Normal062"/>
              <w:spacing w:after="0" w:line="240" w:lineRule="auto"/>
              <w:rPr>
                <w:noProof/>
                <w:color w:val="000000" w:themeColor="text1"/>
              </w:rPr>
            </w:pPr>
            <w:r>
              <w:rPr>
                <w:noProof/>
              </w:rPr>
              <w:t>1. Les modifications apportées à la loi du 20 février 2015 sur les sources d’énergie renouvelables (loi sur les sources d’énergie renouvelables) reformulent les principes de fonctionnement des pôles d’énergie (meilleures conditions pour la création de ces entités) en prévoyant: règles, définitions ou notions concernant: le champ d’application, les accords, l’objet du pôle d’énergie, le registre du pôle d’énergie ou la coopération entre les différents membres du pôle d’énergie et les gestionnaires de réseau.</w:t>
            </w:r>
          </w:p>
          <w:p w14:paraId="1216BA59" w14:textId="77777777" w:rsidR="003C4798" w:rsidRDefault="00417595">
            <w:pPr>
              <w:pStyle w:val="P68B1DB1-Normal021"/>
              <w:spacing w:after="0" w:line="240" w:lineRule="auto"/>
              <w:rPr>
                <w:noProof/>
                <w:color w:val="000000" w:themeColor="text1"/>
              </w:rPr>
            </w:pPr>
            <w:r>
              <w:rPr>
                <w:noProof/>
                <w:color w:val="000000" w:themeColor="text1"/>
              </w:rPr>
              <w:t>2. Les amendements à la loi SER mettent en œuvre des modèles collectifs de prosommateurs d'énergie.</w:t>
            </w:r>
            <w:r>
              <w:rPr>
                <w:noProof/>
              </w:rPr>
              <w:t xml:space="preserve"> L'entrée en vigueur des dispositions relatives aux modèles collectifs de prosommateurs d'énergie peut être retardée.</w:t>
            </w:r>
            <w:r>
              <w:rPr>
                <w:noProof/>
              </w:rPr>
              <w:br/>
            </w:r>
            <w:r>
              <w:rPr>
                <w:noProof/>
                <w:color w:val="000000" w:themeColor="text1"/>
              </w:rPr>
              <w:t>3. Les modifications des actes législatifs concernant le marché de l’énergie mettent en œuvre les dispositions relatives aux nouvelles communautés d’énergie renouvelable, qui garantissent que les clients finals, en particulier les clients résidentiels, ont le droit de participer à une communauté d’énergie renouvelable.</w:t>
            </w:r>
          </w:p>
          <w:p w14:paraId="1216BA5A" w14:textId="77777777" w:rsidR="003C4798" w:rsidRDefault="00417595">
            <w:pPr>
              <w:pStyle w:val="P68B1DB1-Normal021"/>
              <w:spacing w:after="0" w:line="240" w:lineRule="auto"/>
              <w:rPr>
                <w:noProof/>
                <w:color w:val="000000" w:themeColor="text1"/>
              </w:rPr>
            </w:pPr>
            <w:r>
              <w:rPr>
                <w:noProof/>
                <w:color w:val="000000" w:themeColor="text1"/>
              </w:rPr>
              <w:t>4. Le règlement de la loi SER relatif aux principes de comptabilisation de l'énergie pour les coopératives d'énergie introduit des dispositions précisant les principes d'exploitation de l'un des modèles de communauté d'énergie renouvelable.</w:t>
            </w:r>
            <w:r>
              <w:rPr>
                <w:noProof/>
              </w:rPr>
              <w:t xml:space="preserve"> </w:t>
            </w:r>
            <w:r>
              <w:rPr>
                <w:noProof/>
              </w:rPr>
              <w:br/>
            </w:r>
            <w:r>
              <w:rPr>
                <w:noProof/>
                <w:color w:val="000000" w:themeColor="text1"/>
              </w:rPr>
              <w:t>5. Modifications de la loi sur les SER qui fixent les règles régissant la gestion d'une entreprise dans le secteur du biométhane.</w:t>
            </w:r>
          </w:p>
        </w:tc>
      </w:tr>
      <w:tr w:rsidR="003C4798" w14:paraId="1216BA68" w14:textId="77777777" w:rsidTr="00EC21D5">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C"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B33L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D"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E"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Étape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F"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Entrée en vigueur d'une loi modifiant la loi sur les investissements dans les parcs éoliens terrestres</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0" w14:textId="77777777" w:rsidR="003C4798" w:rsidRDefault="00417595">
            <w:pPr>
              <w:pStyle w:val="P68B1DB1-Normal062"/>
              <w:pBdr>
                <w:top w:val="nil"/>
                <w:left w:val="nil"/>
                <w:bottom w:val="nil"/>
                <w:right w:val="nil"/>
                <w:between w:val="nil"/>
              </w:pBdr>
              <w:spacing w:after="0" w:line="240" w:lineRule="auto"/>
              <w:rPr>
                <w:noProof/>
              </w:rPr>
            </w:pPr>
            <w:r>
              <w:rPr>
                <w:noProof/>
              </w:rPr>
              <w:t>Disposition de la loi modifiant la loi sur les investissements dans les parcs éoliens terrestres indiquant son entrée en vigueur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1"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2" w14:textId="77777777" w:rsidR="003C4798" w:rsidRDefault="003C4798">
            <w:pPr>
              <w:pStyle w:val="Normal0"/>
              <w:spacing w:after="0"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3"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4"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5"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6" w14:textId="77777777" w:rsidR="003C4798" w:rsidRDefault="00417595">
            <w:pPr>
              <w:pStyle w:val="P68B1DB1-Normal062"/>
              <w:spacing w:after="0" w:line="240" w:lineRule="auto"/>
              <w:rPr>
                <w:noProof/>
                <w:color w:val="000000" w:themeColor="text1"/>
              </w:rPr>
            </w:pPr>
            <w:r>
              <w:rPr>
                <w:noProof/>
              </w:rPr>
              <w:t>Entrée en vigueur d'un acte modificatif qui supprime les obstacles formels aux investissements dans les infrastructures terrestres. L'amendement vise à assouplir la règle de distance (distance minimale entre le moulin à vent et le bâtiment résidentiel - 10 fois la hauteur du moulin à vent, 10 H) en donnant plus de pouvoir pour déterminer les distances minimales aux municipalités dans le cadre de la procédure d'aménagement du territoire/de zonage et aux bureaux régionaux de protection de l'environnement dans le cadre de la procédure de prise de décisions sur les conditions environnementales.</w:t>
            </w:r>
          </w:p>
          <w:p w14:paraId="1216BA67" w14:textId="15AE0F33" w:rsidR="003C4798" w:rsidRDefault="00417595">
            <w:pPr>
              <w:pStyle w:val="P68B1DB1-Normal062"/>
              <w:spacing w:after="0" w:line="240" w:lineRule="auto"/>
              <w:rPr>
                <w:noProof/>
                <w:color w:val="000000" w:themeColor="text1"/>
              </w:rPr>
            </w:pPr>
            <w:r>
              <w:rPr>
                <w:noProof/>
              </w:rPr>
              <w:t>La règle générale de distance de 10 H doit être maintenue, mais la possibilité d’écarts par rapport à celle-ci doit être activée et un plus grand pouvoir de détermination de l’emplacement des parcs éoliens doit être donné aux municipalités individuelles dans le cadre de la procédure de planification locale (procédure de zonage/spatial). Le plan local doit être en mesure de définir une distance plus courte entre le parc éolien et le bâtiment résidentiel, en tenant compte de l’éventail des incidences des parcs éoliens sur la base des prévisions d’incidences sur l’environnement établies dans le cadre d’un tel plan.</w:t>
            </w:r>
          </w:p>
        </w:tc>
      </w:tr>
      <w:tr w:rsidR="003C4798" w14:paraId="1216BA74" w14:textId="77777777" w:rsidTr="00EC21D5">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9"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B34L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A"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B"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Étape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C"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Entrée en vigueur d’un règlement établissant un plan d’enchères pour les énergies renouvelables pour la période 2022-2027</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D" w14:textId="77777777" w:rsidR="003C4798" w:rsidRDefault="00417595">
            <w:pPr>
              <w:pStyle w:val="P68B1DB1-Normal062"/>
              <w:pBdr>
                <w:top w:val="nil"/>
                <w:left w:val="nil"/>
                <w:bottom w:val="nil"/>
                <w:right w:val="nil"/>
                <w:between w:val="nil"/>
              </w:pBdr>
              <w:spacing w:after="0" w:line="240" w:lineRule="auto"/>
              <w:rPr>
                <w:noProof/>
              </w:rPr>
            </w:pPr>
            <w:r>
              <w:rPr>
                <w:noProof/>
              </w:rPr>
              <w:t>Disposition du règlement indiquant son entrée en vigueur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E"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F" w14:textId="77777777" w:rsidR="003C4798" w:rsidRDefault="003C4798">
            <w:pPr>
              <w:pStyle w:val="Normal0"/>
              <w:spacing w:after="0"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0"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1"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2"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3" w14:textId="77777777" w:rsidR="003C4798" w:rsidRDefault="00417595">
            <w:pPr>
              <w:pStyle w:val="P68B1DB1-Normal062"/>
              <w:spacing w:after="0" w:line="240" w:lineRule="auto"/>
              <w:rPr>
                <w:noProof/>
                <w:color w:val="000000" w:themeColor="text1"/>
              </w:rPr>
            </w:pPr>
            <w:r>
              <w:rPr>
                <w:noProof/>
              </w:rPr>
              <w:t>Entrée en vigueur d’un règlement établissant un plan d’enchères pour les énergies renouvelables par technologie (y compris pour les nouveaux parcs éoliens terrestres). Le plan fixe un budget et un volume d’électricité qui sont disponibles dans le cadre d’enchères concurrentielles pour la période 2022-2027.</w:t>
            </w:r>
          </w:p>
        </w:tc>
      </w:tr>
      <w:tr w:rsidR="003C4798" w14:paraId="1216BA81" w14:textId="77777777" w:rsidTr="00EC21D5">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5"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B35L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6"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7"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Objectif</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8"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T1 - Capacité installée des installations éoliennes et photovoltaïques terrestres (en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9" w14:textId="77777777" w:rsidR="003C4798" w:rsidRDefault="003C4798">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A"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Numéro</w:t>
            </w:r>
          </w:p>
        </w:tc>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B" w14:textId="77777777" w:rsidR="003C4798" w:rsidRDefault="00417595">
            <w:pPr>
              <w:pStyle w:val="P68B1DB1-Normal062"/>
              <w:spacing w:after="0" w:line="240" w:lineRule="auto"/>
              <w:jc w:val="center"/>
              <w:rPr>
                <w:noProof/>
                <w:color w:val="000000" w:themeColor="text1"/>
              </w:rPr>
            </w:pPr>
            <w:r>
              <w:rPr>
                <w:noProof/>
              </w:rPr>
              <w:t>11,2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C"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18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D"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E"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0" w14:textId="27ABBF2F" w:rsidR="003C4798" w:rsidRDefault="00417595">
            <w:pPr>
              <w:pStyle w:val="P68B1DB1-Normal062"/>
              <w:spacing w:after="0" w:line="240" w:lineRule="auto"/>
              <w:rPr>
                <w:noProof/>
                <w:color w:val="000000" w:themeColor="text1"/>
              </w:rPr>
            </w:pPr>
            <w:r>
              <w:rPr>
                <w:noProof/>
              </w:rPr>
              <w:t>Capacité installée totale (en GW) des installations éoliennes et photovoltaïques terrestres.</w:t>
            </w:r>
          </w:p>
        </w:tc>
      </w:tr>
      <w:tr w:rsidR="003C4798" w14:paraId="1216BA8D" w14:textId="77777777" w:rsidTr="00EC21D5">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2"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B36L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3"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4"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Objectif</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5"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T2 - Capacité installée des installations éoliennes et photovoltaïques terrestres (en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6" w14:textId="77777777" w:rsidR="003C4798" w:rsidRDefault="003C4798">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7"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Numéro</w:t>
            </w:r>
          </w:p>
        </w:tc>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8" w14:textId="77777777" w:rsidR="003C4798" w:rsidRDefault="00417595">
            <w:pPr>
              <w:pStyle w:val="P68B1DB1-Normal062"/>
              <w:spacing w:after="0" w:line="240" w:lineRule="auto"/>
              <w:jc w:val="center"/>
              <w:rPr>
                <w:noProof/>
                <w:color w:val="000000" w:themeColor="text1"/>
              </w:rPr>
            </w:pPr>
            <w:r>
              <w:rPr>
                <w:noProof/>
              </w:rPr>
              <w:t>18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9"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A"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B"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C" w14:textId="77777777" w:rsidR="003C4798" w:rsidRDefault="00417595">
            <w:pPr>
              <w:pStyle w:val="P68B1DB1-Normal062"/>
              <w:spacing w:after="0" w:line="240" w:lineRule="auto"/>
              <w:rPr>
                <w:noProof/>
                <w:color w:val="000000" w:themeColor="text1"/>
              </w:rPr>
            </w:pPr>
            <w:r>
              <w:rPr>
                <w:noProof/>
              </w:rPr>
              <w:t>Capacité installée totale (en GW) des installations éoliennes et photovoltaïques terrestres.</w:t>
            </w:r>
          </w:p>
        </w:tc>
      </w:tr>
      <w:tr w:rsidR="003C4798" w14:paraId="1216BA99" w14:textId="77777777" w:rsidTr="00EC21D5">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E"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B37L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F"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0"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Objectif</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1"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T3 - Capacité installée des installations éoliennes et photovoltaïques terrestres (en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2" w14:textId="77777777" w:rsidR="003C4798" w:rsidRDefault="003C4798">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3"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Numéro</w:t>
            </w:r>
          </w:p>
        </w:tc>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4" w14:textId="77777777" w:rsidR="003C4798" w:rsidRDefault="00417595">
            <w:pPr>
              <w:pStyle w:val="P68B1DB1-Normal062"/>
              <w:spacing w:after="0" w:line="240" w:lineRule="auto"/>
              <w:jc w:val="center"/>
              <w:rPr>
                <w:noProof/>
                <w:color w:val="000000" w:themeColor="text1"/>
              </w:rPr>
            </w:pPr>
            <w:r>
              <w:rPr>
                <w:noProof/>
              </w:rPr>
              <w:t>20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5"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6"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7"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2023</w:t>
            </w:r>
          </w:p>
        </w:tc>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8" w14:textId="77777777" w:rsidR="003C4798" w:rsidRDefault="00417595">
            <w:pPr>
              <w:pStyle w:val="P68B1DB1-Normal062"/>
              <w:spacing w:after="0" w:line="240" w:lineRule="auto"/>
              <w:rPr>
                <w:noProof/>
                <w:color w:val="000000" w:themeColor="text1"/>
              </w:rPr>
            </w:pPr>
            <w:r>
              <w:rPr>
                <w:noProof/>
              </w:rPr>
              <w:t>Capacité installée totale (en GW) des installations éoliennes et photovoltaïques terrestres.</w:t>
            </w:r>
          </w:p>
        </w:tc>
      </w:tr>
      <w:tr w:rsidR="003C4798" w14:paraId="1216BAA5" w14:textId="77777777" w:rsidTr="00EC21D5">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A"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B38L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B"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C"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Objectif</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D"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T4 - Capacité installée des installations éoliennes et photovoltaïques terrestres (en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E" w14:textId="77777777" w:rsidR="003C4798" w:rsidRDefault="003C4798">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F"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Numéro</w:t>
            </w:r>
          </w:p>
        </w:tc>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0" w14:textId="77777777" w:rsidR="003C4798" w:rsidRDefault="00417595">
            <w:pPr>
              <w:pStyle w:val="P68B1DB1-Normal062"/>
              <w:spacing w:after="0" w:line="240" w:lineRule="auto"/>
              <w:jc w:val="center"/>
              <w:rPr>
                <w:noProof/>
                <w:color w:val="000000" w:themeColor="text1"/>
              </w:rPr>
            </w:pPr>
            <w:r>
              <w:rPr>
                <w:noProof/>
              </w:rPr>
              <w:t>23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1"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23,5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2"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3"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2023</w:t>
            </w:r>
          </w:p>
        </w:tc>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4" w14:textId="77777777" w:rsidR="003C4798" w:rsidRDefault="00417595">
            <w:pPr>
              <w:pStyle w:val="P68B1DB1-Normal062"/>
              <w:spacing w:after="0" w:line="240" w:lineRule="auto"/>
              <w:rPr>
                <w:noProof/>
                <w:color w:val="000000" w:themeColor="text1"/>
              </w:rPr>
            </w:pPr>
            <w:r>
              <w:rPr>
                <w:noProof/>
              </w:rPr>
              <w:t>Capacité installée totale (en GW) des installations éoliennes et photovoltaïques terrestres.</w:t>
            </w:r>
          </w:p>
        </w:tc>
      </w:tr>
      <w:tr w:rsidR="003C4798" w14:paraId="1216BAB1" w14:textId="77777777" w:rsidTr="00EC21D5">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6"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B39L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7"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8"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Étape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9" w14:textId="155C2363"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Entrée en vigueur du règlement d’exécution découlant de la loi du 17 décembre 2020 relative à la promotion de la production d’électricité dans les parcs éoliens en mer</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A" w14:textId="77777777" w:rsidR="003C4798" w:rsidRDefault="00417595">
            <w:pPr>
              <w:pStyle w:val="P68B1DB1-Normal062"/>
              <w:pBdr>
                <w:top w:val="nil"/>
                <w:left w:val="nil"/>
                <w:bottom w:val="nil"/>
                <w:right w:val="nil"/>
                <w:between w:val="nil"/>
              </w:pBdr>
              <w:spacing w:after="0" w:line="240" w:lineRule="auto"/>
              <w:rPr>
                <w:noProof/>
              </w:rPr>
            </w:pPr>
            <w:r>
              <w:rPr>
                <w:noProof/>
              </w:rPr>
              <w:t>Disposition du règlement indiquant son entrée en vigueur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B"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C" w14:textId="77777777" w:rsidR="003C4798" w:rsidRDefault="003C4798">
            <w:pPr>
              <w:pStyle w:val="Normal0"/>
              <w:spacing w:after="0"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D"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E"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F"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0" w14:textId="05CC76D6" w:rsidR="003C4798" w:rsidRDefault="00417595">
            <w:pPr>
              <w:pStyle w:val="P68B1DB1-Normal021"/>
              <w:spacing w:after="0" w:line="240" w:lineRule="auto"/>
              <w:rPr>
                <w:noProof/>
                <w:color w:val="000000" w:themeColor="text1"/>
              </w:rPr>
            </w:pPr>
            <w:r>
              <w:rPr>
                <w:noProof/>
                <w:color w:val="000000" w:themeColor="text1"/>
              </w:rPr>
              <w:t>Le règlement d'application suivant entre en vigueur:</w:t>
            </w:r>
            <w:r>
              <w:rPr>
                <w:noProof/>
              </w:rPr>
              <w:br/>
            </w:r>
            <w:r>
              <w:rPr>
                <w:noProof/>
                <w:color w:val="000000" w:themeColor="text1"/>
              </w:rPr>
              <w:t>Règlement du Conseil des ministres sur la redevance de concession - Conformément à l’article 34, paragraphe 2 bis, de la loi sur l’énergie, l’obligation de verser la redevance de concession au président de l’Office de régulation de l’énergie s’étendait également aux entreprises énergétiques exerçant une activité économique dans le domaine de la production d’électricité dans les parcs éoliens en mer, visées dans la loi du 17 décembre 2020 relative à la promotion de la production d’électricité dans les parcs éoliens en mer. En outre, dans le cadre de la modification de la loi sur l’énergie du 15 avril 2021, une activité qui sera également couverte par la redevance de concession est le stockage d’électricité.</w:t>
            </w:r>
          </w:p>
        </w:tc>
      </w:tr>
      <w:tr w:rsidR="003C4798" w14:paraId="1216BABD" w14:textId="77777777" w:rsidTr="00EC21D5">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2"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B40L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3"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B3.6 Améliorer les conditions de développement des sources d'énergie renouvelables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4"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Étape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5" w14:textId="08B15024"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Entrée en vigueur du règlement d’exécution découlant de la loi du 17 décembre 2020 relative à la promotion de la production d’électricité dans les parcs éoliens en mer</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6" w14:textId="77777777" w:rsidR="003C4798" w:rsidRDefault="00417595">
            <w:pPr>
              <w:pStyle w:val="P68B1DB1-Normal062"/>
              <w:pBdr>
                <w:top w:val="nil"/>
                <w:left w:val="nil"/>
                <w:bottom w:val="nil"/>
                <w:right w:val="nil"/>
                <w:between w:val="nil"/>
              </w:pBdr>
              <w:spacing w:after="0" w:line="240" w:lineRule="auto"/>
              <w:rPr>
                <w:noProof/>
              </w:rPr>
            </w:pPr>
            <w:r>
              <w:rPr>
                <w:noProof/>
              </w:rPr>
              <w:t>Disposition du règlement indiquant son entrée en vigueur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7"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8" w14:textId="77777777" w:rsidR="003C4798" w:rsidRDefault="003C4798">
            <w:pPr>
              <w:pStyle w:val="Normal0"/>
              <w:spacing w:after="0"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9"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A"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B"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C" w14:textId="77777777" w:rsidR="003C4798" w:rsidRDefault="00417595">
            <w:pPr>
              <w:pStyle w:val="P68B1DB1-Normal062"/>
              <w:spacing w:after="0" w:line="240" w:lineRule="auto"/>
              <w:rPr>
                <w:noProof/>
                <w:color w:val="000000" w:themeColor="text1"/>
              </w:rPr>
            </w:pPr>
            <w:r>
              <w:rPr>
                <w:noProof/>
              </w:rPr>
              <w:t>Règlement du ministre du Climat et de l'Environnement sur les types de flux de trésorerie à prendre en considération dans le calcul du prix ajusté et la méthode détaillée de calcul du prix ajusté. Le règlement précise les types de flux de trésorerie à prendre en compte dans le calcul du prix ajusté et la méthode détaillée de calcul du prix ajusté. Au cours du processus, des facteurs tels que les aides à l'investissement, la date d'octroi des aides à l'investissement et les règles d'octroi des aides publiques dans le domaine de la protection de l'environnement et de l'énergie sont pris en compte. L’objectif est de faciliter la procédure susmentionnée pour les investisseurs dans les parcs éoliens en mer.</w:t>
            </w:r>
          </w:p>
        </w:tc>
      </w:tr>
    </w:tbl>
    <w:p w14:paraId="1216BABE" w14:textId="77777777" w:rsidR="003C4798" w:rsidRDefault="003C4798">
      <w:pPr>
        <w:rPr>
          <w:b/>
          <w:noProof/>
        </w:rPr>
      </w:pPr>
    </w:p>
    <w:p w14:paraId="1216BABF" w14:textId="77777777" w:rsidR="003C4798" w:rsidRDefault="003C4798">
      <w:pPr>
        <w:rPr>
          <w:b/>
          <w:noProof/>
        </w:rPr>
        <w:sectPr w:rsidR="003C4798" w:rsidSect="006C5441">
          <w:headerReference w:type="even" r:id="rId66"/>
          <w:headerReference w:type="default" r:id="rId67"/>
          <w:footerReference w:type="even" r:id="rId68"/>
          <w:footerReference w:type="default" r:id="rId69"/>
          <w:headerReference w:type="first" r:id="rId70"/>
          <w:footerReference w:type="first" r:id="rId71"/>
          <w:pgSz w:w="16839" w:h="11907" w:orient="landscape"/>
          <w:pgMar w:top="1134" w:right="1134" w:bottom="1134" w:left="1134" w:header="567" w:footer="567" w:gutter="0"/>
          <w:cols w:space="720"/>
          <w:docGrid w:linePitch="299"/>
        </w:sectPr>
      </w:pPr>
    </w:p>
    <w:p w14:paraId="1216BAC0" w14:textId="77777777" w:rsidR="003C4798" w:rsidRDefault="00417595">
      <w:pPr>
        <w:pStyle w:val="P68B1DB1-Normal046"/>
        <w:keepNext/>
        <w:pBdr>
          <w:top w:val="nil"/>
          <w:left w:val="nil"/>
          <w:bottom w:val="nil"/>
          <w:right w:val="nil"/>
          <w:between w:val="nil"/>
        </w:pBdr>
        <w:tabs>
          <w:tab w:val="left" w:pos="850"/>
        </w:tabs>
        <w:spacing w:before="360" w:after="120" w:line="240" w:lineRule="auto"/>
        <w:jc w:val="both"/>
        <w:rPr>
          <w:noProof/>
          <w:color w:val="000000"/>
        </w:rPr>
      </w:pPr>
      <w:r>
        <w:rPr>
          <w:noProof/>
        </w:rPr>
        <w:t>C. Élément C: « TRANSFORMATION DIGITALE »</w:t>
      </w:r>
    </w:p>
    <w:p w14:paraId="1216BAC1" w14:textId="77777777" w:rsidR="003C4798" w:rsidRDefault="00417595">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Le volet C du plan polonais pour la reprise et la résilience aborde une série de défis. Premièrement, les disparités entre les zones urbaines et rurales en termes de connectivité et d’accès à une connexion internet rapide et fiable, tant fixe que mobile; deuxièmement, la nécessité d’une utilisation plus rapide et plus sûre des services numériques dans le secteur public; troisièmement, l’absence globale d’une stratégie ciblée en matière d’éducation et de formation numériques, qui a été clairement mise en évidence par l’insuffisance des compétences numériques et des équipements TIC parmi les étudiants et les enseignants pendant la pandémie de COVID-19. Enfin, la nécessité d’accroître la cybersécurité du système d’information public afin de réagir rapidement aux cyberattaques et aux incidents de sécurité.</w:t>
      </w:r>
    </w:p>
    <w:p w14:paraId="1216BAC2" w14:textId="77777777" w:rsidR="003C4798" w:rsidRDefault="00417595">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Le volet vise à accélérer le processus de numérisation du pays grâce à la transformation numérique du secteur public, de l’économie et de la société. Il s'agit de mesures visant à: améliorer l'accès à l'internet à haut débit; développer les services en ligne et leur disponibilité dans l’application mobile mObywatel, et améliorer la communication entre les institutions publiques, les citoyens et les entreprises; renforcer la sécurité dans le cyberespace, sécuriser l’infrastructure de traitement des données et numériser l’infrastructure des services de sécurité; soutenir la transformation numérique des entreprises par l’utilisation de l’informatique en nuage.</w:t>
      </w:r>
    </w:p>
    <w:p w14:paraId="1216BAC3" w14:textId="6FC95B45" w:rsidR="003C4798" w:rsidRDefault="00417595">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Les réformes et les investissements élaborés dans le volet contribuent à donner suite à trois recommandations par pays recensées pour la Pologne au cours des deux dernières années, sur la nécessité de concentrer la politique économique liée aux investissements sur les infrastructures numériques (recommandation par pays no 3, 2019) et la transition numérique (recommandation par pays no 3, 2020); ainsi que sur la nécessité d’améliorer les compétences numériques et de promouvoir la transformation numérique des entreprises et de l’administration publique (recommandation par pays no 2, 2020).</w:t>
      </w:r>
    </w:p>
    <w:p w14:paraId="1216BAC4" w14:textId="77777777" w:rsidR="003C4798" w:rsidRDefault="00417595">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 58/01).</w:t>
      </w:r>
    </w:p>
    <w:p w14:paraId="1216BAC5" w14:textId="77777777" w:rsidR="003C4798" w:rsidRDefault="00417595">
      <w:pPr>
        <w:pStyle w:val="P68B1DB1-Normal047"/>
        <w:pBdr>
          <w:top w:val="nil"/>
          <w:left w:val="nil"/>
          <w:bottom w:val="nil"/>
          <w:right w:val="nil"/>
          <w:between w:val="nil"/>
        </w:pBdr>
        <w:spacing w:before="120" w:after="120" w:line="240" w:lineRule="auto"/>
        <w:jc w:val="both"/>
        <w:rPr>
          <w:rFonts w:eastAsia="Times New Roman" w:cs="Times New Roman"/>
          <w:noProof/>
          <w:color w:val="000000"/>
          <w:szCs w:val="24"/>
        </w:rPr>
      </w:pPr>
      <w:r>
        <w:rPr>
          <w:noProof/>
        </w:rPr>
        <w:t>Ce volet devrait promouvoir la transition numérique en développant l’infrastructure à haut débit Next Generation Access, en renforçant l’utilisation des outils numériques dans le secteur public et en renforçant les compétences numériques dans la société (entreprises, administration publique, enseignants et étudiants). Elle contribue à optimiser la cybersécurité, à améliorer l’efficacité du traitement des données et à moderniser l’infrastructure des services publics chargés de la sécurité. Enfin, le déploiement potentiel de solutions innovantes en nuage de nouvelle génération créera des infrastructures en nuage stables et durables.</w:t>
      </w:r>
    </w:p>
    <w:p w14:paraId="1216BAC6"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AC7" w14:textId="77777777" w:rsidR="003C4798" w:rsidRDefault="00417595">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4F81BD"/>
          <w:sz w:val="24"/>
          <w:szCs w:val="24"/>
        </w:rPr>
      </w:pPr>
      <w:r>
        <w:rPr>
          <w:rFonts w:ascii="Times New Roman" w:hAnsi="Times New Roman"/>
          <w:b/>
          <w:noProof/>
          <w:color w:val="000000" w:themeColor="text1"/>
          <w:sz w:val="24"/>
          <w:szCs w:val="24"/>
        </w:rPr>
        <w:t>C.1.</w:t>
      </w:r>
      <w:r>
        <w:rPr>
          <w:noProof/>
        </w:rPr>
        <w:tab/>
      </w:r>
      <w:r>
        <w:rPr>
          <w:rFonts w:ascii="Times New Roman" w:hAnsi="Times New Roman"/>
          <w:b/>
          <w:noProof/>
          <w:color w:val="000000" w:themeColor="text1"/>
          <w:sz w:val="24"/>
          <w:szCs w:val="24"/>
        </w:rPr>
        <w:t>Description des réformes et des investissements pour le soutien financier non remboursable</w:t>
      </w:r>
    </w:p>
    <w:p w14:paraId="1216BAC8"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u w:val="single"/>
        </w:rPr>
      </w:pPr>
    </w:p>
    <w:p w14:paraId="1216BAC9" w14:textId="77777777" w:rsidR="003C4798" w:rsidRDefault="00417595">
      <w:pPr>
        <w:pStyle w:val="P68B1DB1-Normal036"/>
        <w:pBdr>
          <w:top w:val="nil"/>
          <w:left w:val="nil"/>
          <w:bottom w:val="nil"/>
          <w:right w:val="nil"/>
          <w:between w:val="nil"/>
        </w:pBdr>
        <w:spacing w:before="120" w:after="120" w:line="240" w:lineRule="auto"/>
        <w:jc w:val="both"/>
        <w:rPr>
          <w:noProof/>
          <w:color w:val="000000"/>
        </w:rPr>
      </w:pPr>
      <w:r>
        <w:rPr>
          <w:noProof/>
        </w:rPr>
        <w:t>C1.1 Faciliter le développement de l'infrastructure de réseau pour assurer l'accès universel à l'internet à haut débit</w:t>
      </w:r>
    </w:p>
    <w:p w14:paraId="1216BACA" w14:textId="77777777" w:rsidR="003C4798" w:rsidRDefault="00417595">
      <w:pPr>
        <w:pStyle w:val="P68B1DB1-Normal063"/>
        <w:pBdr>
          <w:top w:val="nil"/>
          <w:left w:val="nil"/>
          <w:bottom w:val="nil"/>
          <w:right w:val="nil"/>
          <w:between w:val="nil"/>
        </w:pBdr>
        <w:spacing w:after="0" w:line="240" w:lineRule="auto"/>
        <w:jc w:val="both"/>
        <w:rPr>
          <w:noProof/>
          <w:color w:val="000000"/>
          <w:sz w:val="24"/>
          <w:szCs w:val="24"/>
        </w:rPr>
      </w:pPr>
      <w:r>
        <w:rPr>
          <w:noProof/>
          <w:sz w:val="24"/>
          <w:szCs w:val="24"/>
        </w:rPr>
        <w:t>Cette réforme vise à garantir l’accès universel à l’internet à haut débit et aux services numériques dans toute la Pologne, y compris les «points blancs»</w:t>
      </w:r>
      <w:r>
        <w:rPr>
          <w:noProof/>
          <w:sz w:val="18"/>
          <w:szCs w:val="18"/>
        </w:rPr>
        <w:t xml:space="preserve"> </w:t>
      </w:r>
      <w:r>
        <w:rPr>
          <w:noProof/>
          <w:sz w:val="24"/>
          <w:szCs w:val="24"/>
        </w:rPr>
        <w:t>où il n’existe pas d’infrastructure à haut débit à grande capacité.</w:t>
      </w:r>
    </w:p>
    <w:p w14:paraId="1216BACB" w14:textId="56F407C2" w:rsidR="003C4798" w:rsidRDefault="00417595">
      <w:pPr>
        <w:pStyle w:val="P68B1DB1-Normal037"/>
        <w:pBdr>
          <w:top w:val="nil"/>
          <w:left w:val="nil"/>
          <w:bottom w:val="nil"/>
          <w:right w:val="nil"/>
          <w:between w:val="nil"/>
        </w:pBdr>
        <w:spacing w:before="120" w:after="120" w:line="240" w:lineRule="auto"/>
        <w:jc w:val="both"/>
        <w:rPr>
          <w:noProof/>
          <w:color w:val="000000"/>
        </w:rPr>
      </w:pPr>
      <w:r>
        <w:rPr>
          <w:noProof/>
        </w:rPr>
        <w:t>Cet objectif doit être atteint, d’une part, en supprimant les obstacles législatifs à l’investissement dans le haut débit et, d’autre part, en alignant la législation nationale sur la boîte à outils pour la connectivité à l’échelle de l’Union du 25 mars 2021. Les modifications juridiques prévoient, entre autres, des modifications du règlement relatif à l'inventaire des infrastructures de télécommunications et du règlement relatif au système de point d'information unique (SIP).</w:t>
      </w:r>
    </w:p>
    <w:p w14:paraId="1216BACC" w14:textId="77777777" w:rsidR="003C4798" w:rsidRDefault="00417595">
      <w:pPr>
        <w:pStyle w:val="P68B1DB1-Normal037"/>
        <w:pBdr>
          <w:top w:val="nil"/>
          <w:left w:val="nil"/>
          <w:bottom w:val="nil"/>
          <w:right w:val="nil"/>
          <w:between w:val="nil"/>
        </w:pBdr>
        <w:spacing w:after="0" w:line="240" w:lineRule="auto"/>
        <w:jc w:val="both"/>
        <w:rPr>
          <w:noProof/>
        </w:rPr>
      </w:pPr>
      <w:r>
        <w:rPr>
          <w:noProof/>
        </w:rPr>
        <w:t>La mise en œuvre de la réforme est achevée au plus tard le 31 mars 2023.</w:t>
      </w:r>
    </w:p>
    <w:p w14:paraId="1216BACD" w14:textId="77777777" w:rsidR="003C4798" w:rsidRDefault="003C4798">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rPr>
      </w:pPr>
    </w:p>
    <w:p w14:paraId="1216BACE" w14:textId="77777777" w:rsidR="003C4798" w:rsidRDefault="00417595">
      <w:pPr>
        <w:pStyle w:val="P68B1DB1-Normal40"/>
        <w:spacing w:after="160" w:line="257" w:lineRule="auto"/>
        <w:rPr>
          <w:noProof/>
        </w:rPr>
      </w:pPr>
      <w:r>
        <w:rPr>
          <w:noProof/>
        </w:rPr>
        <w:t>C1.1.1 Accès au réseau à haut débit</w:t>
      </w:r>
    </w:p>
    <w:p w14:paraId="1216BACF" w14:textId="33D317D2" w:rsidR="003C4798" w:rsidRDefault="00417595">
      <w:pPr>
        <w:pStyle w:val="P68B1DB1-Normal15"/>
        <w:spacing w:before="120" w:after="160" w:line="257" w:lineRule="auto"/>
        <w:jc w:val="both"/>
        <w:rPr>
          <w:noProof/>
        </w:rPr>
      </w:pPr>
      <w:r>
        <w:rPr>
          <w:noProof/>
        </w:rPr>
        <w:t>L’objectif de cet investissement est d’accroître la couverture du réseau à haut débit en Pologne. Cette mesure consiste à mettre l’accès à l’internet à haut débit à la disposition des unités résidentielles.</w:t>
      </w:r>
    </w:p>
    <w:p w14:paraId="1216BAD0" w14:textId="77777777" w:rsidR="003C4798" w:rsidRDefault="00417595">
      <w:pPr>
        <w:pStyle w:val="P68B1DB1-Normal036"/>
        <w:spacing w:before="120" w:after="160" w:line="257" w:lineRule="auto"/>
        <w:jc w:val="both"/>
        <w:rPr>
          <w:rFonts w:eastAsia="Times New Roman" w:cs="Times New Roman"/>
          <w:noProof/>
          <w:color w:val="000000"/>
        </w:rPr>
      </w:pPr>
      <w:r>
        <w:rPr>
          <w:noProof/>
        </w:rPr>
        <w:t>C2.1 Développer les applications numériques dans la sphère publique, l'économie et la société</w:t>
      </w:r>
    </w:p>
    <w:p w14:paraId="1216BAD1" w14:textId="77777777" w:rsidR="003C4798" w:rsidRDefault="00417595">
      <w:pPr>
        <w:pStyle w:val="P68B1DB1-Normal15"/>
        <w:spacing w:before="120" w:after="160" w:line="257" w:lineRule="auto"/>
        <w:jc w:val="both"/>
        <w:rPr>
          <w:noProof/>
        </w:rPr>
      </w:pPr>
      <w:r>
        <w:rPr>
          <w:noProof/>
        </w:rPr>
        <w:t>L’objectif de cette réforme est de soutenir la numérisation en Pologne. Cette mesure consiste à (i) modifier la loi sur l’informatisation des activités exercées par les entités publiques, (ii) modifier la loi sur la taxe sur les biens et services en ce qui concerne l’utilisation de factures structurées, (iii) définir des normes contraignantes pour équiper les écoles d’infrastructures numériques et (iv) créer le programme de développement des compétences numériques.</w:t>
      </w:r>
    </w:p>
    <w:p w14:paraId="1216BAD2"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C2.1.1 Services publics en ligne et solutions informatiques pour l'administration publique</w:t>
      </w:r>
    </w:p>
    <w:p w14:paraId="1216BAD3" w14:textId="3CD294A3" w:rsidR="003C4798" w:rsidRDefault="00417595">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L'objectif de cet investissement est d'étendre les services publics en ligne. Cette mesure consiste en les projets suivants:</w:t>
      </w:r>
    </w:p>
    <w:p w14:paraId="1216BAD4" w14:textId="64005B82" w:rsidR="003C4798" w:rsidRDefault="00417595">
      <w:pPr>
        <w:pStyle w:val="P68B1DB1-Normal037"/>
        <w:numPr>
          <w:ilvl w:val="0"/>
          <w:numId w:val="17"/>
        </w:numPr>
        <w:pBdr>
          <w:top w:val="nil"/>
          <w:left w:val="nil"/>
          <w:bottom w:val="nil"/>
          <w:right w:val="nil"/>
          <w:between w:val="nil"/>
        </w:pBdr>
        <w:spacing w:before="120" w:after="120" w:line="240" w:lineRule="auto"/>
        <w:jc w:val="both"/>
        <w:rPr>
          <w:rFonts w:eastAsia="Times New Roman" w:cs="Times New Roman"/>
          <w:noProof/>
        </w:rPr>
      </w:pPr>
      <w:r>
        <w:rPr>
          <w:noProof/>
        </w:rPr>
        <w:t>services en ligne publics nouveaux ou modernisés mis à disposition en ligne ou services en ligne intégrés dans l’application mObywatel;</w:t>
      </w:r>
    </w:p>
    <w:p w14:paraId="1216BAD5" w14:textId="77777777" w:rsidR="003C4798" w:rsidRDefault="00417595">
      <w:pPr>
        <w:pStyle w:val="P68B1DB1-Normal037"/>
        <w:numPr>
          <w:ilvl w:val="0"/>
          <w:numId w:val="17"/>
        </w:numPr>
        <w:spacing w:before="120" w:after="120" w:line="240" w:lineRule="auto"/>
        <w:jc w:val="both"/>
        <w:rPr>
          <w:rFonts w:eastAsia="Times New Roman" w:cs="Times New Roman"/>
          <w:noProof/>
        </w:rPr>
      </w:pPr>
      <w:r>
        <w:rPr>
          <w:noProof/>
        </w:rPr>
        <w:t>le lancement ou l'expansion de systèmes informatiques publics;</w:t>
      </w:r>
    </w:p>
    <w:p w14:paraId="1216BAD6" w14:textId="77777777" w:rsidR="003C4798" w:rsidRDefault="00417595">
      <w:pPr>
        <w:pStyle w:val="P68B1DB1-Normal064"/>
        <w:numPr>
          <w:ilvl w:val="0"/>
          <w:numId w:val="17"/>
        </w:numPr>
        <w:spacing w:before="120" w:after="120" w:line="240" w:lineRule="auto"/>
        <w:jc w:val="both"/>
        <w:rPr>
          <w:noProof/>
        </w:rPr>
      </w:pPr>
      <w:r>
        <w:rPr>
          <w:noProof/>
        </w:rPr>
        <w:t>mettre à la disposition des bénéficiaires des systèmes de gestion électronique des documents pour la production et le lancement du service en nuage SaaS2 EZD RP;</w:t>
      </w:r>
    </w:p>
    <w:p w14:paraId="1216BAD7" w14:textId="77777777" w:rsidR="003C4798" w:rsidRDefault="00417595">
      <w:pPr>
        <w:pStyle w:val="P68B1DB1-Normal064"/>
        <w:numPr>
          <w:ilvl w:val="0"/>
          <w:numId w:val="17"/>
        </w:numPr>
        <w:spacing w:before="120" w:after="120" w:line="240" w:lineRule="auto"/>
        <w:jc w:val="both"/>
        <w:rPr>
          <w:noProof/>
        </w:rPr>
      </w:pPr>
      <w:r>
        <w:rPr>
          <w:noProof/>
        </w:rPr>
        <w:t>lancement du système national de facturation électronique;</w:t>
      </w:r>
    </w:p>
    <w:p w14:paraId="1216BAD8" w14:textId="77777777" w:rsidR="003C4798" w:rsidRDefault="00417595">
      <w:pPr>
        <w:pStyle w:val="P68B1DB1-Normal064"/>
        <w:numPr>
          <w:ilvl w:val="0"/>
          <w:numId w:val="17"/>
        </w:numPr>
        <w:spacing w:before="120" w:after="120" w:line="240" w:lineRule="auto"/>
        <w:jc w:val="both"/>
        <w:rPr>
          <w:noProof/>
        </w:rPr>
      </w:pPr>
      <w:r>
        <w:rPr>
          <w:noProof/>
        </w:rPr>
        <w:t>lancement de services en ligne nouveaux ou améliorés dans le service e-Tax Office.</w:t>
      </w:r>
    </w:p>
    <w:p w14:paraId="1216BAD9"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rPr>
      </w:pPr>
    </w:p>
    <w:p w14:paraId="1216BADA" w14:textId="77777777" w:rsidR="003C4798" w:rsidRDefault="00417595">
      <w:pPr>
        <w:pStyle w:val="P68B1DB1-Normal036"/>
        <w:pBdr>
          <w:top w:val="nil"/>
          <w:left w:val="nil"/>
          <w:bottom w:val="nil"/>
          <w:right w:val="nil"/>
          <w:between w:val="nil"/>
        </w:pBdr>
        <w:spacing w:before="120" w:after="120" w:line="240" w:lineRule="auto"/>
        <w:jc w:val="both"/>
        <w:rPr>
          <w:bCs/>
          <w:noProof/>
          <w:color w:val="000000"/>
        </w:rPr>
      </w:pPr>
      <w:r>
        <w:rPr>
          <w:noProof/>
        </w:rPr>
        <w:t>C2.1.2 Technologies numériques dans l’enseignement scolaire – appareils portables</w:t>
      </w:r>
    </w:p>
    <w:p w14:paraId="1216BADB" w14:textId="77777777" w:rsidR="003C4798" w:rsidRDefault="00417595">
      <w:pPr>
        <w:pStyle w:val="P68B1DB1-Normal037"/>
        <w:pBdr>
          <w:top w:val="nil"/>
          <w:left w:val="nil"/>
          <w:bottom w:val="nil"/>
          <w:right w:val="nil"/>
          <w:between w:val="nil"/>
        </w:pBdr>
        <w:spacing w:before="120" w:after="120" w:line="240" w:lineRule="auto"/>
        <w:jc w:val="both"/>
        <w:rPr>
          <w:noProof/>
        </w:rPr>
      </w:pPr>
      <w:r>
        <w:rPr>
          <w:noProof/>
        </w:rPr>
        <w:t>L’objectif de cet investissement est de fournir aux écoles polonaises des équipements TIC afin d’étendre l’utilisation des technologies numériques dans l’enseignement scolaire. Cette mesure consiste en la fourniture d’appareils portables aux écoles ou par l’intermédiaire des autorités de gestion des écoles et de bons pour ordinateurs portables.</w:t>
      </w:r>
    </w:p>
    <w:p w14:paraId="1216BADC" w14:textId="77777777" w:rsidR="003C4798" w:rsidRDefault="00417595">
      <w:pPr>
        <w:pStyle w:val="P68B1DB1-Normal036"/>
        <w:pBdr>
          <w:top w:val="nil"/>
          <w:left w:val="nil"/>
          <w:bottom w:val="nil"/>
          <w:right w:val="nil"/>
          <w:between w:val="nil"/>
        </w:pBdr>
        <w:spacing w:before="120" w:after="120" w:line="240" w:lineRule="auto"/>
        <w:jc w:val="both"/>
        <w:rPr>
          <w:bCs/>
          <w:noProof/>
          <w:color w:val="000000"/>
        </w:rPr>
      </w:pPr>
      <w:r>
        <w:rPr>
          <w:noProof/>
        </w:rPr>
        <w:t>C2.1.3 Compétences en ligne</w:t>
      </w:r>
    </w:p>
    <w:p w14:paraId="1216BADD" w14:textId="77777777" w:rsidR="003C4798" w:rsidRDefault="00417595">
      <w:pPr>
        <w:pStyle w:val="P68B1DB1-Normal050"/>
        <w:pBdr>
          <w:top w:val="nil"/>
          <w:left w:val="nil"/>
          <w:bottom w:val="nil"/>
          <w:right w:val="nil"/>
          <w:between w:val="nil"/>
        </w:pBdr>
        <w:spacing w:before="120" w:after="120" w:line="240" w:lineRule="auto"/>
        <w:jc w:val="both"/>
        <w:rPr>
          <w:noProof/>
          <w:color w:val="000000"/>
        </w:rPr>
      </w:pPr>
      <w:r>
        <w:rPr>
          <w:noProof/>
          <w:color w:val="000000" w:themeColor="text1"/>
        </w:rPr>
        <w:t>L’objectif de cet investissement est d’accroître le niveau des compétences numériques dans la société.</w:t>
      </w:r>
      <w:r>
        <w:rPr>
          <w:noProof/>
        </w:rPr>
        <w:t xml:space="preserve"> Cette mesure consiste à dispenser des formations aux compétences numériques et à mettre en place un centre de développement des compétences numériques.</w:t>
      </w:r>
    </w:p>
    <w:p w14:paraId="1216BADE" w14:textId="77777777" w:rsidR="003C4798" w:rsidRDefault="003C4798">
      <w:pPr>
        <w:pStyle w:val="Normal0"/>
        <w:pBdr>
          <w:top w:val="nil"/>
          <w:left w:val="nil"/>
          <w:bottom w:val="nil"/>
          <w:right w:val="nil"/>
          <w:between w:val="nil"/>
        </w:pBdr>
        <w:spacing w:before="120" w:after="120" w:line="240" w:lineRule="auto"/>
        <w:jc w:val="both"/>
        <w:rPr>
          <w:noProof/>
        </w:rPr>
      </w:pPr>
    </w:p>
    <w:p w14:paraId="1216BADF"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C3.1 Renforcer la cybersécurité</w:t>
      </w:r>
    </w:p>
    <w:p w14:paraId="1216BAE0" w14:textId="77777777" w:rsidR="003C4798" w:rsidRDefault="00417595">
      <w:pPr>
        <w:pStyle w:val="P68B1DB1-Normal037"/>
        <w:pBdr>
          <w:top w:val="nil"/>
          <w:left w:val="nil"/>
          <w:bottom w:val="nil"/>
          <w:right w:val="nil"/>
          <w:between w:val="nil"/>
        </w:pBdr>
        <w:spacing w:before="120" w:after="120" w:line="240" w:lineRule="auto"/>
        <w:jc w:val="both"/>
        <w:rPr>
          <w:noProof/>
          <w:color w:val="000000"/>
        </w:rPr>
      </w:pPr>
      <w:r>
        <w:rPr>
          <w:noProof/>
        </w:rPr>
        <w:t>L’objectif de cette réforme est d’accroître la capacité du système national de cybersécurité. Cette mesure consiste en l’adoption de la modification de la loi sur la cybersécurité.</w:t>
      </w:r>
    </w:p>
    <w:p w14:paraId="1216BAE2"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rPr>
      </w:pPr>
      <w:r>
        <w:rPr>
          <w:noProof/>
        </w:rPr>
        <w:t>C3.1.1 Cybersécurité – CyberPL, infrastructure de traitement des données et optimisation de l’infrastructure des services répressifs</w:t>
      </w:r>
    </w:p>
    <w:p w14:paraId="1216BAE3" w14:textId="6ADA949C" w:rsidR="003C4798" w:rsidRDefault="00417595">
      <w:pPr>
        <w:pStyle w:val="P68B1DB1-Normal037"/>
        <w:pBdr>
          <w:top w:val="nil"/>
          <w:left w:val="nil"/>
          <w:bottom w:val="nil"/>
          <w:right w:val="nil"/>
          <w:between w:val="nil"/>
        </w:pBdr>
        <w:spacing w:before="120" w:after="120" w:line="240" w:lineRule="auto"/>
        <w:jc w:val="both"/>
        <w:rPr>
          <w:rFonts w:eastAsia="Times New Roman" w:cs="Times New Roman"/>
          <w:noProof/>
        </w:rPr>
      </w:pPr>
      <w:r>
        <w:rPr>
          <w:noProof/>
        </w:rPr>
        <w:t>L'objectif de cet investissement est d'étendre les solutions de cybersécurité en Pologne. Cette mesure consiste à: i) les actions en matière de cybersécurité; ii) la construction d’un bâtiment de centre de données; iii) la fourniture d’équipements pour les services répressifs et iv) le lancement de solutions de traitement des données d’infrastructure ou de service.</w:t>
      </w:r>
    </w:p>
    <w:p w14:paraId="1216BAE4"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sectPr w:rsidR="003C4798" w:rsidSect="006C5441">
          <w:headerReference w:type="even" r:id="rId72"/>
          <w:headerReference w:type="default" r:id="rId73"/>
          <w:footerReference w:type="even" r:id="rId74"/>
          <w:footerReference w:type="default" r:id="rId75"/>
          <w:headerReference w:type="first" r:id="rId76"/>
          <w:footerReference w:type="first" r:id="rId77"/>
          <w:pgSz w:w="11907" w:h="16839"/>
          <w:pgMar w:top="1134" w:right="1134" w:bottom="1134" w:left="1134" w:header="567" w:footer="567" w:gutter="0"/>
          <w:cols w:space="720"/>
          <w:docGrid w:linePitch="299"/>
        </w:sectPr>
      </w:pPr>
    </w:p>
    <w:p w14:paraId="1216BAE5" w14:textId="77777777" w:rsidR="003C4798" w:rsidRDefault="00417595">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themeColor="text1"/>
          <w:sz w:val="24"/>
          <w:szCs w:val="24"/>
        </w:rPr>
        <w:t xml:space="preserve">C.2. </w:t>
      </w:r>
      <w:r>
        <w:rPr>
          <w:noProof/>
        </w:rPr>
        <w:t xml:space="preserve"> </w:t>
      </w:r>
      <w:r>
        <w:rPr>
          <w:rFonts w:ascii="Times New Roman" w:hAnsi="Times New Roman"/>
          <w:b/>
          <w:noProof/>
          <w:color w:val="000000" w:themeColor="text1"/>
          <w:sz w:val="24"/>
          <w:szCs w:val="24"/>
        </w:rPr>
        <w:t>Étapes, cibles, indicateurs et calendrier pour le suivi et la mise en œuvre du soutien financier non remboursable</w:t>
      </w:r>
    </w:p>
    <w:tbl>
      <w:tblPr>
        <w:tblW w:w="155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2126"/>
        <w:gridCol w:w="1134"/>
        <w:gridCol w:w="2126"/>
        <w:gridCol w:w="1361"/>
        <w:gridCol w:w="992"/>
        <w:gridCol w:w="1191"/>
        <w:gridCol w:w="992"/>
        <w:gridCol w:w="1134"/>
        <w:gridCol w:w="851"/>
        <w:gridCol w:w="2840"/>
      </w:tblGrid>
      <w:tr w:rsidR="003C4798" w14:paraId="1216BAEF" w14:textId="77777777" w:rsidTr="00DA6ACB">
        <w:trPr>
          <w:trHeight w:val="731"/>
          <w:tblHeader/>
          <w:jc w:val="center"/>
        </w:trPr>
        <w:tc>
          <w:tcPr>
            <w:tcW w:w="846" w:type="dxa"/>
            <w:vMerge w:val="restart"/>
            <w:shd w:val="clear" w:color="auto" w:fill="BDD7EE"/>
            <w:vAlign w:val="center"/>
          </w:tcPr>
          <w:p w14:paraId="1216BAE6"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Seq. N°</w:t>
            </w:r>
          </w:p>
        </w:tc>
        <w:tc>
          <w:tcPr>
            <w:tcW w:w="2126" w:type="dxa"/>
            <w:vMerge w:val="restart"/>
            <w:shd w:val="clear" w:color="auto" w:fill="BDD7EE"/>
            <w:vAlign w:val="center"/>
          </w:tcPr>
          <w:p w14:paraId="1216BAE7"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Mesure connexe (réforme ou investissement)</w:t>
            </w:r>
          </w:p>
        </w:tc>
        <w:tc>
          <w:tcPr>
            <w:tcW w:w="1134" w:type="dxa"/>
            <w:vMerge w:val="restart"/>
            <w:shd w:val="clear" w:color="auto" w:fill="BDD7EE"/>
            <w:vAlign w:val="center"/>
          </w:tcPr>
          <w:p w14:paraId="1216BAE8"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Étape/cible</w:t>
            </w:r>
          </w:p>
        </w:tc>
        <w:tc>
          <w:tcPr>
            <w:tcW w:w="2126" w:type="dxa"/>
            <w:vMerge w:val="restart"/>
            <w:shd w:val="clear" w:color="auto" w:fill="BDD7EE"/>
            <w:vAlign w:val="center"/>
          </w:tcPr>
          <w:p w14:paraId="1216BAE9"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Nom</w:t>
            </w:r>
          </w:p>
        </w:tc>
        <w:tc>
          <w:tcPr>
            <w:tcW w:w="1361" w:type="dxa"/>
            <w:vMerge w:val="restart"/>
            <w:shd w:val="clear" w:color="auto" w:fill="BDD7EE"/>
            <w:vAlign w:val="center"/>
          </w:tcPr>
          <w:p w14:paraId="1216BAEA" w14:textId="19C15DCC"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Indicateurs qualitatifs (pour les jalons)</w:t>
            </w:r>
          </w:p>
        </w:tc>
        <w:tc>
          <w:tcPr>
            <w:tcW w:w="3175" w:type="dxa"/>
            <w:gridSpan w:val="3"/>
            <w:shd w:val="clear" w:color="auto" w:fill="BDD7EE"/>
            <w:vAlign w:val="center"/>
          </w:tcPr>
          <w:p w14:paraId="1216BAEB" w14:textId="77777777" w:rsidR="003C4798" w:rsidRDefault="00417595">
            <w:pPr>
              <w:pStyle w:val="P68B1DB1-Normal061"/>
              <w:pBdr>
                <w:top w:val="nil"/>
                <w:left w:val="nil"/>
                <w:bottom w:val="nil"/>
                <w:right w:val="nil"/>
                <w:between w:val="nil"/>
              </w:pBdr>
              <w:spacing w:after="0" w:line="240" w:lineRule="auto"/>
              <w:jc w:val="center"/>
              <w:rPr>
                <w:noProof/>
              </w:rPr>
            </w:pPr>
            <w:r>
              <w:rPr>
                <w:noProof/>
              </w:rPr>
              <w:t>Indicateurs quantitatifs</w:t>
            </w:r>
          </w:p>
          <w:p w14:paraId="1216BAEC"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(pour les objectifs)</w:t>
            </w:r>
          </w:p>
        </w:tc>
        <w:tc>
          <w:tcPr>
            <w:tcW w:w="1985" w:type="dxa"/>
            <w:gridSpan w:val="2"/>
            <w:shd w:val="clear" w:color="auto" w:fill="BDD7EE"/>
            <w:vAlign w:val="center"/>
          </w:tcPr>
          <w:p w14:paraId="1216BAED"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Calendrier indicatif d'achèvement</w:t>
            </w:r>
          </w:p>
        </w:tc>
        <w:tc>
          <w:tcPr>
            <w:tcW w:w="2840" w:type="dxa"/>
            <w:vMerge w:val="restart"/>
            <w:shd w:val="clear" w:color="auto" w:fill="BDD7EE"/>
            <w:vAlign w:val="center"/>
          </w:tcPr>
          <w:p w14:paraId="1216BAEE"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Description de chaque jalon et cible</w:t>
            </w:r>
          </w:p>
        </w:tc>
      </w:tr>
      <w:tr w:rsidR="003C4798" w14:paraId="1216BAFB" w14:textId="77777777" w:rsidTr="00DA6ACB">
        <w:trPr>
          <w:trHeight w:val="558"/>
          <w:jc w:val="center"/>
        </w:trPr>
        <w:tc>
          <w:tcPr>
            <w:tcW w:w="846" w:type="dxa"/>
            <w:vMerge/>
            <w:vAlign w:val="center"/>
          </w:tcPr>
          <w:p w14:paraId="1216BAF0"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AF1"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4" w:type="dxa"/>
            <w:vMerge/>
            <w:vAlign w:val="center"/>
          </w:tcPr>
          <w:p w14:paraId="1216BAF2"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AF3"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361" w:type="dxa"/>
            <w:vMerge/>
            <w:vAlign w:val="center"/>
          </w:tcPr>
          <w:p w14:paraId="1216BAF4"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5"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Unité de mesure</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6"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Données de référence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7"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Objectif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8"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Trimestre</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9"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Année</w:t>
            </w:r>
          </w:p>
        </w:tc>
        <w:tc>
          <w:tcPr>
            <w:tcW w:w="2840" w:type="dxa"/>
            <w:vMerge/>
            <w:vAlign w:val="center"/>
          </w:tcPr>
          <w:p w14:paraId="1216BAFA"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C4798" w14:paraId="1216BB08"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C"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C1G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D"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C1.1 Faciliter le développement de l'infrastructure de réseau pour assurer l'accès universel à l'internet à haut débit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E"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F"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Cadre préparé par la chancellerie du Premier ministre pour cofinancer des projets de haut débit dans les zones blanches d'accès de nouvelle génération (NGA), où il n'existe actuellement aucun réseau NGA</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0" w14:textId="5E841D88" w:rsidR="003C4798" w:rsidRDefault="00417595">
            <w:pPr>
              <w:pStyle w:val="P68B1DB1-Normal062"/>
              <w:pBdr>
                <w:top w:val="nil"/>
                <w:left w:val="nil"/>
                <w:bottom w:val="nil"/>
                <w:right w:val="nil"/>
                <w:between w:val="nil"/>
              </w:pBdr>
              <w:spacing w:after="0" w:line="240" w:lineRule="auto"/>
              <w:rPr>
                <w:noProof/>
                <w:color w:val="006100"/>
              </w:rPr>
            </w:pPr>
            <w:r>
              <w:rPr>
                <w:noProof/>
              </w:rPr>
              <w:t>Publication du cadre dans les sites web de la chancellerie du Premier ministre et du centre de projet Digital Poland</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1"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2"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3"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4"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5"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6" w14:textId="77777777" w:rsidR="003C4798" w:rsidRDefault="00417595">
            <w:pPr>
              <w:pStyle w:val="P68B1DB1-Normal062"/>
              <w:pBdr>
                <w:top w:val="nil"/>
                <w:left w:val="nil"/>
                <w:bottom w:val="nil"/>
                <w:right w:val="nil"/>
                <w:between w:val="nil"/>
              </w:pBdr>
              <w:spacing w:after="0" w:line="240" w:lineRule="auto"/>
              <w:rPr>
                <w:noProof/>
              </w:rPr>
            </w:pPr>
            <w:r>
              <w:rPr>
                <w:noProof/>
              </w:rPr>
              <w:t>Mise en place du cadre sur la base de l'appel à propositions suivant.</w:t>
            </w:r>
          </w:p>
          <w:p w14:paraId="1216BB07"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Le cadre comprend des dispositions visant à garantir le plein respect des orientations techniques «Ne pas causer de préjudice important» (2021/C58/01) des projets soutenus au titre de la présente mesure grâce à l’utilisation d’une évaluation de la durabilité, d’une liste d’exclusion et de l’exigence de conformité avec la législation environnementale pertinente de l’UE et nationale.</w:t>
            </w:r>
          </w:p>
        </w:tc>
      </w:tr>
      <w:tr w:rsidR="003C4798" w14:paraId="1216BB14" w14:textId="77777777" w:rsidTr="00DA6ACB">
        <w:trPr>
          <w:trHeight w:val="1362"/>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9"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C2G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A"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C1.1 Faciliter le développement de l'infrastructure de réseau pour assurer l'accès universel à l'internet à haut débit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B"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C"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Modification du règlement du ministre de la numérisation sur l'inventaire annuel des infrastructures et services de télécommunications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D"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Disposition de la modification du règlement indiquant l'entrée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E"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F"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0"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1"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2"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2023</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3" w14:textId="77777777" w:rsidR="003C4798" w:rsidRDefault="00417595">
            <w:pPr>
              <w:pStyle w:val="P68B1DB1-Normal062"/>
              <w:pBdr>
                <w:top w:val="nil"/>
                <w:left w:val="nil"/>
                <w:bottom w:val="nil"/>
                <w:right w:val="nil"/>
                <w:between w:val="nil"/>
              </w:pBdr>
              <w:spacing w:after="0" w:line="240" w:lineRule="auto"/>
              <w:rPr>
                <w:noProof/>
              </w:rPr>
            </w:pPr>
            <w:r>
              <w:rPr>
                <w:noProof/>
              </w:rPr>
              <w:t>Entrée en vigueur de la modification du règlement relatif à l'inventaire national des infrastructures et services de télécommunications, afin de mieux identifier les domaines nécessitant un soutien supplémentaire de la part des interventions publiques.</w:t>
            </w:r>
          </w:p>
        </w:tc>
      </w:tr>
      <w:tr w:rsidR="003C4798" w14:paraId="1216BB20"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5" w14:textId="77777777" w:rsidR="003C4798" w:rsidRDefault="00417595">
            <w:pPr>
              <w:pStyle w:val="P68B1DB1-Normal021"/>
              <w:spacing w:after="0" w:line="240" w:lineRule="auto"/>
              <w:jc w:val="center"/>
              <w:rPr>
                <w:noProof/>
                <w:color w:val="006100"/>
              </w:rPr>
            </w:pPr>
            <w:r>
              <w:rPr>
                <w:noProof/>
              </w:rPr>
              <w:t>C3G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6"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C1.1 Faciliter le développement de l'infrastructure de réseau pour assurer l'accès universel à l'internet à haut débit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7"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8" w14:textId="1ABF6991" w:rsidR="003C4798" w:rsidRDefault="00417595">
            <w:pPr>
              <w:pStyle w:val="P68B1DB1-Normal062"/>
              <w:spacing w:after="0" w:line="240" w:lineRule="auto"/>
              <w:rPr>
                <w:noProof/>
                <w:color w:val="006100"/>
              </w:rPr>
            </w:pPr>
            <w:r>
              <w:rPr>
                <w:noProof/>
              </w:rPr>
              <w:t>Modification du règlement sur le point d'information unique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9"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Disposition de la modification du règlement indiquant son 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A"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B"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C"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D"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E"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F" w14:textId="77777777" w:rsidR="003C4798" w:rsidRDefault="00417595">
            <w:pPr>
              <w:pStyle w:val="P68B1DB1-Normal062"/>
              <w:spacing w:after="0" w:line="240" w:lineRule="auto"/>
              <w:rPr>
                <w:noProof/>
              </w:rPr>
            </w:pPr>
            <w:r>
              <w:rPr>
                <w:noProof/>
              </w:rPr>
              <w:t>Entrée en vigueur de la modification du règlement sur le point d’information unique afin de fournir aux opérateurs des informations sur les infrastructures pour les investissements dans les télécommunications et l’outil de planification.</w:t>
            </w:r>
          </w:p>
        </w:tc>
      </w:tr>
      <w:tr w:rsidR="003C4798" w14:paraId="1216BB2C" w14:textId="77777777" w:rsidTr="00DA6ACB">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1"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C5aG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2"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C1.1.1 Accès au réseau à haut débit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3"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4" w14:textId="77777777" w:rsidR="003C4798" w:rsidRDefault="00417595">
            <w:pPr>
              <w:pStyle w:val="P68B1DB1-Normal062"/>
              <w:spacing w:after="0" w:line="240" w:lineRule="auto"/>
              <w:rPr>
                <w:rFonts w:eastAsia="Times New Roman"/>
                <w:noProof/>
                <w:color w:val="006100"/>
              </w:rPr>
            </w:pPr>
            <w:r>
              <w:rPr>
                <w:noProof/>
              </w:rPr>
              <w:t>Contrats signés avec des fournisseurs de haut débit</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5"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Contrats signés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6"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7" w14:textId="77777777" w:rsidR="003C4798" w:rsidRDefault="003C4798">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8" w14:textId="77777777" w:rsidR="003C4798" w:rsidRDefault="003C4798">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9"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A"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B" w14:textId="3F34DD1C" w:rsidR="003C4798" w:rsidRDefault="00417595">
            <w:pPr>
              <w:pStyle w:val="P68B1DB1-NoSpacing65"/>
              <w:rPr>
                <w:rFonts w:ascii="Times New Roman" w:hAnsi="Times New Roman" w:cs="Times New Roman"/>
                <w:noProof/>
                <w:color w:val="000000"/>
              </w:rPr>
            </w:pPr>
            <w:r>
              <w:rPr>
                <w:rFonts w:ascii="Times New Roman" w:hAnsi="Times New Roman" w:cs="Times New Roman"/>
                <w:noProof/>
                <w:color w:val="000000" w:themeColor="text1"/>
              </w:rPr>
              <w:t xml:space="preserve">Des contrats sont signés avec des </w:t>
            </w:r>
            <w:r>
              <w:rPr>
                <w:rFonts w:ascii="Times New Roman" w:eastAsia="Times New Roman" w:hAnsi="Times New Roman" w:cs="Times New Roman"/>
                <w:noProof/>
              </w:rPr>
              <w:t>fournisseurs de haut débit</w:t>
            </w:r>
            <w:r>
              <w:rPr>
                <w:rFonts w:ascii="Times New Roman" w:hAnsi="Times New Roman" w:cs="Times New Roman"/>
                <w:noProof/>
                <w:color w:val="000000" w:themeColor="text1"/>
              </w:rPr>
              <w:t xml:space="preserve"> afin de mettre le haut débit à la disposition de 521</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000 unités résidentielles.</w:t>
            </w:r>
          </w:p>
        </w:tc>
      </w:tr>
      <w:tr w:rsidR="003C4798" w14:paraId="1216BB38"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D"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C6G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E"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C1.1.1 Accès au réseau à haut débit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F"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0" w14:textId="6358CCCF" w:rsidR="003C4798" w:rsidRDefault="00417595">
            <w:pPr>
              <w:pStyle w:val="P68B1DB1-Normal062"/>
              <w:spacing w:after="0" w:line="240" w:lineRule="auto"/>
              <w:rPr>
                <w:rFonts w:eastAsia="Times New Roman"/>
                <w:noProof/>
                <w:color w:val="006100"/>
              </w:rPr>
            </w:pPr>
            <w:r>
              <w:rPr>
                <w:noProof/>
              </w:rPr>
              <w:t>Unités résidentielles avec accès au haut débit de 100 Mb/s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1" w14:textId="60B6163C"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Augmentation de la part des unités résidentielles ayant accès au haut débit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2"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3" w14:textId="77777777" w:rsidR="003C4798" w:rsidRDefault="003C4798">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4" w14:textId="77777777" w:rsidR="003C4798" w:rsidRDefault="003C4798">
            <w:pPr>
              <w:pStyle w:val="Normal0"/>
              <w:spacing w:after="0" w:line="240" w:lineRule="auto"/>
              <w:jc w:val="center"/>
              <w:rPr>
                <w:rFonts w:ascii="Times New Roman" w:eastAsia="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5"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6"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7" w14:textId="5C5F8164" w:rsidR="003C4798" w:rsidRDefault="00417595">
            <w:pPr>
              <w:pStyle w:val="P68B1DB1-Normal062"/>
              <w:spacing w:after="0" w:line="240" w:lineRule="auto"/>
              <w:rPr>
                <w:noProof/>
              </w:rPr>
            </w:pPr>
            <w:r>
              <w:rPr>
                <w:noProof/>
              </w:rPr>
              <w:t>une augmentation d’au moins 3,9 points de pourcentage de la part des unités résidentielles en Pologne ayant accès à un haut débit d’au moins 100 Mb/s par rapport à la valeur de référence de 2023, soit 79,6 %.</w:t>
            </w:r>
          </w:p>
        </w:tc>
      </w:tr>
      <w:tr w:rsidR="003C4798" w14:paraId="1216BB50"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5"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C7G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6"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C2.1 Développer les applications numériques dans la sphère publique, l'économie et la société</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7"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8" w14:textId="7B40A9FE" w:rsidR="003C4798" w:rsidRDefault="00417595">
            <w:pPr>
              <w:pStyle w:val="P68B1DB1-Normal062"/>
              <w:spacing w:after="0" w:line="240" w:lineRule="auto"/>
              <w:rPr>
                <w:rFonts w:eastAsia="Times New Roman"/>
                <w:noProof/>
                <w:color w:val="006100"/>
              </w:rPr>
            </w:pPr>
            <w:r>
              <w:rPr>
                <w:noProof/>
              </w:rPr>
              <w:t>Informatisation des activités des entités exécutant des missions publiques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9"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Disposition indiquant l'entrée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A"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B"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C"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D"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E" w14:textId="77777777" w:rsidR="003C4798" w:rsidRDefault="00417595">
            <w:pPr>
              <w:pStyle w:val="P68B1DB1-Normal062"/>
              <w:spacing w:after="0" w:line="240" w:lineRule="auto"/>
              <w:jc w:val="center"/>
              <w:rPr>
                <w:rFonts w:eastAsia="Times New Roman"/>
                <w:noProof/>
                <w:color w:val="006100"/>
              </w:rPr>
            </w:pPr>
            <w:r>
              <w:rPr>
                <w:noProof/>
              </w:rPr>
              <w:t>2024</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F" w14:textId="77777777" w:rsidR="003C4798" w:rsidRDefault="00417595">
            <w:pPr>
              <w:pStyle w:val="P68B1DB1-Normal062"/>
              <w:spacing w:after="0" w:line="240" w:lineRule="auto"/>
              <w:rPr>
                <w:noProof/>
              </w:rPr>
            </w:pPr>
            <w:r>
              <w:rPr>
                <w:noProof/>
              </w:rPr>
              <w:t>Entrée en vigueur de la modification de la loi sur l’informatisation des activités des entités exécutant des missions de service public en ce qui concerne: (i) permettre la création de l'architecture de l'information de l'État, (ii) introduire la commission des affaires numériques, (iii) fournir la base juridique pour l'adoption d'une stratégie d'informatisation de l'État et (iv) introduire un système d'inventaire des systèmes TIC.</w:t>
            </w:r>
          </w:p>
        </w:tc>
      </w:tr>
      <w:tr w:rsidR="003C4798" w14:paraId="1216BB5E"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1"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C8G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2"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C2.1 Développer les applications numériques dans la sphère publique, l'économie et la société</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3"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4" w14:textId="77777777" w:rsidR="003C4798" w:rsidRDefault="00417595">
            <w:pPr>
              <w:pStyle w:val="P68B1DB1-Normal062"/>
              <w:spacing w:after="0" w:line="240" w:lineRule="auto"/>
              <w:rPr>
                <w:rFonts w:eastAsia="Times New Roman"/>
                <w:noProof/>
                <w:color w:val="006100"/>
              </w:rPr>
            </w:pPr>
            <w:r>
              <w:rPr>
                <w:noProof/>
              </w:rPr>
              <w:t>Utilisation de factures structurées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5"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Disposition indiquant l'entrée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6"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8"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9" w14:textId="77777777" w:rsidR="003C4798" w:rsidRDefault="00417595">
            <w:pPr>
              <w:pStyle w:val="P68B1DB1-Normal062"/>
              <w:spacing w:after="0" w:line="240" w:lineRule="auto"/>
              <w:jc w:val="center"/>
              <w:rPr>
                <w:rFonts w:eastAsia="Times New Roman"/>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A" w14:textId="77777777" w:rsidR="003C4798" w:rsidRDefault="00417595">
            <w:pPr>
              <w:pStyle w:val="P68B1DB1-Normal062"/>
              <w:spacing w:after="0" w:line="240" w:lineRule="auto"/>
              <w:jc w:val="center"/>
              <w:rPr>
                <w:rFonts w:eastAsia="Times New Roman"/>
                <w:noProof/>
                <w:color w:val="006100"/>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B" w14:textId="77777777" w:rsidR="003C4798" w:rsidRDefault="00417595">
            <w:pPr>
              <w:pStyle w:val="P68B1DB1-Normal024"/>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Entrée en vigueur de la ou des modifications apportées à la loi relative à la taxe sur les biens et services en ce qui concerne l’utilisation de factures structurées pour les contribuables dont la valeur totale des ventes, y compris le montant de la taxe, attestée par ces factures émises au cours d’un mois donné dépasse 10</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000</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PLN.</w:t>
            </w:r>
          </w:p>
          <w:p w14:paraId="1216BB5C" w14:textId="77777777" w:rsidR="003C4798" w:rsidRDefault="003C4798">
            <w:pPr>
              <w:pStyle w:val="Normal0"/>
              <w:spacing w:after="0" w:line="240" w:lineRule="auto"/>
              <w:rPr>
                <w:rFonts w:ascii="Times New Roman" w:hAnsi="Times New Roman" w:cs="Times New Roman"/>
                <w:noProof/>
                <w:color w:val="000000" w:themeColor="text1"/>
                <w:sz w:val="18"/>
                <w:szCs w:val="18"/>
              </w:rPr>
            </w:pPr>
          </w:p>
          <w:p w14:paraId="1216BB5D" w14:textId="4DCC951F" w:rsidR="003C4798" w:rsidRDefault="00417595">
            <w:pPr>
              <w:pStyle w:val="P68B1DB1-Normal062"/>
              <w:spacing w:after="0" w:line="240" w:lineRule="auto"/>
              <w:rPr>
                <w:noProof/>
              </w:rPr>
            </w:pPr>
            <w:r>
              <w:rPr>
                <w:noProof/>
              </w:rPr>
              <w:t>Une période de transition peut être appliquée afin que l’utilisation de factures structurées pour ces contribuables soit obligatoire à partir du 1er avril 2026.</w:t>
            </w:r>
          </w:p>
        </w:tc>
      </w:tr>
      <w:tr w:rsidR="003C4798" w14:paraId="1216BB6C"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F" w14:textId="77777777" w:rsidR="003C4798" w:rsidRDefault="00417595">
            <w:pPr>
              <w:pStyle w:val="P68B1DB1-Normal021"/>
              <w:spacing w:after="0" w:line="240" w:lineRule="auto"/>
              <w:jc w:val="center"/>
              <w:rPr>
                <w:noProof/>
                <w:color w:val="006100"/>
              </w:rPr>
            </w:pPr>
            <w:r>
              <w:rPr>
                <w:noProof/>
              </w:rPr>
              <w:t>C9G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0"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C2.1 Développer les applications numériques dans la sphère publique, l'économie et la société</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1"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2"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Normes minimales contraignantes pour équiper toutes les écoles d’infrastructures numériques afin de permettre l’utilisation des technologies numériques dans l’apprentissage sur un pied d’égalité dans chaque école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3" w14:textId="77777777" w:rsidR="003C4798" w:rsidRDefault="00417595">
            <w:pPr>
              <w:pStyle w:val="P68B1DB1-Normal062"/>
              <w:spacing w:after="0" w:line="240" w:lineRule="auto"/>
              <w:rPr>
                <w:noProof/>
                <w:color w:val="006100"/>
              </w:rPr>
            </w:pPr>
            <w:r>
              <w:rPr>
                <w:noProof/>
              </w:rPr>
              <w:t xml:space="preserve">Adoption des normes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4"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5"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6"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7"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8"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9" w14:textId="77777777" w:rsidR="003C4798" w:rsidRDefault="00417595">
            <w:pPr>
              <w:pStyle w:val="P68B1DB1-Normal062"/>
              <w:spacing w:after="0" w:line="240" w:lineRule="auto"/>
              <w:rPr>
                <w:noProof/>
                <w:color w:val="000000" w:themeColor="text1"/>
              </w:rPr>
            </w:pPr>
            <w:r>
              <w:rPr>
                <w:noProof/>
              </w:rPr>
              <w:t xml:space="preserve">Adoption de normes contraignantes pour équiper les écoles d’infrastructures numériques qui sont obligatoires pour les écoles afin d’atteindre le même niveau d’infrastructures numériques. L’élaboration des normes est consultée avec les parties prenantes et le gouvernement local. </w:t>
            </w:r>
          </w:p>
          <w:p w14:paraId="1216BB6A" w14:textId="77777777" w:rsidR="003C4798" w:rsidRDefault="003C4798">
            <w:pPr>
              <w:pStyle w:val="Normal0"/>
              <w:spacing w:after="0" w:line="240" w:lineRule="auto"/>
              <w:rPr>
                <w:rFonts w:ascii="Times New Roman" w:hAnsi="Times New Roman" w:cs="Times New Roman"/>
                <w:noProof/>
                <w:color w:val="000000" w:themeColor="text1"/>
                <w:sz w:val="18"/>
                <w:szCs w:val="18"/>
              </w:rPr>
            </w:pPr>
          </w:p>
          <w:p w14:paraId="1216BB6B" w14:textId="759D177D" w:rsidR="003C4798" w:rsidRDefault="00417595">
            <w:pPr>
              <w:pStyle w:val="P68B1DB1-Normal062"/>
              <w:spacing w:after="0" w:line="240" w:lineRule="auto"/>
              <w:rPr>
                <w:noProof/>
              </w:rPr>
            </w:pPr>
            <w:r>
              <w:rPr>
                <w:noProof/>
              </w:rPr>
              <w:t>Dans le domaine de l’éducation, des normes minimales contraignantes visant à doter les écoles d’infrastructures numériques sont définies. Des lignes directrices obligatoires sont élaborées en coopération avec les autorités locales et en consultation avec un large groupe de parties prenantes, et garantissent un niveau minimal d’équipements informatiques et informatiques (TIC) pour chaque école en Pologne.</w:t>
            </w:r>
          </w:p>
        </w:tc>
      </w:tr>
      <w:tr w:rsidR="003C4798" w14:paraId="1216BB7A"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D"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C10G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E"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C2.1 Développer les applications numériques dans la sphère publique, l'économie et la société</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F"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0" w14:textId="56F3CC0B" w:rsidR="003C4798" w:rsidRDefault="00417595">
            <w:pPr>
              <w:pStyle w:val="P68B1DB1-Normal062"/>
              <w:spacing w:after="0" w:line="240" w:lineRule="auto"/>
              <w:rPr>
                <w:noProof/>
                <w:color w:val="006100"/>
              </w:rPr>
            </w:pPr>
            <w:r>
              <w:rPr>
                <w:noProof/>
              </w:rPr>
              <w:t>Entrée en vigueur de la résolution du Conseil des ministres sur le programme de développement des compétences numériques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1" w14:textId="61E79F5B" w:rsidR="003C4798" w:rsidRDefault="00417595">
            <w:pPr>
              <w:pStyle w:val="P68B1DB1-Normal062"/>
              <w:pBdr>
                <w:top w:val="nil"/>
                <w:left w:val="nil"/>
                <w:bottom w:val="nil"/>
                <w:right w:val="nil"/>
                <w:between w:val="nil"/>
              </w:pBdr>
              <w:spacing w:after="0" w:line="240" w:lineRule="auto"/>
              <w:rPr>
                <w:noProof/>
                <w:color w:val="006100"/>
              </w:rPr>
            </w:pPr>
            <w:r>
              <w:rPr>
                <w:noProof/>
              </w:rPr>
              <w:t>Disposition de la résolution du Conseil des ministres indiquant son 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2"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3"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4"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5"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6"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7" w14:textId="77777777" w:rsidR="003C4798" w:rsidRDefault="00417595">
            <w:pPr>
              <w:pStyle w:val="P68B1DB1-Normal062"/>
              <w:spacing w:after="0" w:line="240" w:lineRule="auto"/>
              <w:rPr>
                <w:noProof/>
                <w:color w:val="000000" w:themeColor="text1"/>
              </w:rPr>
            </w:pPr>
            <w:r>
              <w:rPr>
                <w:noProof/>
              </w:rPr>
              <w:t>Entrée en vigueur de la résolution du Conseil des ministres sur le programme de développement des compétences numériques (qui est un programme pluriannuel jusqu’en 2030), y compris le plan de mise en œuvre, les mesures d’évaluation et de suivi conformément à la «loi relative aux principes de la politique de développement». Le programme sera élaboré en adoptant une approche multipartite. Le programme établit, entre autres, le centre de développement des compétences numériques (DCDC) et la politique de développement des compétences numériques.</w:t>
            </w:r>
          </w:p>
          <w:p w14:paraId="1216BB78" w14:textId="77777777" w:rsidR="003C4798" w:rsidRDefault="003C4798">
            <w:pPr>
              <w:pStyle w:val="Normal0"/>
              <w:spacing w:after="0" w:line="240" w:lineRule="auto"/>
              <w:rPr>
                <w:rFonts w:ascii="Times New Roman" w:hAnsi="Times New Roman" w:cs="Times New Roman"/>
                <w:noProof/>
                <w:color w:val="000000" w:themeColor="text1"/>
                <w:sz w:val="18"/>
                <w:szCs w:val="18"/>
              </w:rPr>
            </w:pPr>
          </w:p>
          <w:p w14:paraId="1216BB79" w14:textId="0DD94C57" w:rsidR="003C4798" w:rsidRDefault="00417595">
            <w:pPr>
              <w:pStyle w:val="P68B1DB1-Normal062"/>
              <w:spacing w:after="0" w:line="240" w:lineRule="auto"/>
              <w:rPr>
                <w:noProof/>
              </w:rPr>
            </w:pPr>
            <w:r>
              <w:rPr>
                <w:noProof/>
              </w:rPr>
              <w:t>En ce qui concerne les compétences numériques, le programme de développement des compétences numériques est créé et mis en œuvre. Le programme définit un ensemble complet d’exigences à long terme visant à soutenir le développement et le suivi des compétences numériques dans l’éducation formelle, non formelle et informelle. La création et le fonctionnement du centre de développement des compétences numériques sont clairement formulés dans le programme. Le document est élaboré selon une approche multipartite.</w:t>
            </w:r>
          </w:p>
        </w:tc>
      </w:tr>
      <w:tr w:rsidR="003C4798" w14:paraId="1216BB86"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B"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C12G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C" w14:textId="77777777" w:rsidR="003C4798" w:rsidRDefault="00417595">
            <w:pPr>
              <w:pStyle w:val="P68B1DB1-Normal021"/>
              <w:spacing w:after="0" w:line="240" w:lineRule="auto"/>
              <w:rPr>
                <w:rFonts w:eastAsia="Times New Roman"/>
                <w:noProof/>
                <w:color w:val="006100"/>
              </w:rPr>
            </w:pPr>
            <w:r>
              <w:rPr>
                <w:noProof/>
              </w:rPr>
              <w:t>C2.1.1 Services publics en ligne et solutions informatiques pour l'administration publique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D"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E"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Services publics en ligne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F"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0"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1"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2" w14:textId="3F6A08DE"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80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3"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4"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5" w14:textId="0B6046F6" w:rsidR="003C4798" w:rsidRDefault="00417595">
            <w:pPr>
              <w:pStyle w:val="P68B1DB1-Normal062"/>
              <w:pBdr>
                <w:top w:val="nil"/>
                <w:left w:val="nil"/>
                <w:bottom w:val="nil"/>
                <w:right w:val="nil"/>
                <w:between w:val="nil"/>
              </w:pBdr>
              <w:spacing w:after="0" w:line="240" w:lineRule="auto"/>
              <w:rPr>
                <w:rFonts w:eastAsia="Times New Roman"/>
                <w:noProof/>
              </w:rPr>
            </w:pPr>
            <w:r>
              <w:rPr>
                <w:noProof/>
              </w:rPr>
              <w:t>Les nouveaux services en ligne publics sont mis à disposition en ligne, les services en ligne publics existants sont modernisés ou les services en ligne sont intégrés dans l’application mObywatel.</w:t>
            </w:r>
          </w:p>
        </w:tc>
      </w:tr>
      <w:tr w:rsidR="003C4798" w14:paraId="1216BB92"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7"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C13aG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8" w14:textId="45D7304F" w:rsidR="003C4798" w:rsidRDefault="00417595">
            <w:pPr>
              <w:pStyle w:val="P68B1DB1-Normal021"/>
              <w:spacing w:after="0" w:line="240" w:lineRule="auto"/>
              <w:rPr>
                <w:rFonts w:eastAsia="Times New Roman"/>
                <w:noProof/>
                <w:color w:val="000000"/>
              </w:rPr>
            </w:pPr>
            <w:r>
              <w:rPr>
                <w:noProof/>
              </w:rPr>
              <w:t>C2.1.1 Services publics en ligne et solutions informatiques pour l'administration publique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9"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A" w14:textId="77777777" w:rsidR="003C4798" w:rsidRDefault="00417595">
            <w:pPr>
              <w:pStyle w:val="P68B1DB1-Normal062"/>
              <w:pBdr>
                <w:top w:val="nil"/>
                <w:left w:val="nil"/>
                <w:bottom w:val="nil"/>
                <w:right w:val="nil"/>
                <w:between w:val="nil"/>
              </w:pBdr>
              <w:spacing w:after="0" w:line="240" w:lineRule="auto"/>
              <w:rPr>
                <w:noProof/>
              </w:rPr>
            </w:pPr>
            <w:r>
              <w:rPr>
                <w:noProof/>
              </w:rPr>
              <w:t xml:space="preserve">Systèmes informatiques publics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B"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C"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D"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E" w14:textId="61E31074" w:rsidR="003C4798" w:rsidRDefault="00417595">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F" w14:textId="4CD62E0A"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0"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1" w14:textId="645256C2"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Au moins sept systèmes informatiques publics doivent être lancés ou étendus.</w:t>
            </w:r>
          </w:p>
        </w:tc>
      </w:tr>
      <w:tr w:rsidR="003C4798" w14:paraId="1216BB9F"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3" w14:textId="77777777" w:rsidR="003C4798" w:rsidRDefault="00417595">
            <w:pPr>
              <w:pStyle w:val="P68B1DB1-Normal021"/>
              <w:spacing w:after="0" w:line="240" w:lineRule="auto"/>
              <w:jc w:val="center"/>
              <w:rPr>
                <w:noProof/>
              </w:rPr>
            </w:pPr>
            <w:r>
              <w:rPr>
                <w:noProof/>
              </w:rPr>
              <w:t>C13bG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4" w14:textId="77777777" w:rsidR="003C4798" w:rsidRDefault="00417595">
            <w:pPr>
              <w:pStyle w:val="P68B1DB1-Normal021"/>
              <w:spacing w:line="240" w:lineRule="auto"/>
              <w:rPr>
                <w:noProof/>
              </w:rPr>
            </w:pPr>
            <w:r>
              <w:rPr>
                <w:noProof/>
              </w:rPr>
              <w:t xml:space="preserve">C2.1.1 Services publics en ligne et solutions informatiques pour l'administration publique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5" w14:textId="77777777" w:rsidR="003C4798" w:rsidRDefault="00417595">
            <w:pPr>
              <w:pStyle w:val="P68B1DB1-Normal021"/>
              <w:spacing w:line="240" w:lineRule="auto"/>
              <w:jc w:val="center"/>
              <w:rPr>
                <w:noProof/>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6" w14:textId="77777777" w:rsidR="003C4798" w:rsidRDefault="00417595">
            <w:pPr>
              <w:pStyle w:val="P68B1DB1-Normal021"/>
              <w:spacing w:line="240" w:lineRule="auto"/>
              <w:rPr>
                <w:noProof/>
              </w:rPr>
            </w:pPr>
            <w:r>
              <w:rPr>
                <w:noProof/>
              </w:rPr>
              <w:t>Numérisation de l'administration publique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7" w14:textId="77777777" w:rsidR="003C4798" w:rsidRDefault="00417595">
            <w:pPr>
              <w:pStyle w:val="P68B1DB1-Normal021"/>
              <w:spacing w:line="240" w:lineRule="auto"/>
              <w:rPr>
                <w:noProof/>
              </w:rPr>
            </w:pPr>
            <w:r>
              <w:rPr>
                <w:noProof/>
              </w:rPr>
              <w:t>Systèmes de gestion électronique des documents disponibles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8" w14:textId="77777777" w:rsidR="003C4798" w:rsidRDefault="003C4798">
            <w:pPr>
              <w:pStyle w:val="Normal0"/>
              <w:spacing w:line="240" w:lineRule="auto"/>
              <w:jc w:val="center"/>
              <w:rPr>
                <w:rFonts w:ascii="Times New Roman" w:hAnsi="Times New Roman" w:cs="Times New Roman"/>
                <w:noProof/>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9" w14:textId="77777777" w:rsidR="003C4798" w:rsidRDefault="003C4798">
            <w:pPr>
              <w:pStyle w:val="Normal0"/>
              <w:spacing w:line="240" w:lineRule="auto"/>
              <w:jc w:val="center"/>
              <w:rPr>
                <w:rFonts w:ascii="Times New Roman" w:hAnsi="Times New Roman" w:cs="Times New Roman"/>
                <w:noProof/>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A" w14:textId="77777777" w:rsidR="003C4798" w:rsidRDefault="003C4798">
            <w:pPr>
              <w:pStyle w:val="Normal0"/>
              <w:spacing w:line="240" w:lineRule="auto"/>
              <w:jc w:val="center"/>
              <w:rPr>
                <w:rFonts w:ascii="Times New Roman" w:hAnsi="Times New Roman" w:cs="Times New Roman"/>
                <w:noProof/>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B" w14:textId="55219858" w:rsidR="003C4798" w:rsidRDefault="00417595">
            <w:pPr>
              <w:pStyle w:val="P68B1DB1-Normal021"/>
              <w:spacing w:line="240" w:lineRule="auto"/>
              <w:jc w:val="center"/>
              <w:rPr>
                <w:noProof/>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C" w14:textId="77777777" w:rsidR="003C4798" w:rsidRDefault="00417595">
            <w:pPr>
              <w:pStyle w:val="P68B1DB1-Normal021"/>
              <w:spacing w:line="240" w:lineRule="auto"/>
              <w:jc w:val="center"/>
              <w:rPr>
                <w:noProof/>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D" w14:textId="78638548" w:rsidR="003C4798" w:rsidRDefault="00417595">
            <w:pPr>
              <w:pStyle w:val="P68B1DB1-Normal021"/>
              <w:spacing w:line="240" w:lineRule="auto"/>
              <w:rPr>
                <w:noProof/>
              </w:rPr>
            </w:pPr>
            <w:r>
              <w:rPr>
                <w:noProof/>
              </w:rPr>
              <w:t>Les systèmes de gestion électronique des documents sont mis à la disposition de la production de 3 050 bénéficiaires.</w:t>
            </w:r>
          </w:p>
          <w:p w14:paraId="1216BB9E" w14:textId="77777777" w:rsidR="003C4798" w:rsidRDefault="00417595">
            <w:pPr>
              <w:pStyle w:val="P68B1DB1-Normal024"/>
              <w:spacing w:after="0" w:line="240" w:lineRule="auto"/>
              <w:rPr>
                <w:rFonts w:ascii="Times New Roman" w:hAnsi="Times New Roman" w:cs="Times New Roman"/>
                <w:noProof/>
              </w:rPr>
            </w:pPr>
            <w:r>
              <w:rPr>
                <w:rFonts w:ascii="Times New Roman" w:hAnsi="Times New Roman" w:cs="Times New Roman"/>
                <w:noProof/>
              </w:rPr>
              <w:t>Le service en nuage SaaS2 EZD RP, avec une capacité de connexion d’environ 300</w:t>
            </w:r>
            <w:r>
              <w:rPr>
                <w:rFonts w:ascii="Times New Roman" w:eastAsia="Times New Roman" w:hAnsi="Times New Roman" w:cs="Times New Roman"/>
                <w:noProof/>
                <w:color w:val="006100"/>
              </w:rPr>
              <w:t> </w:t>
            </w:r>
            <w:r>
              <w:rPr>
                <w:rFonts w:ascii="Times New Roman" w:hAnsi="Times New Roman" w:cs="Times New Roman"/>
                <w:noProof/>
              </w:rPr>
              <w:t>000 utilisateurs, sera lancé.</w:t>
            </w:r>
          </w:p>
        </w:tc>
      </w:tr>
      <w:tr w:rsidR="003C4798" w14:paraId="1216BBAB" w14:textId="77777777" w:rsidTr="00DA6ACB">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0" w14:textId="77777777" w:rsidR="003C4798" w:rsidRDefault="00417595">
            <w:pPr>
              <w:pStyle w:val="P68B1DB1-Normal021"/>
              <w:spacing w:line="240" w:lineRule="auto"/>
              <w:jc w:val="center"/>
              <w:rPr>
                <w:noProof/>
              </w:rPr>
            </w:pPr>
            <w:r>
              <w:rPr>
                <w:noProof/>
              </w:rPr>
              <w:t>C13cG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1" w14:textId="3AE76489" w:rsidR="003C4798" w:rsidRDefault="00417595">
            <w:pPr>
              <w:pStyle w:val="P68B1DB1-Normal021"/>
              <w:spacing w:after="0" w:line="240" w:lineRule="auto"/>
              <w:rPr>
                <w:noProof/>
                <w:color w:val="000000" w:themeColor="text1"/>
              </w:rPr>
            </w:pPr>
            <w:r>
              <w:rPr>
                <w:noProof/>
              </w:rPr>
              <w:t>C2.1.1 Services publics en ligne et solutions informatiques pour l'administration publique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2" w14:textId="77777777" w:rsidR="003C4798" w:rsidRDefault="00417595">
            <w:pPr>
              <w:pStyle w:val="P68B1DB1-Normal062"/>
              <w:spacing w:line="240" w:lineRule="auto"/>
              <w:jc w:val="center"/>
              <w:rPr>
                <w:noProof/>
                <w:color w:val="000000" w:themeColor="text1"/>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3" w14:textId="77777777" w:rsidR="003C4798" w:rsidRDefault="00417595">
            <w:pPr>
              <w:pStyle w:val="P68B1DB1-Normal062"/>
              <w:spacing w:line="240" w:lineRule="auto"/>
              <w:rPr>
                <w:noProof/>
                <w:color w:val="000000" w:themeColor="text1"/>
              </w:rPr>
            </w:pPr>
            <w:r>
              <w:rPr>
                <w:noProof/>
              </w:rPr>
              <w:t>Lancement du système national de facturation électronique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4" w14:textId="77777777" w:rsidR="003C4798" w:rsidRDefault="00417595">
            <w:pPr>
              <w:pStyle w:val="P68B1DB1-Normal062"/>
              <w:spacing w:line="240" w:lineRule="auto"/>
              <w:rPr>
                <w:noProof/>
                <w:color w:val="000000" w:themeColor="text1"/>
              </w:rPr>
            </w:pPr>
            <w:r>
              <w:rPr>
                <w:noProof/>
              </w:rPr>
              <w:t>Lancement du système national de facturation électronique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5" w14:textId="77777777" w:rsidR="003C4798" w:rsidRDefault="003C4798">
            <w:pPr>
              <w:pStyle w:val="Normal0"/>
              <w:spacing w:line="240" w:lineRule="auto"/>
              <w:jc w:val="center"/>
              <w:rPr>
                <w:rFonts w:ascii="Times New Roman" w:hAnsi="Times New Roman" w:cs="Times New Roman"/>
                <w:noProof/>
                <w:color w:val="000000" w:themeColor="text1"/>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6" w14:textId="77777777" w:rsidR="003C4798" w:rsidRDefault="003C4798">
            <w:pPr>
              <w:pStyle w:val="Normal0"/>
              <w:spacing w:line="240" w:lineRule="auto"/>
              <w:jc w:val="center"/>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7" w14:textId="77777777" w:rsidR="003C4798" w:rsidRDefault="003C4798">
            <w:pPr>
              <w:pStyle w:val="Normal0"/>
              <w:spacing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8" w14:textId="77777777" w:rsidR="003C4798" w:rsidRDefault="00417595">
            <w:pPr>
              <w:pStyle w:val="P68B1DB1-Normal062"/>
              <w:spacing w:line="240" w:lineRule="auto"/>
              <w:jc w:val="center"/>
              <w:rPr>
                <w:noProof/>
                <w:color w:val="000000" w:themeColor="text1"/>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9" w14:textId="77777777" w:rsidR="003C4798" w:rsidRDefault="00417595">
            <w:pPr>
              <w:pStyle w:val="P68B1DB1-Normal062"/>
              <w:spacing w:line="240" w:lineRule="auto"/>
              <w:jc w:val="center"/>
              <w:rPr>
                <w:noProof/>
                <w:color w:val="000000" w:themeColor="text1"/>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A" w14:textId="77777777" w:rsidR="003C4798" w:rsidRDefault="00417595">
            <w:pPr>
              <w:pStyle w:val="P68B1DB1-Normal062"/>
              <w:spacing w:line="240" w:lineRule="auto"/>
              <w:rPr>
                <w:noProof/>
                <w:color w:val="000000" w:themeColor="text1"/>
              </w:rPr>
            </w:pPr>
            <w:r>
              <w:rPr>
                <w:noProof/>
              </w:rPr>
              <w:t>Le système national de facturation électronique est lancé.</w:t>
            </w:r>
          </w:p>
        </w:tc>
      </w:tr>
      <w:tr w:rsidR="003C4798" w14:paraId="1216BBB7" w14:textId="77777777" w:rsidTr="00DA6ACB">
        <w:trPr>
          <w:trHeight w:val="67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C" w14:textId="77777777" w:rsidR="003C4798" w:rsidRDefault="00417595">
            <w:pPr>
              <w:pStyle w:val="P68B1DB1-Normal021"/>
              <w:spacing w:line="240" w:lineRule="auto"/>
              <w:jc w:val="center"/>
              <w:rPr>
                <w:noProof/>
              </w:rPr>
            </w:pPr>
            <w:r>
              <w:rPr>
                <w:noProof/>
              </w:rPr>
              <w:t>C13dG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D" w14:textId="77777777" w:rsidR="003C4798" w:rsidRDefault="00417595">
            <w:pPr>
              <w:pStyle w:val="P68B1DB1-Normal021"/>
              <w:spacing w:after="0" w:line="240" w:lineRule="auto"/>
              <w:rPr>
                <w:noProof/>
                <w:color w:val="000000" w:themeColor="text1"/>
              </w:rPr>
            </w:pPr>
            <w:r>
              <w:rPr>
                <w:noProof/>
              </w:rPr>
              <w:t>C2.1.1 Services publics en ligne et solutions informatiques pour l'administration publique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E" w14:textId="77777777" w:rsidR="003C4798" w:rsidRDefault="00417595">
            <w:pPr>
              <w:pStyle w:val="P68B1DB1-Normal062"/>
              <w:spacing w:line="240" w:lineRule="auto"/>
              <w:jc w:val="center"/>
              <w:rPr>
                <w:noProof/>
                <w:color w:val="000000" w:themeColor="text1"/>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F" w14:textId="77777777" w:rsidR="003C4798" w:rsidRDefault="00417595">
            <w:pPr>
              <w:pStyle w:val="P68B1DB1-Normal062"/>
              <w:spacing w:after="0" w:line="240" w:lineRule="auto"/>
              <w:rPr>
                <w:rFonts w:eastAsia="Times New Roman"/>
                <w:noProof/>
                <w:color w:val="006100"/>
              </w:rPr>
            </w:pPr>
            <w:r>
              <w:rPr>
                <w:noProof/>
              </w:rPr>
              <w:t>Lancement de services en ligne nouveaux ou améliorés dans le bureau de la fiscalité en ligne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0" w14:textId="77777777" w:rsidR="003C4798" w:rsidRDefault="003C4798">
            <w:pPr>
              <w:pStyle w:val="Normal0"/>
              <w:spacing w:line="240" w:lineRule="auto"/>
              <w:rPr>
                <w:rFonts w:ascii="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1" w14:textId="77777777" w:rsidR="003C4798" w:rsidRDefault="00417595">
            <w:pPr>
              <w:pStyle w:val="P68B1DB1-Normal062"/>
              <w:spacing w:line="240" w:lineRule="auto"/>
              <w:jc w:val="center"/>
              <w:rPr>
                <w:noProof/>
                <w:color w:val="000000" w:themeColor="text1"/>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2" w14:textId="77777777" w:rsidR="003C4798" w:rsidRDefault="00417595">
            <w:pPr>
              <w:pStyle w:val="P68B1DB1-Normal062"/>
              <w:spacing w:line="240" w:lineRule="auto"/>
              <w:jc w:val="center"/>
              <w:rPr>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3" w14:textId="77777777" w:rsidR="003C4798" w:rsidRDefault="00417595">
            <w:pPr>
              <w:pStyle w:val="P68B1DB1-Normal062"/>
              <w:spacing w:line="240" w:lineRule="auto"/>
              <w:jc w:val="center"/>
              <w:rPr>
                <w:noProof/>
                <w:color w:val="000000" w:themeColor="text1"/>
              </w:rPr>
            </w:pPr>
            <w:r>
              <w:rPr>
                <w:noProof/>
              </w:rPr>
              <w:t>33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4" w14:textId="77777777" w:rsidR="003C4798" w:rsidRDefault="00417595">
            <w:pPr>
              <w:pStyle w:val="P68B1DB1-Normal062"/>
              <w:spacing w:line="240" w:lineRule="auto"/>
              <w:jc w:val="center"/>
              <w:rPr>
                <w:noProof/>
                <w:color w:val="000000" w:themeColor="text1"/>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5" w14:textId="77777777" w:rsidR="003C4798" w:rsidRDefault="00417595">
            <w:pPr>
              <w:pStyle w:val="P68B1DB1-Normal062"/>
              <w:spacing w:line="240" w:lineRule="auto"/>
              <w:jc w:val="center"/>
              <w:rPr>
                <w:noProof/>
                <w:color w:val="000000" w:themeColor="text1"/>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6" w14:textId="77777777" w:rsidR="003C4798" w:rsidRDefault="00417595">
            <w:pPr>
              <w:pStyle w:val="P68B1DB1-Normal062"/>
              <w:spacing w:line="240" w:lineRule="auto"/>
              <w:rPr>
                <w:noProof/>
                <w:color w:val="000000" w:themeColor="text1"/>
              </w:rPr>
            </w:pPr>
            <w:r>
              <w:rPr>
                <w:noProof/>
              </w:rPr>
              <w:t>33 services en ligne nouveaux ou améliorés sont lancés au sein du bureau de la fiscalité en ligne.</w:t>
            </w:r>
          </w:p>
        </w:tc>
      </w:tr>
      <w:tr w:rsidR="003C4798" w14:paraId="1216BBC3"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8"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C14G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9"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C2.1.2 Technologies numériques dans l’enseignement scolaire – appareils portables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A"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B"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Bons pour ordinateurs portables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C"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D"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E"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F" w14:textId="77777777" w:rsidR="003C4798" w:rsidRDefault="00417595">
            <w:pPr>
              <w:pStyle w:val="P68B1DB1-Normal024"/>
              <w:spacing w:after="0" w:line="240" w:lineRule="auto"/>
              <w:jc w:val="center"/>
              <w:rPr>
                <w:rFonts w:ascii="Times New Roman" w:hAnsi="Times New Roman" w:cs="Times New Roman"/>
                <w:noProof/>
                <w:color w:val="000000" w:themeColor="text1"/>
              </w:rPr>
            </w:pPr>
            <w:r>
              <w:rPr>
                <w:rFonts w:ascii="Times New Roman" w:hAnsi="Times New Roman" w:cs="Times New Roman"/>
                <w:noProof/>
                <w:color w:val="000000" w:themeColor="text1"/>
              </w:rPr>
              <w:t>533</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658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0"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1"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2" w14:textId="52786E0D" w:rsidR="003C4798" w:rsidRDefault="00417595">
            <w:pPr>
              <w:pStyle w:val="P68B1DB1-Normal062"/>
              <w:spacing w:after="0" w:line="240" w:lineRule="auto"/>
              <w:rPr>
                <w:noProof/>
                <w:color w:val="000000" w:themeColor="text1"/>
              </w:rPr>
            </w:pPr>
            <w:r>
              <w:rPr>
                <w:noProof/>
              </w:rPr>
              <w:t>Au moins 533 658 bons (codes de réduction) pour ordinateurs portables doivent être enregistrés dans la base de données du système «Laptop dla nauczyciela».</w:t>
            </w:r>
          </w:p>
        </w:tc>
      </w:tr>
      <w:tr w:rsidR="003C4798" w14:paraId="1216BBCF" w14:textId="77777777" w:rsidTr="00DA6ACB">
        <w:trPr>
          <w:trHeight w:val="1098"/>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4"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C15G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5"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C2.1.2 Technologies numériques dans l’enseignement scolaire – appareils portables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6"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7"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Appareils portables livrés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8"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9"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A"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B" w14:textId="77777777" w:rsidR="003C4798" w:rsidRDefault="00417595">
            <w:pPr>
              <w:pStyle w:val="P68B1DB1-Normal024"/>
              <w:pBdr>
                <w:top w:val="nil"/>
                <w:left w:val="nil"/>
                <w:bottom w:val="nil"/>
                <w:right w:val="nil"/>
                <w:between w:val="nil"/>
              </w:pBdr>
              <w:spacing w:after="0" w:line="240" w:lineRule="auto"/>
              <w:jc w:val="center"/>
              <w:rPr>
                <w:rFonts w:ascii="Times New Roman" w:hAnsi="Times New Roman" w:cs="Times New Roman"/>
                <w:noProof/>
                <w:color w:val="000000" w:themeColor="text1"/>
              </w:rPr>
            </w:pPr>
            <w:r>
              <w:rPr>
                <w:rFonts w:ascii="Times New Roman" w:hAnsi="Times New Roman" w:cs="Times New Roman"/>
                <w:noProof/>
                <w:color w:val="000000" w:themeColor="text1"/>
              </w:rPr>
              <w:t>16</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500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C"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D"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E" w14:textId="77777777" w:rsidR="003C4798" w:rsidRDefault="00417595">
            <w:pPr>
              <w:pStyle w:val="P68B1DB1-Normal66"/>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Livraison d'appareils portables (ordinateurs portables, ordinateurs portables de navigateur ou tablettes) à 16</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500 écoles, directement ou par l'intermédiaire des autorités de gestion des écoles, comme indiqué dans les protocoles d'acceptation.</w:t>
            </w:r>
          </w:p>
        </w:tc>
      </w:tr>
      <w:tr w:rsidR="003C4798" w14:paraId="1216BBDD" w14:textId="77777777" w:rsidTr="00DA6ACB">
        <w:trPr>
          <w:trHeight w:val="124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0"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C16G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1"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 xml:space="preserve">C2.1.3 Compétences en ligne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2"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3"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Création d'un Centre de Développement des Compétences Numériques (DCDC)</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4"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Rapport sur la structure organisationnelle et le fonctionnement du DCDC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5"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6"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7"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8"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9"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A"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 xml:space="preserve">Le Centre de développement des compétences numériques (DCDC) est établi au sein du cabinet du ministre chargé de la numérisation. </w:t>
            </w:r>
          </w:p>
          <w:p w14:paraId="1216BBDB" w14:textId="77777777" w:rsidR="003C4798" w:rsidRDefault="003C4798">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p>
          <w:p w14:paraId="1216BBDC" w14:textId="60D3BB87" w:rsidR="003C4798" w:rsidRDefault="00417595">
            <w:pPr>
              <w:pStyle w:val="P68B1DB1-Normal021"/>
              <w:pBdr>
                <w:top w:val="nil"/>
                <w:left w:val="nil"/>
                <w:bottom w:val="nil"/>
                <w:right w:val="nil"/>
                <w:between w:val="nil"/>
              </w:pBdr>
              <w:spacing w:after="0" w:line="240" w:lineRule="auto"/>
              <w:rPr>
                <w:noProof/>
                <w:color w:val="000000"/>
              </w:rPr>
            </w:pPr>
            <w:r>
              <w:rPr>
                <w:noProof/>
                <w:color w:val="000000" w:themeColor="text1"/>
              </w:rPr>
              <w:t>L'objectif principal du DCDC est de renforcer et d'améliorer le système de coordination du développement des compétences numériques en Pologne grâce à la réalisation des sous-fonctions suivantes:</w:t>
            </w:r>
            <w:r>
              <w:rPr>
                <w:noProof/>
              </w:rPr>
              <w:t xml:space="preserve"> </w:t>
            </w:r>
            <w:r>
              <w:rPr>
                <w:noProof/>
              </w:rPr>
              <w:br/>
            </w:r>
            <w:r>
              <w:rPr>
                <w:noProof/>
                <w:color w:val="000000" w:themeColor="text1"/>
              </w:rPr>
              <w:t xml:space="preserve">- Fonction de recherche et d'analyse </w:t>
            </w:r>
            <w:r>
              <w:rPr>
                <w:noProof/>
              </w:rPr>
              <w:br/>
              <w:t xml:space="preserve"> </w:t>
            </w:r>
            <w:r>
              <w:rPr>
                <w:noProof/>
                <w:color w:val="000000" w:themeColor="text1"/>
              </w:rPr>
              <w:t>Cette fonction implique des actions de recherche et de suivi concernant les compétences numériques combinées à la fonction d’observatoire qui recueille et structure les connaissances à cet égard. Cela conduira à la formulation de recommandations et de propositions d'activités pertinentes.</w:t>
            </w:r>
            <w:r>
              <w:rPr>
                <w:noProof/>
              </w:rPr>
              <w:t xml:space="preserve"> </w:t>
            </w:r>
            <w:r>
              <w:rPr>
                <w:noProof/>
              </w:rPr>
              <w:br/>
            </w:r>
            <w:r>
              <w:rPr>
                <w:noProof/>
                <w:color w:val="000000" w:themeColor="text1"/>
              </w:rPr>
              <w:t xml:space="preserve">- Fonction d'essai et de mise en œuvre </w:t>
            </w:r>
            <w:r>
              <w:rPr>
                <w:noProof/>
              </w:rPr>
              <w:br/>
              <w:t xml:space="preserve"> </w:t>
            </w:r>
            <w:r>
              <w:rPr>
                <w:noProof/>
                <w:color w:val="000000" w:themeColor="text1"/>
              </w:rPr>
              <w:t xml:space="preserve">Cette fonction implique des essais sous la forme d'actions pilotes et la mise en œuvre des solutions, recommandations et propositions les plus précieuses et les plus prometteuses résultant des actions pilotes et de la réalisation de la fonction de recherche et d'analyse. </w:t>
            </w:r>
            <w:r>
              <w:rPr>
                <w:noProof/>
              </w:rPr>
              <w:br/>
            </w:r>
            <w:r>
              <w:rPr>
                <w:noProof/>
                <w:color w:val="000000" w:themeColor="text1"/>
              </w:rPr>
              <w:t xml:space="preserve">- Fonction d'éducation et de vulgarisation. </w:t>
            </w:r>
            <w:r>
              <w:rPr>
                <w:noProof/>
              </w:rPr>
              <w:br/>
            </w:r>
            <w:r>
              <w:rPr>
                <w:noProof/>
                <w:color w:val="000000" w:themeColor="text1"/>
              </w:rPr>
              <w:t>Cette fonction comprend des actions telles que le conseil, le tutorat, les séminaires, la formation et les cours, ainsi que la diffusion des résultats des actions du Centre par l'intermédiaire d'un portail d'information.</w:t>
            </w:r>
          </w:p>
        </w:tc>
      </w:tr>
      <w:tr w:rsidR="003C4798" w14:paraId="1216BBE9"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E"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C20G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F"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C2.1.3 Compétences en ligne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0"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1"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Formations sur les compétences numériques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2"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3"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4"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5"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250 000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6"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7"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8" w14:textId="77777777" w:rsidR="003C4798" w:rsidRDefault="00417595">
            <w:pPr>
              <w:pStyle w:val="P68B1DB1-Normal024"/>
              <w:pBdr>
                <w:top w:val="nil"/>
                <w:left w:val="nil"/>
                <w:bottom w:val="nil"/>
                <w:right w:val="nil"/>
                <w:between w:val="nil"/>
              </w:pBdr>
              <w:spacing w:after="0" w:line="240" w:lineRule="auto"/>
              <w:rPr>
                <w:rFonts w:ascii="Times New Roman" w:hAnsi="Times New Roman" w:cs="Times New Roman"/>
                <w:noProof/>
                <w:color w:val="000000"/>
              </w:rPr>
            </w:pPr>
            <w:r>
              <w:rPr>
                <w:rFonts w:ascii="Times New Roman" w:hAnsi="Times New Roman" w:cs="Times New Roman"/>
                <w:noProof/>
                <w:color w:val="000000" w:themeColor="text1"/>
              </w:rPr>
              <w:t>250</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 xml:space="preserve">000 certificats délivrés pour des formations sur les compétences numériques. </w:t>
            </w:r>
          </w:p>
        </w:tc>
      </w:tr>
      <w:tr w:rsidR="003C4798" w14:paraId="1216BBF6" w14:textId="77777777" w:rsidTr="00DA6ACB">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A"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C21G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C" w14:textId="203C8A5A" w:rsidR="003C4798" w:rsidRDefault="00417595">
            <w:pPr>
              <w:pStyle w:val="P68B1DB1-Normal062"/>
              <w:pBdr>
                <w:top w:val="nil"/>
                <w:left w:val="nil"/>
                <w:bottom w:val="nil"/>
                <w:right w:val="nil"/>
                <w:between w:val="nil"/>
              </w:pBdr>
              <w:spacing w:after="0" w:line="240" w:lineRule="auto"/>
              <w:rPr>
                <w:rFonts w:eastAsia="Times New Roman"/>
                <w:noProof/>
                <w:color w:val="000000" w:themeColor="text1"/>
              </w:rPr>
            </w:pPr>
            <w:r>
              <w:rPr>
                <w:noProof/>
              </w:rPr>
              <w:t>C3.1 Renforcer la cybersécurité</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D"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E" w14:textId="77777777" w:rsidR="003C4798" w:rsidRDefault="00417595">
            <w:pPr>
              <w:pStyle w:val="P68B1DB1-Normal062"/>
              <w:spacing w:after="0" w:line="240" w:lineRule="auto"/>
              <w:rPr>
                <w:noProof/>
                <w:color w:val="000000" w:themeColor="text1"/>
              </w:rPr>
            </w:pPr>
            <w:r>
              <w:rPr>
                <w:noProof/>
              </w:rPr>
              <w:t>Modification de la loi sur la cybersécurité</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F" w14:textId="77777777" w:rsidR="003C4798" w:rsidRDefault="00417595">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Disposition de la modification de la loi indiquant l'entrée en vigueur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0"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1"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2"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3"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4" w14:textId="77777777" w:rsidR="003C4798" w:rsidRDefault="00417595">
            <w:pPr>
              <w:pStyle w:val="P68B1DB1-Normal062"/>
              <w:spacing w:after="0" w:line="240" w:lineRule="auto"/>
              <w:jc w:val="center"/>
              <w:rPr>
                <w:noProof/>
                <w:color w:val="006100"/>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5" w14:textId="68389AC2" w:rsidR="003C4798" w:rsidRDefault="00417595">
            <w:pPr>
              <w:pStyle w:val="P68B1DB1-Normal062"/>
              <w:spacing w:after="0" w:line="240" w:lineRule="auto"/>
              <w:rPr>
                <w:noProof/>
                <w:color w:val="000000" w:themeColor="text1"/>
              </w:rPr>
            </w:pPr>
            <w:r>
              <w:rPr>
                <w:noProof/>
              </w:rPr>
              <w:t>Entrée en vigueur d’une modification de la loi sur la cybersécurité introduisant des équipes sectorielles de réaction aux incidents de sécurité informatique et élargissant le groupe d’entités incluses dans «le système TIC soutenant la coopération au sein du système national de cybersécurité».</w:t>
            </w:r>
          </w:p>
        </w:tc>
      </w:tr>
      <w:tr w:rsidR="003C4798" w14:paraId="1216BC05"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7" w14:textId="77777777" w:rsidR="003C4798" w:rsidRDefault="00417595">
            <w:pPr>
              <w:pStyle w:val="P68B1DB1-Normal021"/>
              <w:pBdr>
                <w:top w:val="nil"/>
                <w:left w:val="nil"/>
                <w:bottom w:val="nil"/>
                <w:right w:val="nil"/>
                <w:between w:val="nil"/>
              </w:pBdr>
              <w:spacing w:after="0" w:line="240" w:lineRule="auto"/>
              <w:jc w:val="center"/>
              <w:rPr>
                <w:rFonts w:eastAsia="Times New Roman"/>
                <w:b/>
                <w:bCs/>
                <w:noProof/>
                <w:color w:val="000000"/>
              </w:rPr>
            </w:pPr>
            <w:r>
              <w:rPr>
                <w:noProof/>
              </w:rPr>
              <w:t>C23G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8"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C3.1.1 Cybersécurité – CyberPL, infrastructure de traitement des données et optimisation de l’infrastructure des services répressifs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9"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A" w14:textId="5E95E37C" w:rsidR="003C4798" w:rsidRDefault="00417595">
            <w:pPr>
              <w:pStyle w:val="P68B1DB1-Normal062"/>
              <w:pBdr>
                <w:top w:val="nil"/>
                <w:left w:val="nil"/>
                <w:bottom w:val="nil"/>
                <w:right w:val="nil"/>
                <w:between w:val="nil"/>
              </w:pBdr>
              <w:spacing w:after="0" w:line="240" w:lineRule="auto"/>
              <w:rPr>
                <w:rFonts w:eastAsia="Times New Roman"/>
                <w:noProof/>
                <w:color w:val="000000" w:themeColor="text1"/>
              </w:rPr>
            </w:pPr>
            <w:r>
              <w:rPr>
                <w:noProof/>
              </w:rPr>
              <w:t>Actions en matière de cybersécurité</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B"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Actions en matière de cybersécurité</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C"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D"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E"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F"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0"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1" w14:textId="77777777" w:rsidR="003C4798" w:rsidRDefault="00417595">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Quatre équipes sectorielles d'intervention en cas d'incident de sécurité informatique sont mises en place sur le plan administratif.</w:t>
            </w:r>
          </w:p>
          <w:p w14:paraId="1216BC02" w14:textId="77777777" w:rsidR="003C4798" w:rsidRDefault="003C4798">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p>
          <w:p w14:paraId="1216BC03" w14:textId="180973E5" w:rsidR="003C4798" w:rsidRDefault="00417595">
            <w:pPr>
              <w:pStyle w:val="P68B1DB1-Normal062"/>
              <w:pBdr>
                <w:top w:val="nil"/>
                <w:left w:val="nil"/>
                <w:bottom w:val="nil"/>
                <w:right w:val="nil"/>
                <w:between w:val="nil"/>
              </w:pBdr>
              <w:spacing w:after="120" w:line="240" w:lineRule="auto"/>
              <w:rPr>
                <w:noProof/>
                <w:color w:val="000000" w:themeColor="text1"/>
              </w:rPr>
            </w:pPr>
            <w:r>
              <w:rPr>
                <w:noProof/>
              </w:rPr>
              <w:t>- Le système TIC soutenant la coopération au sein du système national de cybersécurité est mis à la disposition de 385 bénéficiaires.</w:t>
            </w:r>
          </w:p>
          <w:p w14:paraId="1216BC04" w14:textId="10E89E37" w:rsidR="003C4798" w:rsidRDefault="00417595">
            <w:pPr>
              <w:pStyle w:val="P68B1DB1-Normal024"/>
              <w:pBdr>
                <w:top w:val="nil"/>
                <w:left w:val="nil"/>
                <w:bottom w:val="nil"/>
                <w:right w:val="nil"/>
                <w:between w:val="nil"/>
              </w:pBdr>
              <w:spacing w:after="120" w:line="240" w:lineRule="auto"/>
              <w:rPr>
                <w:rFonts w:ascii="Times New Roman" w:eastAsia="Times New Roman" w:hAnsi="Times New Roman" w:cs="Times New Roman"/>
                <w:noProof/>
                <w:color w:val="000000"/>
              </w:rPr>
            </w:pPr>
            <w:r>
              <w:rPr>
                <w:rFonts w:ascii="Times New Roman" w:hAnsi="Times New Roman" w:cs="Times New Roman"/>
                <w:noProof/>
                <w:color w:val="000000" w:themeColor="text1"/>
              </w:rPr>
              <w:t>-</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197</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214</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464 EUR sont versés à au moins 608 entités pour des investissements dans la cybersécurité.</w:t>
            </w:r>
          </w:p>
        </w:tc>
      </w:tr>
      <w:tr w:rsidR="003C4798" w14:paraId="1216BC11" w14:textId="77777777" w:rsidTr="00DA6ACB">
        <w:trPr>
          <w:trHeight w:val="591"/>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6" w14:textId="77777777" w:rsidR="003C4798" w:rsidRDefault="00417595">
            <w:pPr>
              <w:pStyle w:val="P68B1DB1-Normal021"/>
              <w:spacing w:after="0" w:line="240" w:lineRule="auto"/>
              <w:jc w:val="center"/>
              <w:rPr>
                <w:rFonts w:eastAsia="Times New Roman"/>
                <w:b/>
                <w:noProof/>
                <w:color w:val="000000"/>
              </w:rPr>
            </w:pPr>
            <w:r>
              <w:rPr>
                <w:noProof/>
              </w:rPr>
              <w:t>C25G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7"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bookmarkStart w:id="13" w:name="_Hlk200549994"/>
            <w:r>
              <w:rPr>
                <w:noProof/>
              </w:rPr>
              <w:t>C3.1.1 Cybersécurité – CyberPL, infrastructure de traitement des données et optimisation de l’infrastructure des services répressifs</w:t>
            </w:r>
            <w:bookmarkEnd w:id="13"/>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8"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9" w14:textId="77777777" w:rsidR="003C4798" w:rsidRDefault="00417595">
            <w:pPr>
              <w:pStyle w:val="P68B1DB1-Normal062"/>
              <w:spacing w:after="0" w:line="240" w:lineRule="auto"/>
              <w:rPr>
                <w:rFonts w:eastAsia="Times New Roman"/>
                <w:noProof/>
                <w:color w:val="006100"/>
              </w:rPr>
            </w:pPr>
            <w:r>
              <w:rPr>
                <w:noProof/>
              </w:rPr>
              <w:t>Construction d'un bâtiment de centre de données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A"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B"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C"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D"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E"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F"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0" w14:textId="77777777" w:rsidR="003C4798" w:rsidRDefault="00417595">
            <w:pPr>
              <w:pStyle w:val="P68B1DB1-Normal062"/>
              <w:spacing w:after="0" w:line="240" w:lineRule="auto"/>
              <w:rPr>
                <w:rFonts w:eastAsia="Times New Roman"/>
                <w:noProof/>
              </w:rPr>
            </w:pPr>
            <w:r>
              <w:rPr>
                <w:noProof/>
              </w:rPr>
              <w:t>Un bâtiment de centre de données doit être construit. Un ou plusieurs contrats sont signés pour que ce bâtiment du centre de données soit alimenté par des sources d’énergie renouvelables.</w:t>
            </w:r>
          </w:p>
        </w:tc>
      </w:tr>
      <w:tr w:rsidR="003C4798" w14:paraId="1216BC1E"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2" w14:textId="77777777" w:rsidR="003C4798" w:rsidRDefault="00417595">
            <w:pPr>
              <w:pStyle w:val="P68B1DB1-Normal021"/>
              <w:pBdr>
                <w:top w:val="nil"/>
                <w:left w:val="nil"/>
                <w:bottom w:val="nil"/>
                <w:right w:val="nil"/>
                <w:between w:val="nil"/>
              </w:pBdr>
              <w:spacing w:after="0" w:line="240" w:lineRule="auto"/>
              <w:jc w:val="center"/>
              <w:rPr>
                <w:rFonts w:eastAsia="Times New Roman"/>
                <w:b/>
                <w:bCs/>
                <w:noProof/>
                <w:color w:val="000000"/>
              </w:rPr>
            </w:pPr>
            <w:r>
              <w:rPr>
                <w:noProof/>
              </w:rPr>
              <w:t>C26G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3"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C3.1.1 Cybersécurité – CyberPL, infrastructure de traitement des données et optimisation de l’infrastructure des services répressifs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4"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5"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Fourniture de matériel pour les services répressifs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6"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 xml:space="preserve">Protocoles de livraison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8"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9" w14:textId="77777777" w:rsidR="003C4798" w:rsidRDefault="003C4798">
            <w:pPr>
              <w:pStyle w:val="Normal0"/>
              <w:spacing w:after="0" w:line="240" w:lineRule="auto"/>
              <w:jc w:val="center"/>
              <w:rPr>
                <w:rFonts w:ascii="Times New Roman" w:hAnsi="Times New Roman" w:cs="Times New Roman"/>
                <w:noProof/>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A"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B"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C" w14:textId="77777777" w:rsidR="003C4798" w:rsidRDefault="00417595">
            <w:pPr>
              <w:pStyle w:val="P68B1DB1-Normal024"/>
              <w:pBdr>
                <w:top w:val="nil"/>
                <w:left w:val="nil"/>
                <w:bottom w:val="nil"/>
                <w:right w:val="nil"/>
                <w:between w:val="nil"/>
              </w:pBdr>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Les équipements suivants doivent être livrés:</w:t>
            </w:r>
            <w:r>
              <w:rPr>
                <w:rFonts w:ascii="Times New Roman" w:hAnsi="Times New Roman" w:cs="Times New Roman"/>
                <w:noProof/>
              </w:rPr>
              <w:br/>
            </w:r>
            <w:r>
              <w:rPr>
                <w:rFonts w:ascii="Times New Roman" w:hAnsi="Times New Roman" w:cs="Times New Roman"/>
                <w:noProof/>
                <w:color w:val="000000" w:themeColor="text1"/>
              </w:rPr>
              <w:t>13</w:t>
            </w:r>
            <w:r>
              <w:rPr>
                <w:rFonts w:ascii="Times New Roman" w:eastAsia="Times New Roman" w:hAnsi="Times New Roman" w:cs="Times New Roman"/>
                <w:noProof/>
                <w:color w:val="006100"/>
              </w:rPr>
              <w:t> </w:t>
            </w:r>
            <w:r>
              <w:rPr>
                <w:rFonts w:ascii="Times New Roman" w:hAnsi="Times New Roman" w:cs="Times New Roman"/>
                <w:noProof/>
                <w:color w:val="000000" w:themeColor="text1"/>
              </w:rPr>
              <w:t xml:space="preserve">630 terminaux de données mobiles (MDT) avec logiciel pour la police; </w:t>
            </w:r>
            <w:r>
              <w:rPr>
                <w:rFonts w:ascii="Times New Roman" w:hAnsi="Times New Roman" w:cs="Times New Roman"/>
                <w:noProof/>
              </w:rPr>
              <w:br/>
            </w:r>
            <w:r>
              <w:rPr>
                <w:rFonts w:ascii="Times New Roman" w:hAnsi="Times New Roman" w:cs="Times New Roman"/>
                <w:noProof/>
                <w:color w:val="000000" w:themeColor="text1"/>
              </w:rPr>
              <w:t>- 30 points mobiles pour les gardes-frontières;</w:t>
            </w:r>
          </w:p>
          <w:p w14:paraId="1216BC1D" w14:textId="77777777" w:rsidR="003C4798" w:rsidRDefault="00417595">
            <w:pPr>
              <w:pStyle w:val="P68B1DB1-Normal062"/>
              <w:pBdr>
                <w:top w:val="nil"/>
                <w:left w:val="nil"/>
                <w:bottom w:val="nil"/>
                <w:right w:val="nil"/>
                <w:between w:val="nil"/>
              </w:pBdr>
              <w:spacing w:after="0" w:line="240" w:lineRule="auto"/>
              <w:rPr>
                <w:rFonts w:eastAsia="Times New Roman"/>
                <w:noProof/>
              </w:rPr>
            </w:pPr>
            <w:r>
              <w:rPr>
                <w:noProof/>
              </w:rPr>
              <w:t>- un point médical mobile autonome pour les risques médicaux, biochimiques, radiologiques ou de catastrophes naturelles.</w:t>
            </w:r>
          </w:p>
        </w:tc>
      </w:tr>
      <w:tr w:rsidR="003C4798" w14:paraId="1216BC2A"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F" w14:textId="77777777" w:rsidR="003C4798" w:rsidRDefault="00417595">
            <w:pPr>
              <w:pStyle w:val="P68B1DB1-Normal021"/>
              <w:pBdr>
                <w:top w:val="nil"/>
                <w:left w:val="nil"/>
                <w:bottom w:val="nil"/>
                <w:right w:val="nil"/>
                <w:between w:val="nil"/>
              </w:pBdr>
              <w:spacing w:after="0" w:line="240" w:lineRule="auto"/>
              <w:jc w:val="center"/>
              <w:rPr>
                <w:b/>
                <w:noProof/>
                <w:color w:val="000000"/>
              </w:rPr>
            </w:pPr>
            <w:r>
              <w:rPr>
                <w:noProof/>
              </w:rPr>
              <w:t>C27G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0"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C3.1.1 Cybersécurité – CyberPL, infrastructure de traitement des données et optimisation de l’infrastructure des services répressifs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1"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2"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Projet important d'intérêt européen commun (PIIEC): Sélection des projets Next Generation Cloud et signature des contrats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3" w14:textId="77777777" w:rsidR="003C4798" w:rsidRDefault="00417595">
            <w:pPr>
              <w:pStyle w:val="P68B1DB1-Normal062"/>
              <w:pBdr>
                <w:top w:val="nil"/>
                <w:left w:val="nil"/>
                <w:bottom w:val="nil"/>
                <w:right w:val="nil"/>
                <w:between w:val="nil"/>
              </w:pBdr>
              <w:spacing w:after="0" w:line="240" w:lineRule="auto"/>
              <w:rPr>
                <w:noProof/>
              </w:rPr>
            </w:pPr>
            <w:r>
              <w:rPr>
                <w:noProof/>
              </w:rPr>
              <w:t>Signature de contrats avec des entités sélectionnées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4"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5"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6"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7"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8"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2023</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9" w14:textId="77777777" w:rsidR="003C4798" w:rsidRDefault="00417595">
            <w:pPr>
              <w:pStyle w:val="P68B1DB1-Normal062"/>
              <w:pBdr>
                <w:top w:val="nil"/>
                <w:left w:val="nil"/>
                <w:bottom w:val="nil"/>
                <w:right w:val="nil"/>
                <w:between w:val="nil"/>
              </w:pBdr>
              <w:spacing w:after="0" w:line="240" w:lineRule="auto"/>
              <w:rPr>
                <w:noProof/>
              </w:rPr>
            </w:pPr>
            <w:r>
              <w:rPr>
                <w:noProof/>
              </w:rPr>
              <w:t>Sélection de projets et signature de contrats à la suite de la publication de l’appel à propositions de projets afin de soutenir le développement des solutions d’informatique en nuage de nouvelle génération en Pologne.</w:t>
            </w:r>
          </w:p>
        </w:tc>
      </w:tr>
      <w:tr w:rsidR="003C4798" w14:paraId="1216BC36"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B"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C28G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C"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C3.1.1 Cybersécurité – CyberPL, infrastructure de traitement des données et optimisation de l’infrastructure des services répressifs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D"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E"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Projet important d'intérêt européen commun (PIIEC): Solutions de traitement des données d'infrastructure ou de service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F"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0"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1"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2"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3"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4"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5" w14:textId="77777777" w:rsidR="003C4798" w:rsidRDefault="00417595">
            <w:pPr>
              <w:pStyle w:val="P68B1DB1-Normal062"/>
              <w:pBdr>
                <w:top w:val="nil"/>
                <w:left w:val="nil"/>
                <w:bottom w:val="nil"/>
                <w:right w:val="nil"/>
                <w:between w:val="nil"/>
              </w:pBdr>
              <w:spacing w:after="0" w:line="240" w:lineRule="auto"/>
              <w:rPr>
                <w:rFonts w:eastAsia="Times New Roman"/>
                <w:noProof/>
              </w:rPr>
            </w:pPr>
            <w:r>
              <w:rPr>
                <w:noProof/>
              </w:rPr>
              <w:t>Au moins cinq solutions de traitement des données d’infrastructure ou de service sont lancées.</w:t>
            </w:r>
          </w:p>
        </w:tc>
      </w:tr>
    </w:tbl>
    <w:p w14:paraId="1216BC37" w14:textId="77777777" w:rsidR="003C4798" w:rsidRDefault="003C4798">
      <w:pPr>
        <w:rPr>
          <w:noProof/>
        </w:rPr>
      </w:pPr>
    </w:p>
    <w:p w14:paraId="1216BC38" w14:textId="77777777" w:rsidR="003C4798" w:rsidRDefault="003C4798">
      <w:pPr>
        <w:pStyle w:val="Normal0"/>
        <w:pBdr>
          <w:top w:val="nil"/>
          <w:left w:val="nil"/>
          <w:bottom w:val="nil"/>
          <w:right w:val="nil"/>
          <w:between w:val="nil"/>
        </w:pBdr>
        <w:spacing w:before="120" w:after="120" w:line="240" w:lineRule="auto"/>
        <w:ind w:left="709"/>
        <w:jc w:val="both"/>
        <w:rPr>
          <w:rFonts w:ascii="Times New Roman" w:eastAsia="Times New Roman" w:hAnsi="Times New Roman" w:cs="Times New Roman"/>
          <w:i/>
          <w:noProof/>
          <w:color w:val="4F81BD"/>
          <w:sz w:val="24"/>
          <w:szCs w:val="24"/>
        </w:rPr>
        <w:sectPr w:rsidR="003C4798" w:rsidSect="006C5441">
          <w:headerReference w:type="even" r:id="rId78"/>
          <w:headerReference w:type="default" r:id="rId79"/>
          <w:footerReference w:type="even" r:id="rId80"/>
          <w:footerReference w:type="default" r:id="rId81"/>
          <w:headerReference w:type="first" r:id="rId82"/>
          <w:footerReference w:type="first" r:id="rId83"/>
          <w:pgSz w:w="16839" w:h="11907" w:orient="landscape"/>
          <w:pgMar w:top="1134" w:right="1134" w:bottom="1134" w:left="1134" w:header="567" w:footer="567" w:gutter="0"/>
          <w:cols w:space="720"/>
          <w:docGrid w:linePitch="299"/>
        </w:sectPr>
      </w:pPr>
    </w:p>
    <w:p w14:paraId="1216BC39" w14:textId="77777777" w:rsidR="003C4798" w:rsidRDefault="00417595">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i/>
          <w:iCs/>
          <w:noProof/>
          <w:sz w:val="24"/>
          <w:szCs w:val="24"/>
        </w:rPr>
      </w:pPr>
      <w:r>
        <w:rPr>
          <w:rFonts w:ascii="Times New Roman" w:hAnsi="Times New Roman"/>
          <w:b/>
          <w:noProof/>
          <w:color w:val="000000" w:themeColor="text1"/>
          <w:sz w:val="24"/>
          <w:szCs w:val="24"/>
        </w:rPr>
        <w:t xml:space="preserve">C.3. </w:t>
      </w:r>
      <w:r>
        <w:rPr>
          <w:noProof/>
        </w:rPr>
        <w:t xml:space="preserve"> </w:t>
      </w:r>
      <w:r>
        <w:rPr>
          <w:rFonts w:ascii="Times New Roman" w:hAnsi="Times New Roman"/>
          <w:b/>
          <w:noProof/>
          <w:color w:val="000000" w:themeColor="text1"/>
          <w:sz w:val="24"/>
          <w:szCs w:val="24"/>
        </w:rPr>
        <w:t>Description des réformes et des investissements pour le soutien sous forme de prêts</w:t>
      </w:r>
    </w:p>
    <w:p w14:paraId="1216BC3A"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pPr>
    </w:p>
    <w:p w14:paraId="1216BC3B" w14:textId="77777777" w:rsidR="003C4798" w:rsidRDefault="00417595">
      <w:pPr>
        <w:pStyle w:val="P68B1DB1-Normal036"/>
        <w:pBdr>
          <w:top w:val="nil"/>
          <w:left w:val="nil"/>
          <w:bottom w:val="nil"/>
          <w:right w:val="nil"/>
          <w:between w:val="nil"/>
        </w:pBdr>
        <w:spacing w:before="120" w:after="120" w:line="240" w:lineRule="auto"/>
        <w:jc w:val="both"/>
        <w:rPr>
          <w:noProof/>
          <w:color w:val="000000"/>
        </w:rPr>
      </w:pPr>
      <w:r>
        <w:rPr>
          <w:noProof/>
        </w:rPr>
        <w:t>C1.2 Accroître le niveau d'accessibilité et d'utilisation des communications câblées et sans fil modernes pour répondre aux besoins sociaux et économiques</w:t>
      </w:r>
    </w:p>
    <w:p w14:paraId="1216BC3C" w14:textId="77777777" w:rsidR="003C4798" w:rsidRDefault="00417595">
      <w:pPr>
        <w:pStyle w:val="P68B1DB1-Normal037"/>
        <w:pBdr>
          <w:top w:val="nil"/>
          <w:left w:val="nil"/>
          <w:bottom w:val="nil"/>
          <w:right w:val="nil"/>
          <w:between w:val="nil"/>
        </w:pBdr>
        <w:spacing w:before="120" w:after="120" w:line="240" w:lineRule="auto"/>
        <w:jc w:val="both"/>
        <w:rPr>
          <w:noProof/>
          <w:color w:val="000000"/>
        </w:rPr>
      </w:pPr>
      <w:r>
        <w:rPr>
          <w:noProof/>
        </w:rPr>
        <w:t>La réforme améliorera l’environnement législatif pour le développement des réseaux mobiles en supprimant les principaux obstacles au déploiement de la 5G, en tenant compte de la boîte à outils de l’UE pour la connectivité.</w:t>
      </w:r>
    </w:p>
    <w:p w14:paraId="1216BC3D" w14:textId="77777777" w:rsidR="003C4798" w:rsidRDefault="00417595">
      <w:pPr>
        <w:pStyle w:val="P68B1DB1-Normal037"/>
        <w:pBdr>
          <w:top w:val="nil"/>
          <w:left w:val="nil"/>
          <w:bottom w:val="nil"/>
          <w:right w:val="nil"/>
          <w:between w:val="nil"/>
        </w:pBdr>
        <w:spacing w:before="120" w:after="120" w:line="240" w:lineRule="auto"/>
        <w:jc w:val="both"/>
        <w:rPr>
          <w:noProof/>
          <w:color w:val="000000"/>
        </w:rPr>
      </w:pPr>
      <w:r>
        <w:rPr>
          <w:noProof/>
        </w:rPr>
        <w:t>La mise en œuvre de la réforme est achevée au plus tard le 31 décembre 2023.</w:t>
      </w:r>
    </w:p>
    <w:p w14:paraId="1216BC3E"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C3F" w14:textId="77777777" w:rsidR="003C4798" w:rsidRDefault="00417595">
      <w:pPr>
        <w:pStyle w:val="P68B1DB1-Normal036"/>
        <w:pBdr>
          <w:top w:val="nil"/>
          <w:left w:val="nil"/>
          <w:bottom w:val="nil"/>
          <w:right w:val="nil"/>
          <w:between w:val="nil"/>
        </w:pBdr>
        <w:spacing w:before="120" w:after="120" w:line="240" w:lineRule="auto"/>
        <w:jc w:val="both"/>
        <w:rPr>
          <w:noProof/>
          <w:color w:val="000000"/>
        </w:rPr>
      </w:pPr>
      <w:r>
        <w:rPr>
          <w:noProof/>
        </w:rPr>
        <w:t>C2.2 Réformer les fondements de la numérisation du système éducatif</w:t>
      </w:r>
    </w:p>
    <w:p w14:paraId="1216BC40" w14:textId="77777777" w:rsidR="003C4798" w:rsidRDefault="00417595">
      <w:pPr>
        <w:pStyle w:val="P68B1DB1-Normal037"/>
        <w:pBdr>
          <w:top w:val="nil"/>
          <w:left w:val="nil"/>
          <w:bottom w:val="nil"/>
          <w:right w:val="nil"/>
          <w:between w:val="nil"/>
        </w:pBdr>
        <w:spacing w:before="120" w:after="120" w:line="240" w:lineRule="auto"/>
        <w:jc w:val="both"/>
        <w:rPr>
          <w:noProof/>
          <w:color w:val="000000"/>
        </w:rPr>
      </w:pPr>
      <w:r>
        <w:rPr>
          <w:noProof/>
        </w:rPr>
        <w:t>La réforme jette les bases de la numérisation du système éducatif par l’adoption de la politique de numérisation de l’éducation, afin de préparer les enfants et les jeunes à la société de l’information. Les objectifs du présent document stratégique sont axés sur l’intégration efficace et significative des nouvelles technologies dans l’enseignement, l’apprentissage et l’évaluation et sont élaborés selon une approche participative.</w:t>
      </w:r>
    </w:p>
    <w:p w14:paraId="1216BC41" w14:textId="77777777" w:rsidR="003C4798" w:rsidRDefault="00417595">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 xml:space="preserve">La mise en œuvre de la réforme est achevée au plus tard le 30 septembre 2022. </w:t>
      </w:r>
    </w:p>
    <w:p w14:paraId="1216BC42"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p>
    <w:p w14:paraId="1216BC43" w14:textId="77777777" w:rsidR="003C4798" w:rsidRDefault="00417595">
      <w:pPr>
        <w:pStyle w:val="P68B1DB1-Normal036"/>
        <w:pBdr>
          <w:top w:val="nil"/>
          <w:left w:val="nil"/>
          <w:bottom w:val="nil"/>
          <w:right w:val="nil"/>
          <w:between w:val="nil"/>
        </w:pBdr>
        <w:spacing w:before="120" w:after="120" w:line="240" w:lineRule="auto"/>
        <w:jc w:val="both"/>
        <w:rPr>
          <w:bCs/>
          <w:noProof/>
          <w:color w:val="000000"/>
        </w:rPr>
      </w:pPr>
      <w:r>
        <w:rPr>
          <w:noProof/>
        </w:rPr>
        <w:t>C2.2.1 Les technologies numériques dans l'enseignement</w:t>
      </w:r>
    </w:p>
    <w:p w14:paraId="1216BC44" w14:textId="6DD75FEB" w:rsidR="003C4798" w:rsidRDefault="00417595">
      <w:pPr>
        <w:pStyle w:val="P68B1DB1-Normal037"/>
        <w:pBdr>
          <w:top w:val="nil"/>
          <w:left w:val="nil"/>
          <w:bottom w:val="nil"/>
          <w:right w:val="nil"/>
          <w:between w:val="nil"/>
        </w:pBdr>
        <w:spacing w:before="120" w:after="120" w:line="240" w:lineRule="auto"/>
        <w:jc w:val="both"/>
        <w:rPr>
          <w:noProof/>
        </w:rPr>
      </w:pPr>
      <w:r>
        <w:rPr>
          <w:noProof/>
        </w:rPr>
        <w:t>L’objectif de cet investissement est d’accroître le volume d’équipements et d’infrastructures TIC dans les écoles. Cette mesure consiste en i) la livraison de kits TIC («Zestaw») et ii) la livraison de laboratoires d’intelligence artificielle («Zestaw»).</w:t>
      </w:r>
    </w:p>
    <w:p w14:paraId="1216BC45"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rPr>
      </w:pPr>
    </w:p>
    <w:p w14:paraId="1216BC46" w14:textId="403097A3" w:rsidR="003C4798" w:rsidRDefault="00417595">
      <w:pPr>
        <w:pStyle w:val="P68B1DB1-Normal67"/>
        <w:spacing w:before="120" w:after="160" w:line="257" w:lineRule="auto"/>
        <w:jc w:val="both"/>
        <w:rPr>
          <w:noProof/>
        </w:rPr>
      </w:pPr>
      <w:r>
        <w:rPr>
          <w:noProof/>
        </w:rPr>
        <w:t>C4.1.1 Prise en charge de la transformation numérique avancée</w:t>
      </w:r>
    </w:p>
    <w:p w14:paraId="1216BC47" w14:textId="7A87A0CB" w:rsidR="003C4798" w:rsidRDefault="00417595">
      <w:pPr>
        <w:pStyle w:val="P68B1DB1-Normal15"/>
        <w:spacing w:before="120" w:after="160" w:line="257" w:lineRule="auto"/>
        <w:jc w:val="both"/>
        <w:rPr>
          <w:noProof/>
          <w:color w:val="000000" w:themeColor="text1"/>
        </w:rPr>
      </w:pPr>
      <w:r>
        <w:rPr>
          <w:noProof/>
          <w:color w:val="000000" w:themeColor="text1"/>
        </w:rPr>
        <w:t>Cette mesure consiste en un investissement public dans une facilité, le Fonds polonais de soutien à la transformation numérique avancée, afin d’encourager l’investissement privé et d’améliorer l’accès au financement pour soutenir la transformation numérique avancée en Pologne. La facilité fonctionne en accordant des prêts directement au secteur privé, ainsi qu’aux entités du secteur public exerçant des activités similaires.</w:t>
      </w:r>
    </w:p>
    <w:p w14:paraId="1216BC48" w14:textId="77777777" w:rsidR="003C4798" w:rsidRDefault="00417595">
      <w:pPr>
        <w:pStyle w:val="P68B1DB1-Normal10"/>
        <w:spacing w:before="120" w:after="160" w:line="257" w:lineRule="auto"/>
        <w:jc w:val="both"/>
        <w:rPr>
          <w:noProof/>
        </w:rPr>
      </w:pPr>
      <w:r>
        <w:rPr>
          <w:noProof/>
        </w:rPr>
        <w:t>La facilité est gérée par Bank Gospodarstwa Krajowego (BGK) en tant que partenaire chargé de la mise en œuvre. La facilité comprend les lignes de produits suivantes:</w:t>
      </w:r>
    </w:p>
    <w:p w14:paraId="1216BC49" w14:textId="77777777" w:rsidR="003C4798" w:rsidRDefault="00417595">
      <w:pPr>
        <w:pStyle w:val="P68B1DB1-ListParagraph68"/>
        <w:numPr>
          <w:ilvl w:val="0"/>
          <w:numId w:val="18"/>
        </w:numPr>
        <w:spacing w:line="257" w:lineRule="auto"/>
        <w:jc w:val="both"/>
        <w:rPr>
          <w:noProof/>
        </w:rPr>
      </w:pPr>
      <w:r>
        <w:rPr>
          <w:noProof/>
        </w:rPr>
        <w:t xml:space="preserve">Ligne directe 1 de la BGK: cette ligne accorde des prêts directs aux entreprises pour couvrir les coûts des investissements dans les réseaux énergétiques intelligents. </w:t>
      </w:r>
    </w:p>
    <w:p w14:paraId="1216BC4A" w14:textId="77777777" w:rsidR="003C4798" w:rsidRDefault="00417595">
      <w:pPr>
        <w:pStyle w:val="P68B1DB1-ListParagraph68"/>
        <w:numPr>
          <w:ilvl w:val="0"/>
          <w:numId w:val="18"/>
        </w:numPr>
        <w:spacing w:line="257" w:lineRule="auto"/>
        <w:jc w:val="both"/>
        <w:rPr>
          <w:noProof/>
        </w:rPr>
      </w:pPr>
      <w:r>
        <w:rPr>
          <w:noProof/>
        </w:rPr>
        <w:t xml:space="preserve">Ligne directe 2 de la BGK: cette ligne accorde des prêts directs aux entreprises pour couvrir les coûts des investissements dans les technologies numériques avancées. </w:t>
      </w:r>
    </w:p>
    <w:p w14:paraId="1216BC4B" w14:textId="77777777" w:rsidR="003C4798" w:rsidRDefault="00417595">
      <w:pPr>
        <w:pStyle w:val="P68B1DB1-ListParagraph68"/>
        <w:numPr>
          <w:ilvl w:val="0"/>
          <w:numId w:val="18"/>
        </w:numPr>
        <w:spacing w:line="257" w:lineRule="auto"/>
        <w:jc w:val="both"/>
        <w:rPr>
          <w:noProof/>
        </w:rPr>
      </w:pPr>
      <w:r>
        <w:rPr>
          <w:noProof/>
        </w:rPr>
        <w:t xml:space="preserve">Ligne directe 3 de la BGK: cette ligne accorde des prêts directs aux entreprises pour couvrir les coûts des investissements dans les infrastructures TIC (y compris les équipements informatiques à grande échelle). </w:t>
      </w:r>
    </w:p>
    <w:p w14:paraId="1216BC4C" w14:textId="77777777" w:rsidR="003C4798" w:rsidRDefault="00417595">
      <w:pPr>
        <w:pStyle w:val="P68B1DB1-Normal10"/>
        <w:spacing w:before="120" w:after="160" w:line="257" w:lineRule="auto"/>
        <w:jc w:val="both"/>
        <w:rPr>
          <w:noProof/>
        </w:rPr>
      </w:pPr>
      <w:r>
        <w:rPr>
          <w:noProof/>
        </w:rPr>
        <w:t>Afin de mettre en œuvre l’investissement dans la facilité, la Pologne et BGK signent un accord de mise en œuvre qui comprend les éléments suivants:</w:t>
      </w:r>
    </w:p>
    <w:p w14:paraId="1216BC4D" w14:textId="77777777" w:rsidR="003C4798" w:rsidRDefault="00417595">
      <w:pPr>
        <w:pStyle w:val="P68B1DB1-ListParagraph12"/>
        <w:numPr>
          <w:ilvl w:val="0"/>
          <w:numId w:val="19"/>
        </w:numPr>
        <w:spacing w:after="0" w:line="257" w:lineRule="auto"/>
        <w:jc w:val="both"/>
        <w:rPr>
          <w:noProof/>
        </w:rPr>
      </w:pPr>
      <w:r>
        <w:rPr>
          <w:noProof/>
        </w:rPr>
        <w:t>Description du processus décisionnel de la facilité: La décision finale d’investissement de la facilité est prise par un comité d’investissement ou un autre organe directeur équivalent compétent et approuvée à la majorité des voix des membres indépendants du gouvernement.</w:t>
      </w:r>
    </w:p>
    <w:p w14:paraId="1216BC4E" w14:textId="77777777" w:rsidR="003C4798" w:rsidRDefault="00417595">
      <w:pPr>
        <w:pStyle w:val="P68B1DB1-ListParagraph12"/>
        <w:numPr>
          <w:ilvl w:val="0"/>
          <w:numId w:val="19"/>
        </w:numPr>
        <w:spacing w:after="0" w:line="257" w:lineRule="auto"/>
        <w:jc w:val="both"/>
        <w:rPr>
          <w:noProof/>
        </w:rPr>
      </w:pPr>
      <w:r>
        <w:rPr>
          <w:noProof/>
        </w:rPr>
        <w:t>Les principales exigences de la politique d'investissement associée, qui comprennent:</w:t>
      </w:r>
    </w:p>
    <w:p w14:paraId="1216BC4F" w14:textId="77777777" w:rsidR="003C4798" w:rsidRDefault="00417595">
      <w:pPr>
        <w:pStyle w:val="P68B1DB1-ListParagraph12"/>
        <w:numPr>
          <w:ilvl w:val="1"/>
          <w:numId w:val="20"/>
        </w:numPr>
        <w:spacing w:after="0" w:line="257" w:lineRule="auto"/>
        <w:ind w:left="1418"/>
        <w:jc w:val="both"/>
        <w:rPr>
          <w:noProof/>
        </w:rPr>
      </w:pPr>
      <w:r>
        <w:rPr>
          <w:noProof/>
        </w:rPr>
        <w:t>Description du produit financier et des bénéficiaires finaux éligibles.</w:t>
      </w:r>
    </w:p>
    <w:p w14:paraId="1216BC50" w14:textId="77777777" w:rsidR="003C4798" w:rsidRDefault="00417595">
      <w:pPr>
        <w:pStyle w:val="P68B1DB1-ListParagraph12"/>
        <w:numPr>
          <w:ilvl w:val="1"/>
          <w:numId w:val="20"/>
        </w:numPr>
        <w:spacing w:after="0" w:line="257" w:lineRule="auto"/>
        <w:ind w:left="1418"/>
        <w:jc w:val="both"/>
        <w:rPr>
          <w:noProof/>
        </w:rPr>
      </w:pPr>
      <w:r>
        <w:rPr>
          <w:noProof/>
        </w:rPr>
        <w:t>L'exigence que tous les investissements soutenus soient économiquement viables.</w:t>
      </w:r>
    </w:p>
    <w:p w14:paraId="1216BC51" w14:textId="77777777" w:rsidR="003C4798" w:rsidRDefault="00417595">
      <w:pPr>
        <w:pStyle w:val="ListParagraph"/>
        <w:numPr>
          <w:ilvl w:val="1"/>
          <w:numId w:val="20"/>
        </w:numPr>
        <w:spacing w:before="120" w:after="0" w:line="257" w:lineRule="auto"/>
        <w:ind w:left="1418"/>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L’obligation de respecter le principe consistant à «ne pas causer de préjudice important» (DNSH) tel qu’énoncé dans les orientations techniques DNSH (2023 6454 final). En particulier, la politique d'investissement exclut</w:t>
      </w:r>
      <w:r>
        <w:rPr>
          <w:rFonts w:ascii="Times New Roman" w:eastAsia="Times New Roman" w:hAnsi="Times New Roman" w:cs="Times New Roman"/>
          <w:noProof/>
          <w:sz w:val="24"/>
          <w:szCs w:val="24"/>
        </w:rPr>
        <w:t xml:space="preserve"> de l'éligibilité la liste suivante d'activités et d'actifs: (i) les activités et les actifs liés aux combustibles fossiles, y compris l’utilisation en aval</w:t>
      </w:r>
      <w:r>
        <w:rPr>
          <w:rStyle w:val="FootnoteReference"/>
          <w:rFonts w:ascii="Times New Roman" w:eastAsia="Times New Roman" w:hAnsi="Times New Roman" w:cs="Times New Roman"/>
          <w:noProof/>
          <w:sz w:val="24"/>
          <w:szCs w:val="24"/>
        </w:rPr>
        <w:footnoteReference w:id="36"/>
      </w:r>
      <w:r>
        <w:rPr>
          <w:rFonts w:ascii="Times New Roman" w:eastAsia="Times New Roman" w:hAnsi="Times New Roman" w:cs="Times New Roman"/>
          <w:noProof/>
          <w:sz w:val="24"/>
          <w:szCs w:val="24"/>
        </w:rPr>
        <w:t>,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eastAsia="Times New Roman" w:hAnsi="Times New Roman" w:cs="Times New Roman"/>
          <w:noProof/>
          <w:sz w:val="24"/>
          <w:szCs w:val="24"/>
        </w:rPr>
        <w:footnoteReference w:id="37"/>
      </w:r>
      <w:r>
        <w:rPr>
          <w:rFonts w:ascii="Times New Roman" w:eastAsia="Times New Roman" w:hAnsi="Times New Roman" w:cs="Times New Roman"/>
          <w:noProof/>
          <w:sz w:val="24"/>
          <w:szCs w:val="24"/>
        </w:rPr>
        <w:t>, (iii) les activités et les actifs liés aux décharges de déchets, aux incinérateurs</w:t>
      </w:r>
      <w:r>
        <w:rPr>
          <w:rStyle w:val="FootnoteReference"/>
          <w:rFonts w:ascii="Times New Roman" w:eastAsia="Times New Roman" w:hAnsi="Times New Roman" w:cs="Times New Roman"/>
          <w:noProof/>
          <w:sz w:val="24"/>
          <w:szCs w:val="24"/>
        </w:rPr>
        <w:footnoteReference w:id="38"/>
      </w:r>
      <w:r>
        <w:rPr>
          <w:rFonts w:ascii="Times New Roman" w:eastAsia="Times New Roman" w:hAnsi="Times New Roman" w:cs="Times New Roman"/>
          <w:noProof/>
          <w:sz w:val="24"/>
          <w:szCs w:val="24"/>
        </w:rPr>
        <w:t xml:space="preserve"> et aux usines de traitement biologique mécanique</w:t>
      </w:r>
      <w:r>
        <w:rPr>
          <w:rStyle w:val="FootnoteReference"/>
          <w:rFonts w:ascii="Times New Roman" w:eastAsia="Times New Roman" w:hAnsi="Times New Roman" w:cs="Times New Roman"/>
          <w:noProof/>
          <w:sz w:val="24"/>
          <w:szCs w:val="24"/>
        </w:rPr>
        <w:footnoteReference w:id="39"/>
      </w:r>
      <w:r>
        <w:rPr>
          <w:rFonts w:ascii="Times New Roman" w:hAnsi="Times New Roman"/>
          <w:noProof/>
          <w:color w:val="000000" w:themeColor="text1"/>
          <w:sz w:val="24"/>
          <w:szCs w:val="24"/>
        </w:rPr>
        <w:t>. En outre, la politique d’investissement exige le</w:t>
      </w:r>
      <w:r>
        <w:rPr>
          <w:rFonts w:ascii="Times New Roman" w:hAnsi="Times New Roman"/>
          <w:b/>
          <w:noProof/>
          <w:color w:val="000000" w:themeColor="text1"/>
          <w:sz w:val="24"/>
          <w:szCs w:val="24"/>
        </w:rPr>
        <w:t xml:space="preserve"> </w:t>
      </w:r>
      <w:r>
        <w:rPr>
          <w:rFonts w:ascii="Times New Roman" w:hAnsi="Times New Roman"/>
          <w:noProof/>
          <w:color w:val="000000" w:themeColor="text1"/>
          <w:sz w:val="24"/>
          <w:szCs w:val="24"/>
        </w:rPr>
        <w:t>respect de la législation environnementale pertinente de l’UE et des États membres par les bénéficiaires finaux de la facilité.</w:t>
      </w:r>
    </w:p>
    <w:p w14:paraId="1216BC52" w14:textId="77777777" w:rsidR="003C4798" w:rsidRDefault="00417595">
      <w:pPr>
        <w:pStyle w:val="P68B1DB1-ListParagraph12"/>
        <w:numPr>
          <w:ilvl w:val="1"/>
          <w:numId w:val="20"/>
        </w:numPr>
        <w:spacing w:after="0" w:line="257" w:lineRule="auto"/>
        <w:ind w:left="1418"/>
        <w:jc w:val="both"/>
        <w:rPr>
          <w:noProof/>
        </w:rPr>
      </w:pPr>
      <w:r>
        <w:rPr>
          <w:noProof/>
        </w:rPr>
        <w:t>L’exigence selon laquelle les bénéficiaires finaux de la facilité ne reçoivent pas de soutien d’autres instruments de l’Union pour couvrir le même coût.</w:t>
      </w:r>
    </w:p>
    <w:p w14:paraId="1216BC53" w14:textId="77777777" w:rsidR="003C4798" w:rsidRDefault="00417595">
      <w:pPr>
        <w:pStyle w:val="P68B1DB1-ListParagraph12"/>
        <w:numPr>
          <w:ilvl w:val="0"/>
          <w:numId w:val="19"/>
        </w:numPr>
        <w:spacing w:after="0" w:line="257" w:lineRule="auto"/>
        <w:jc w:val="both"/>
        <w:rPr>
          <w:noProof/>
        </w:rPr>
      </w:pPr>
      <w:r>
        <w:rPr>
          <w:noProof/>
        </w:rPr>
        <w:t>Le montant couvert par l’accord de mise en œuvre, la structure des frais pour le partenaire chargé de la mise en œuvre et l’obligation de réinvestir tout remboursement conformément à la politique d’investissement de la facilité, à moins qu’ils ne soient utilisés pour assurer le service des remboursements de prêts de la facilité pour la reprise et la résilience.</w:t>
      </w:r>
    </w:p>
    <w:p w14:paraId="1216BC54" w14:textId="77777777" w:rsidR="003C4798" w:rsidRDefault="00417595">
      <w:pPr>
        <w:pStyle w:val="P68B1DB1-ListParagraph12"/>
        <w:numPr>
          <w:ilvl w:val="0"/>
          <w:numId w:val="19"/>
        </w:numPr>
        <w:spacing w:after="0" w:line="257" w:lineRule="auto"/>
        <w:jc w:val="both"/>
        <w:rPr>
          <w:noProof/>
        </w:rPr>
      </w:pPr>
      <w:r>
        <w:rPr>
          <w:noProof/>
        </w:rPr>
        <w:t>Exigences en matière de surveillance, d'audit et de contrôle, y compris:</w:t>
      </w:r>
    </w:p>
    <w:p w14:paraId="1216BC55" w14:textId="77777777" w:rsidR="003C4798" w:rsidRDefault="00417595">
      <w:pPr>
        <w:pStyle w:val="P68B1DB1-ListParagraph12"/>
        <w:numPr>
          <w:ilvl w:val="1"/>
          <w:numId w:val="21"/>
        </w:numPr>
        <w:spacing w:after="0" w:line="257" w:lineRule="auto"/>
        <w:jc w:val="both"/>
        <w:rPr>
          <w:noProof/>
        </w:rPr>
      </w:pPr>
      <w:r>
        <w:rPr>
          <w:noProof/>
        </w:rPr>
        <w:t>Description du système de suivi du partenaire chargé de la mise en œuvre pour rendre compte des investissements mobilisés.</w:t>
      </w:r>
    </w:p>
    <w:p w14:paraId="1216BC56" w14:textId="77777777" w:rsidR="003C4798" w:rsidRDefault="00417595">
      <w:pPr>
        <w:pStyle w:val="P68B1DB1-ListParagraph12"/>
        <w:numPr>
          <w:ilvl w:val="1"/>
          <w:numId w:val="21"/>
        </w:numPr>
        <w:spacing w:after="0" w:line="257" w:lineRule="auto"/>
        <w:jc w:val="both"/>
        <w:rPr>
          <w:noProof/>
        </w:rPr>
      </w:pPr>
      <w:r>
        <w:rPr>
          <w:noProof/>
        </w:rPr>
        <w:t xml:space="preserve">Description des procédures du partenaire chargé de la mise en œuvre qui garantiront la prévention, la détection et la correction de la fraude, de la corruption et des conflits d’intérêts. </w:t>
      </w:r>
    </w:p>
    <w:p w14:paraId="1216BC57" w14:textId="77777777" w:rsidR="003C4798" w:rsidRDefault="00417595">
      <w:pPr>
        <w:pStyle w:val="P68B1DB1-ListParagraph12"/>
        <w:numPr>
          <w:ilvl w:val="1"/>
          <w:numId w:val="21"/>
        </w:numPr>
        <w:spacing w:after="0" w:line="257" w:lineRule="auto"/>
        <w:jc w:val="both"/>
        <w:rPr>
          <w:noProof/>
        </w:rPr>
      </w:pPr>
      <w:r>
        <w:rPr>
          <w:noProof/>
        </w:rPr>
        <w:t>L’obligation de vérifier l’éligibilité de chaque opération conformément aux exigences énoncées dans l’accord de mise en œuvre avant de s’engager à financer une opération.</w:t>
      </w:r>
    </w:p>
    <w:p w14:paraId="1216BC58" w14:textId="233626DA" w:rsidR="003C4798" w:rsidRDefault="00417595">
      <w:pPr>
        <w:pStyle w:val="P68B1DB1-ListParagraph12"/>
        <w:numPr>
          <w:ilvl w:val="1"/>
          <w:numId w:val="21"/>
        </w:numPr>
        <w:spacing w:after="0" w:line="257" w:lineRule="auto"/>
        <w:jc w:val="both"/>
        <w:rPr>
          <w:noProof/>
        </w:rPr>
      </w:pPr>
      <w:r>
        <w:rPr>
          <w:noProof/>
        </w:rPr>
        <w:t>L’obligation de réaliser des audits ex post fondés sur les risques conformément à un plan d’audit du BGK.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en matière d’objectifs numériques; et iii) que l’exigence selon laquelle les bénéficiaires finaux de la facilité n’ont pas reçu d’aide d’autres instruments de l’Union pour couvrir le même coût soit respectée. Les audits vérifient également la légalité des opérations et le respect des conditions de l’accord de mise en œuvre applicable.</w:t>
      </w:r>
    </w:p>
    <w:p w14:paraId="1216BC59" w14:textId="7316046D" w:rsidR="003C4798" w:rsidRDefault="00417595">
      <w:pPr>
        <w:pStyle w:val="P68B1DB1-ListParagraph42"/>
        <w:numPr>
          <w:ilvl w:val="0"/>
          <w:numId w:val="19"/>
        </w:numPr>
        <w:spacing w:after="0" w:line="257" w:lineRule="auto"/>
        <w:jc w:val="both"/>
        <w:rPr>
          <w:rFonts w:eastAsia="Times New Roman"/>
          <w:noProof/>
          <w:color w:val="000000" w:themeColor="text1"/>
        </w:rPr>
      </w:pPr>
      <w:r>
        <w:rPr>
          <w:noProof/>
        </w:rPr>
        <w:t>Exigences applicables aux investissements numériques réalisés par le partenaire chargé de la mise en œuvre: au moins 277 840 003 EUR de l’investissement de la FRR dans la facilité contribuent à la transition numérique conformément à l’annexe VII du règlement FRR.</w:t>
      </w:r>
    </w:p>
    <w:p w14:paraId="1216BC5A" w14:textId="77777777" w:rsidR="003C4798" w:rsidRDefault="00417595">
      <w:pPr>
        <w:pStyle w:val="P68B1DB1-Normal69"/>
        <w:spacing w:before="120" w:after="120" w:line="240" w:lineRule="auto"/>
        <w:jc w:val="both"/>
        <w:rPr>
          <w:noProof/>
        </w:rPr>
        <w:sectPr w:rsidR="003C4798" w:rsidSect="006C5441">
          <w:headerReference w:type="even" r:id="rId84"/>
          <w:headerReference w:type="default" r:id="rId85"/>
          <w:footerReference w:type="even" r:id="rId86"/>
          <w:footerReference w:type="default" r:id="rId87"/>
          <w:headerReference w:type="first" r:id="rId88"/>
          <w:footerReference w:type="first" r:id="rId89"/>
          <w:pgSz w:w="11907" w:h="16839"/>
          <w:pgMar w:top="1134" w:right="1134" w:bottom="1134" w:left="1134" w:header="567" w:footer="567" w:gutter="0"/>
          <w:cols w:space="720"/>
          <w:docGrid w:linePitch="299"/>
        </w:sectPr>
      </w:pPr>
      <w:r>
        <w:rPr>
          <w:rFonts w:ascii="Times New Roman" w:eastAsia="Times New Roman" w:hAnsi="Times New Roman" w:cs="Times New Roman"/>
          <w:noProof/>
          <w:color w:val="000000" w:themeColor="text1"/>
        </w:rPr>
        <w:t xml:space="preserve">La mesure comprend également la publication d’un guide sur l’informatique en nuage </w:t>
      </w:r>
      <w:r>
        <w:rPr>
          <w:rFonts w:ascii="Times New Roman" w:eastAsia="Times New Roman" w:hAnsi="Times New Roman" w:cs="Times New Roman"/>
          <w:noProof/>
        </w:rPr>
        <w:t xml:space="preserve">à l’intention des entreprises. </w:t>
      </w:r>
      <w:r>
        <w:rPr>
          <w:rFonts w:ascii="Times New Roman" w:eastAsia="Times New Roman" w:hAnsi="Times New Roman" w:cs="Times New Roman"/>
          <w:noProof/>
          <w:color w:val="000000" w:themeColor="text1"/>
        </w:rPr>
        <w:t xml:space="preserve">Ce guide est un recueil de connaissances (y compris les questions fréquemment posées) </w:t>
      </w:r>
      <w:r>
        <w:rPr>
          <w:rFonts w:ascii="Times New Roman" w:eastAsia="Times New Roman" w:hAnsi="Times New Roman" w:cs="Times New Roman"/>
          <w:noProof/>
        </w:rPr>
        <w:t xml:space="preserve">sur l’utilisation </w:t>
      </w:r>
      <w:r>
        <w:rPr>
          <w:rFonts w:ascii="Times New Roman" w:eastAsia="Times New Roman" w:hAnsi="Times New Roman" w:cs="Times New Roman"/>
          <w:noProof/>
          <w:color w:val="000000" w:themeColor="text1"/>
        </w:rPr>
        <w:t>de l’informatique en nuage dans la transformation numérique des entreprises. Le guide couvre, entre autres, les aspects suivants: aspects juridiques de la transformation d’une entreprise utilisant l’informatique en nuage, la cybersécurité, l’efficacité énergétique et le développement des compétences numériques et des compétences</w:t>
      </w:r>
      <w:r>
        <w:rPr>
          <w:rFonts w:ascii="Times New Roman" w:eastAsia="Times New Roman" w:hAnsi="Times New Roman" w:cs="Times New Roman"/>
          <w:noProof/>
        </w:rPr>
        <w:t xml:space="preserve"> </w:t>
      </w:r>
      <w:r>
        <w:rPr>
          <w:rFonts w:ascii="Times New Roman" w:eastAsia="Times New Roman" w:hAnsi="Times New Roman" w:cs="Times New Roman"/>
          <w:noProof/>
          <w:color w:val="000000" w:themeColor="text1"/>
        </w:rPr>
        <w:t>en nuage.</w:t>
      </w:r>
    </w:p>
    <w:p w14:paraId="1216BC5B" w14:textId="77777777" w:rsidR="003C4798" w:rsidRDefault="00417595">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i/>
          <w:noProof/>
          <w:color w:val="000000"/>
          <w:sz w:val="24"/>
          <w:szCs w:val="24"/>
        </w:rPr>
      </w:pPr>
      <w:r>
        <w:rPr>
          <w:rFonts w:ascii="Times New Roman" w:hAnsi="Times New Roman"/>
          <w:b/>
          <w:noProof/>
          <w:color w:val="000000" w:themeColor="text1"/>
          <w:sz w:val="24"/>
        </w:rPr>
        <w:t xml:space="preserve">C.4. </w:t>
      </w:r>
      <w:r>
        <w:rPr>
          <w:noProof/>
        </w:rPr>
        <w:t xml:space="preserve"> </w:t>
      </w:r>
      <w:r>
        <w:rPr>
          <w:rFonts w:ascii="Times New Roman" w:hAnsi="Times New Roman"/>
          <w:b/>
          <w:noProof/>
          <w:color w:val="000000" w:themeColor="text1"/>
          <w:sz w:val="24"/>
        </w:rPr>
        <w:t>Étapes, objectifs, indicateurs et calendrier du suivi et de la mise en œuvre du prêt</w:t>
      </w:r>
    </w:p>
    <w:tbl>
      <w:tblPr>
        <w:tblW w:w="155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2126"/>
        <w:gridCol w:w="1134"/>
        <w:gridCol w:w="2415"/>
        <w:gridCol w:w="1559"/>
        <w:gridCol w:w="992"/>
        <w:gridCol w:w="993"/>
        <w:gridCol w:w="987"/>
        <w:gridCol w:w="1134"/>
        <w:gridCol w:w="850"/>
        <w:gridCol w:w="2557"/>
      </w:tblGrid>
      <w:tr w:rsidR="003C4798" w14:paraId="1216BC65" w14:textId="77777777" w:rsidTr="00DA6ACB">
        <w:trPr>
          <w:trHeight w:val="731"/>
          <w:tblHeader/>
          <w:jc w:val="center"/>
        </w:trPr>
        <w:tc>
          <w:tcPr>
            <w:tcW w:w="84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C"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Seq. N°</w:t>
            </w:r>
          </w:p>
        </w:tc>
        <w:tc>
          <w:tcPr>
            <w:tcW w:w="21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D"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Mesure connexe (réforme ou investissement)</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E"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Étape/cible</w:t>
            </w:r>
          </w:p>
        </w:tc>
        <w:tc>
          <w:tcPr>
            <w:tcW w:w="241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F"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Nom</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0" w14:textId="063D2D25"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Indicateurs qualitatifs (pour les jalons)</w:t>
            </w:r>
          </w:p>
        </w:tc>
        <w:tc>
          <w:tcPr>
            <w:tcW w:w="29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1" w14:textId="77777777" w:rsidR="003C4798" w:rsidRDefault="00417595">
            <w:pPr>
              <w:pStyle w:val="P68B1DB1-Normal061"/>
              <w:pBdr>
                <w:top w:val="nil"/>
                <w:left w:val="nil"/>
                <w:bottom w:val="nil"/>
                <w:right w:val="nil"/>
                <w:between w:val="nil"/>
              </w:pBdr>
              <w:spacing w:after="0" w:line="240" w:lineRule="auto"/>
              <w:jc w:val="center"/>
              <w:rPr>
                <w:noProof/>
              </w:rPr>
            </w:pPr>
            <w:r>
              <w:rPr>
                <w:noProof/>
              </w:rPr>
              <w:t>Indicateurs quantitatifs</w:t>
            </w:r>
          </w:p>
          <w:p w14:paraId="1216BC62"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(pour les objectifs)</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3"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Calendrier indicatif d'achèvement</w:t>
            </w:r>
          </w:p>
        </w:tc>
        <w:tc>
          <w:tcPr>
            <w:tcW w:w="255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4"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Description de chaque jalon et cible</w:t>
            </w:r>
          </w:p>
        </w:tc>
      </w:tr>
      <w:tr w:rsidR="003C4798" w14:paraId="1216BC71" w14:textId="77777777" w:rsidTr="00DA6ACB">
        <w:trPr>
          <w:trHeight w:val="557"/>
          <w:jc w:val="center"/>
        </w:trPr>
        <w:tc>
          <w:tcPr>
            <w:tcW w:w="846" w:type="dxa"/>
            <w:vMerge/>
            <w:vAlign w:val="center"/>
          </w:tcPr>
          <w:p w14:paraId="1216BC66"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126" w:type="dxa"/>
            <w:vMerge/>
            <w:vAlign w:val="center"/>
          </w:tcPr>
          <w:p w14:paraId="1216BC67"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4" w:type="dxa"/>
            <w:vMerge/>
            <w:vAlign w:val="center"/>
          </w:tcPr>
          <w:p w14:paraId="1216BC68"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2415" w:type="dxa"/>
            <w:vMerge/>
            <w:vAlign w:val="center"/>
          </w:tcPr>
          <w:p w14:paraId="1216BC69"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59" w:type="dxa"/>
            <w:vMerge/>
            <w:vAlign w:val="center"/>
          </w:tcPr>
          <w:p w14:paraId="1216BC6A"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B"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Unité de mesure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C"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Données de référence</w:t>
            </w: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D"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Objectif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E"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Trimestre</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F"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Année</w:t>
            </w:r>
          </w:p>
        </w:tc>
        <w:tc>
          <w:tcPr>
            <w:tcW w:w="2557" w:type="dxa"/>
            <w:vMerge/>
            <w:vAlign w:val="center"/>
          </w:tcPr>
          <w:p w14:paraId="1216BC70"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C4798" w14:paraId="1216BC7D"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2"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C1L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3"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 xml:space="preserve">C1.2 Accroître le niveau d'accessibilité et d'utilisation des communications câblées et sans fil modernes pour répondre aux besoins sociaux et économiques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4"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5" w14:textId="5D275A0B" w:rsidR="003C4798" w:rsidRDefault="00417595">
            <w:pPr>
              <w:pStyle w:val="P68B1DB1-Normal062"/>
              <w:pBdr>
                <w:top w:val="nil"/>
                <w:left w:val="nil"/>
                <w:bottom w:val="nil"/>
                <w:right w:val="nil"/>
                <w:between w:val="nil"/>
              </w:pBdr>
              <w:spacing w:after="0" w:line="240" w:lineRule="auto"/>
              <w:rPr>
                <w:noProof/>
                <w:color w:val="006100"/>
              </w:rPr>
            </w:pPr>
            <w:r>
              <w:rPr>
                <w:noProof/>
              </w:rPr>
              <w:t>Modification du règlement du 17 février 2020 relatif à la surveillance des émissions de champs électromagnétiques dans l’environnement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6"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 xml:space="preserve">Disposition modificative du règlement indiquant son entrée en vigueur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7"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8"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9"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A"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B"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2022</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C" w14:textId="285574F1" w:rsidR="003C4798" w:rsidRDefault="00417595">
            <w:pPr>
              <w:pStyle w:val="P68B1DB1-Normal021"/>
              <w:pBdr>
                <w:top w:val="nil"/>
                <w:left w:val="nil"/>
                <w:bottom w:val="nil"/>
                <w:right w:val="nil"/>
                <w:between w:val="nil"/>
              </w:pBdr>
              <w:spacing w:after="0" w:line="240" w:lineRule="auto"/>
              <w:rPr>
                <w:noProof/>
                <w:color w:val="006100"/>
              </w:rPr>
            </w:pPr>
            <w:r>
              <w:rPr>
                <w:noProof/>
                <w:color w:val="000000" w:themeColor="text1"/>
              </w:rPr>
              <w:t>Entrée en vigueur d’une modification du règlement du 17</w:t>
            </w:r>
            <w:r>
              <w:rPr>
                <w:noProof/>
              </w:rPr>
              <w:t> </w:t>
            </w:r>
            <w:r>
              <w:rPr>
                <w:noProof/>
                <w:color w:val="000000" w:themeColor="text1"/>
              </w:rPr>
              <w:t>février</w:t>
            </w:r>
            <w:r>
              <w:rPr>
                <w:noProof/>
              </w:rPr>
              <w:t> </w:t>
            </w:r>
            <w:r>
              <w:rPr>
                <w:noProof/>
                <w:color w:val="000000" w:themeColor="text1"/>
              </w:rPr>
              <w:t>2020 relatif aux méthodes de mesure des émissions de champs électromagnétiques dans l’environnement.</w:t>
            </w:r>
          </w:p>
        </w:tc>
      </w:tr>
      <w:tr w:rsidR="003C4798" w14:paraId="1216BC89"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E"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C2L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F"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 xml:space="preserve">C1.2 Accroître le niveau d'accessibilité et d'utilisation des communications câblées et sans fil modernes pour répondre aux besoins sociaux et économiques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0"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1" w14:textId="016F5D28" w:rsidR="003C4798" w:rsidRDefault="00417595">
            <w:pPr>
              <w:pStyle w:val="P68B1DB1-Normal062"/>
              <w:pBdr>
                <w:top w:val="nil"/>
                <w:left w:val="nil"/>
                <w:bottom w:val="nil"/>
                <w:right w:val="nil"/>
                <w:between w:val="nil"/>
              </w:pBdr>
              <w:spacing w:after="0" w:line="240" w:lineRule="auto"/>
              <w:rPr>
                <w:noProof/>
                <w:color w:val="006100"/>
              </w:rPr>
            </w:pPr>
            <w:r>
              <w:rPr>
                <w:noProof/>
              </w:rPr>
              <w:t>Modification du règlement du Conseil des ministres du 10 septembre 2019 relatif à l’évaluation des incidences sur l’environnement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2" w14:textId="0A315299"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Disposition de la modification du règlement indiquant son 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3"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4"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5"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6"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7"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2022</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8" w14:textId="7173F7DF" w:rsidR="003C4798" w:rsidRDefault="00417595">
            <w:pPr>
              <w:pStyle w:val="P68B1DB1-Normal062"/>
              <w:pBdr>
                <w:top w:val="nil"/>
                <w:left w:val="nil"/>
                <w:bottom w:val="nil"/>
                <w:right w:val="nil"/>
                <w:between w:val="nil"/>
              </w:pBdr>
              <w:spacing w:after="0" w:line="240" w:lineRule="auto"/>
              <w:rPr>
                <w:noProof/>
                <w:color w:val="006100"/>
              </w:rPr>
            </w:pPr>
            <w:r>
              <w:rPr>
                <w:noProof/>
              </w:rPr>
              <w:t>Entrée en vigueur d’une modification du règlement sur les projets susceptibles d’avoir une incidence significative sur l’environnement, qui exclut les investissements dans les radiocommunications du catalogue des projets nécessitant une évaluation des incidences sur l’environnement.</w:t>
            </w:r>
          </w:p>
        </w:tc>
      </w:tr>
      <w:tr w:rsidR="003C4798" w14:paraId="1216BC95"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A"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C3L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B"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 xml:space="preserve">C1.2 Accroître le niveau d'accessibilité et d'utilisation des communications câblées et sans fil modernes pour répondre aux besoins sociaux et économiques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C"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D" w14:textId="08F925CE"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Nouvel(s) acte(s) juridique(s) supprimant les principaux obstacles à la mise en œuvre du réseau 5G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E" w14:textId="592C0E66"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Disposition du ou des actes juridiques indiquant son 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F"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0"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1"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2"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3"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2023</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4" w14:textId="77777777" w:rsidR="003C4798" w:rsidRDefault="00417595">
            <w:pPr>
              <w:pStyle w:val="P68B1DB1-Normal021"/>
              <w:pBdr>
                <w:top w:val="nil"/>
                <w:left w:val="nil"/>
                <w:bottom w:val="nil"/>
                <w:right w:val="nil"/>
                <w:between w:val="nil"/>
              </w:pBdr>
              <w:spacing w:after="0" w:line="240" w:lineRule="auto"/>
              <w:rPr>
                <w:noProof/>
                <w:color w:val="006100"/>
              </w:rPr>
            </w:pPr>
            <w:r>
              <w:rPr>
                <w:noProof/>
                <w:color w:val="000000" w:themeColor="text1"/>
              </w:rPr>
              <w:t>Entrée en vigueur du ou des actes juridiques qui suppriment les principaux obstacles suivants à la mise en œuvre des réseaux 5G: 1) Procédure excessivement compliquée concernant l'attribution des fréquences aux fins du développement du réseau 5G, 2) Définition insuffisante des concepts pertinents pour la mise en œuvre du réseau 5G, 3) bureaucratisation excessive des procédures administratives, 4) limitation de l'accès à l'infrastructure technique publique, 5)</w:t>
            </w:r>
            <w:r>
              <w:rPr>
                <w:noProof/>
              </w:rPr>
              <w:t xml:space="preserve"> </w:t>
            </w:r>
            <w:r>
              <w:rPr>
                <w:noProof/>
                <w:color w:val="000000" w:themeColor="text1"/>
              </w:rPr>
              <w:t>Solutions réglementaires insuffisantes pour soutenir le développement du réseau 5G.</w:t>
            </w:r>
          </w:p>
        </w:tc>
      </w:tr>
      <w:tr w:rsidR="003C4798" w14:paraId="1216BCA3"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6"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C8L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7" w14:textId="77777777" w:rsidR="003C4798" w:rsidRDefault="00417595">
            <w:pPr>
              <w:pStyle w:val="P68B1DB1-Normal062"/>
              <w:pBdr>
                <w:top w:val="nil"/>
                <w:left w:val="nil"/>
                <w:bottom w:val="nil"/>
                <w:right w:val="nil"/>
                <w:between w:val="nil"/>
              </w:pBdr>
              <w:spacing w:after="0" w:line="240" w:lineRule="auto"/>
              <w:rPr>
                <w:noProof/>
              </w:rPr>
            </w:pPr>
            <w:r>
              <w:rPr>
                <w:noProof/>
              </w:rPr>
              <w:t>C2.2 Réformer les fondements de la numérisation du système éducatif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8"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9" w14:textId="77777777" w:rsidR="003C4798" w:rsidRDefault="00417595">
            <w:pPr>
              <w:pStyle w:val="P68B1DB1-Normal062"/>
              <w:pBdr>
                <w:top w:val="nil"/>
                <w:left w:val="nil"/>
                <w:bottom w:val="nil"/>
                <w:right w:val="nil"/>
                <w:between w:val="nil"/>
              </w:pBdr>
              <w:spacing w:after="0" w:line="240" w:lineRule="auto"/>
              <w:rPr>
                <w:noProof/>
              </w:rPr>
            </w:pPr>
            <w:r>
              <w:rPr>
                <w:noProof/>
              </w:rPr>
              <w:t>Adoption d'une nouvelle politique de numérisation de l'éducation, constituant la base des changements dans le système éducatif et de la mise en œuvre des investissements dans les TIC et définissant les orientations de la numérisation du processus du système éducatif à court et à long terme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A" w14:textId="77777777" w:rsidR="003C4798" w:rsidRDefault="00417595">
            <w:pPr>
              <w:pStyle w:val="P68B1DB1-Normal062"/>
              <w:pBdr>
                <w:top w:val="nil"/>
                <w:left w:val="nil"/>
                <w:bottom w:val="nil"/>
                <w:right w:val="nil"/>
                <w:between w:val="nil"/>
              </w:pBdr>
              <w:spacing w:after="0" w:line="240" w:lineRule="auto"/>
              <w:rPr>
                <w:noProof/>
              </w:rPr>
            </w:pPr>
            <w:r>
              <w:rPr>
                <w:noProof/>
              </w:rPr>
              <w:t>Adoption de la politique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B"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C"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D"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E"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F"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2022</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0" w14:textId="213A6E82" w:rsidR="003C4798" w:rsidRDefault="00417595">
            <w:pPr>
              <w:pStyle w:val="P68B1DB1-Normal062"/>
              <w:pBdr>
                <w:top w:val="nil"/>
                <w:left w:val="nil"/>
                <w:bottom w:val="nil"/>
                <w:right w:val="nil"/>
                <w:between w:val="nil"/>
              </w:pBdr>
              <w:spacing w:after="0" w:line="240" w:lineRule="auto"/>
              <w:rPr>
                <w:noProof/>
              </w:rPr>
            </w:pPr>
            <w:r>
              <w:rPr>
                <w:noProof/>
              </w:rPr>
              <w:t>Adoption par le Conseil des ministres d'une résolution sur la politique de numérisation du domaine de l'éducation, ayant la nature d'un programme et d'un document stratégique, fixant le cadre de la politique de l'État et des activités entreprises dans le domaine de la numérisation de l'éducation à court, moyen et long terme.</w:t>
            </w:r>
          </w:p>
          <w:p w14:paraId="1216BCA1" w14:textId="77777777" w:rsidR="003C4798" w:rsidRDefault="003C4798">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1216BCA2" w14:textId="59AE2A2C" w:rsidR="003C4798" w:rsidRDefault="00417595">
            <w:pPr>
              <w:pStyle w:val="P68B1DB1-Normal062"/>
              <w:pBdr>
                <w:top w:val="nil"/>
                <w:left w:val="nil"/>
                <w:bottom w:val="nil"/>
                <w:right w:val="nil"/>
                <w:between w:val="nil"/>
              </w:pBdr>
              <w:spacing w:after="0" w:line="240" w:lineRule="auto"/>
              <w:rPr>
                <w:noProof/>
              </w:rPr>
            </w:pPr>
            <w:r>
              <w:rPr>
                <w:noProof/>
              </w:rPr>
              <w:t>Ce document constitue la base des activités des parties prenantes et des acteurs-participants et définit les outils permettant de parvenir à un système éducatif entièrement numérisé et adapté aux défis contemporains de l’environnement préscolaire et de l’enseignement général. La politique comprend le plan de mise en œuvre, les mesures d'évaluation et de suivi et est élaborée selon une approche participative.</w:t>
            </w:r>
          </w:p>
        </w:tc>
      </w:tr>
      <w:tr w:rsidR="003C4798" w14:paraId="1216BCB0" w14:textId="77777777" w:rsidTr="00DA6ACB">
        <w:trPr>
          <w:trHeight w:val="269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4" w14:textId="77777777" w:rsidR="003C4798" w:rsidRDefault="00417595">
            <w:pPr>
              <w:pStyle w:val="P68B1DB1-Normal021"/>
              <w:spacing w:line="240" w:lineRule="auto"/>
              <w:jc w:val="center"/>
              <w:rPr>
                <w:noProof/>
              </w:rPr>
            </w:pPr>
            <w:r>
              <w:rPr>
                <w:noProof/>
              </w:rPr>
              <w:t>C9L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5" w14:textId="77777777" w:rsidR="003C4798" w:rsidRDefault="00417595">
            <w:pPr>
              <w:pStyle w:val="P68B1DB1-Normal062"/>
              <w:spacing w:line="240" w:lineRule="auto"/>
              <w:rPr>
                <w:noProof/>
                <w:color w:val="000000" w:themeColor="text1"/>
              </w:rPr>
            </w:pPr>
            <w:r>
              <w:rPr>
                <w:noProof/>
              </w:rPr>
              <w:t>C2.2.1 Doter les écoles/institutions de dispositifs et d'infrastructures TIC adéquats pour améliorer les performances globales du système éducatif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6" w14:textId="77777777" w:rsidR="003C4798" w:rsidRDefault="00417595">
            <w:pPr>
              <w:pStyle w:val="P68B1DB1-Normal062"/>
              <w:spacing w:line="240" w:lineRule="auto"/>
              <w:jc w:val="center"/>
              <w:rPr>
                <w:noProof/>
                <w:color w:val="000000" w:themeColor="text1"/>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7" w14:textId="77777777" w:rsidR="003C4798" w:rsidRDefault="00417595">
            <w:pPr>
              <w:pStyle w:val="P68B1DB1-Normal062"/>
              <w:spacing w:line="240" w:lineRule="auto"/>
              <w:rPr>
                <w:noProof/>
                <w:color w:val="000000" w:themeColor="text1"/>
              </w:rPr>
            </w:pPr>
            <w:r>
              <w:rPr>
                <w:noProof/>
              </w:rPr>
              <w:t>Consultation publique sur le cadre définissant les procédures de distribution d'équipements TIC et de fourniture d'infrastructures aux écoles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8" w14:textId="77777777" w:rsidR="003C4798" w:rsidRDefault="00417595">
            <w:pPr>
              <w:pStyle w:val="P68B1DB1-Normal062"/>
              <w:spacing w:line="240" w:lineRule="auto"/>
              <w:rPr>
                <w:noProof/>
                <w:color w:val="000000" w:themeColor="text1"/>
              </w:rPr>
            </w:pPr>
            <w:r>
              <w:rPr>
                <w:noProof/>
              </w:rPr>
              <w:t>Rapport résumant les résultats de la consultation publique et la réponse suivante du gouvernement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9" w14:textId="77777777" w:rsidR="003C4798" w:rsidRDefault="003C4798">
            <w:pPr>
              <w:pStyle w:val="Normal0"/>
              <w:spacing w:line="240" w:lineRule="auto"/>
              <w:jc w:val="center"/>
              <w:rPr>
                <w:rFonts w:ascii="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A" w14:textId="77777777" w:rsidR="003C4798" w:rsidRDefault="003C4798">
            <w:pPr>
              <w:pStyle w:val="Normal0"/>
              <w:spacing w:line="240" w:lineRule="auto"/>
              <w:jc w:val="center"/>
              <w:rPr>
                <w:rFonts w:ascii="Times New Roman" w:hAnsi="Times New Roman" w:cs="Times New Roman"/>
                <w:noProof/>
                <w:color w:val="000000" w:themeColor="text1"/>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B" w14:textId="77777777" w:rsidR="003C4798" w:rsidRDefault="003C4798">
            <w:pPr>
              <w:pStyle w:val="Normal0"/>
              <w:spacing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C" w14:textId="77777777" w:rsidR="003C4798" w:rsidRDefault="00417595">
            <w:pPr>
              <w:pStyle w:val="P68B1DB1-Normal062"/>
              <w:spacing w:line="240" w:lineRule="auto"/>
              <w:jc w:val="center"/>
              <w:rPr>
                <w:noProof/>
                <w:color w:val="000000" w:themeColor="text1"/>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D" w14:textId="77777777" w:rsidR="003C4798" w:rsidRDefault="00417595">
            <w:pPr>
              <w:pStyle w:val="P68B1DB1-Normal062"/>
              <w:spacing w:line="240" w:lineRule="auto"/>
              <w:jc w:val="center"/>
              <w:rPr>
                <w:noProof/>
                <w:color w:val="000000" w:themeColor="text1"/>
              </w:rPr>
            </w:pPr>
            <w:r>
              <w:rPr>
                <w:noProof/>
              </w:rPr>
              <w:t>2022</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E" w14:textId="77777777" w:rsidR="003C4798" w:rsidRDefault="00417595">
            <w:pPr>
              <w:pStyle w:val="P68B1DB1-Normal34"/>
              <w:spacing w:line="240" w:lineRule="auto"/>
              <w:rPr>
                <w:noProof/>
              </w:rPr>
            </w:pPr>
            <w:r>
              <w:rPr>
                <w:noProof/>
              </w:rPr>
              <w:t>Consultation publique associant différentes parties prenantes et partenaires sociaux sur le cadre pour la distribution d’équipements TIC (kit informatique pour l’enseignement à distance) et pour la fourniture d’infrastructures (connexion LAN, laboratoires STEM et AI) aux écoles.</w:t>
            </w:r>
          </w:p>
          <w:p w14:paraId="1216BCAF" w14:textId="77777777" w:rsidR="003C4798" w:rsidRDefault="00417595">
            <w:pPr>
              <w:pStyle w:val="P68B1DB1-Normal34"/>
              <w:spacing w:after="0" w:line="240" w:lineRule="auto"/>
              <w:rPr>
                <w:noProof/>
              </w:rPr>
            </w:pPr>
            <w:r>
              <w:rPr>
                <w:noProof/>
              </w:rPr>
              <w:t>Les résultats de la consultation sont résumés dans un rapport contenant les principales observations des parties prenantes et des partenaires sociaux ainsi que les suites données par le gouvernement à ces observations.</w:t>
            </w:r>
          </w:p>
        </w:tc>
      </w:tr>
      <w:tr w:rsidR="003C4798" w14:paraId="1216BCC0"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1"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C10L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2" w14:textId="77777777" w:rsidR="003C4798" w:rsidRDefault="00417595">
            <w:pPr>
              <w:pStyle w:val="P68B1DB1-Normal062"/>
              <w:pBdr>
                <w:top w:val="nil"/>
                <w:left w:val="nil"/>
                <w:bottom w:val="nil"/>
                <w:right w:val="nil"/>
                <w:between w:val="nil"/>
              </w:pBdr>
              <w:spacing w:after="0" w:line="240" w:lineRule="auto"/>
              <w:rPr>
                <w:noProof/>
              </w:rPr>
            </w:pPr>
            <w:r>
              <w:rPr>
                <w:noProof/>
              </w:rPr>
              <w:t>C2.2.1 Doter les écoles/institutions de dispositifs et d'infrastructures TIC adéquats pour améliorer les performances globales du système éducatif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3"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4" w14:textId="77777777" w:rsidR="003C4798" w:rsidRDefault="00417595">
            <w:pPr>
              <w:pStyle w:val="P68B1DB1-Normal062"/>
              <w:pBdr>
                <w:top w:val="nil"/>
                <w:left w:val="nil"/>
                <w:bottom w:val="nil"/>
                <w:right w:val="nil"/>
                <w:between w:val="nil"/>
              </w:pBdr>
              <w:spacing w:after="0" w:line="240" w:lineRule="auto"/>
              <w:rPr>
                <w:noProof/>
              </w:rPr>
            </w:pPr>
            <w:r>
              <w:rPr>
                <w:noProof/>
              </w:rPr>
              <w:t>Cadre définissant les procédures de distribution des dispositifs TIC et de fourniture d’infrastructures aux écoles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5" w14:textId="109D31BE" w:rsidR="003C4798" w:rsidRDefault="00417595">
            <w:pPr>
              <w:pStyle w:val="P68B1DB1-Normal062"/>
              <w:pBdr>
                <w:top w:val="nil"/>
                <w:left w:val="nil"/>
                <w:bottom w:val="nil"/>
                <w:right w:val="nil"/>
                <w:between w:val="nil"/>
              </w:pBdr>
              <w:spacing w:after="0" w:line="240" w:lineRule="auto"/>
              <w:rPr>
                <w:noProof/>
              </w:rPr>
            </w:pPr>
            <w:r>
              <w:rPr>
                <w:noProof/>
              </w:rPr>
              <w:t xml:space="preserve">Adoption par le Ministère de l ' éducation et des sciences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6"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7"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8"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9"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A"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2023</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B" w14:textId="77777777" w:rsidR="003C4798" w:rsidRDefault="00417595">
            <w:pPr>
              <w:pStyle w:val="P68B1DB1-Normal34"/>
              <w:spacing w:after="0" w:line="240" w:lineRule="auto"/>
              <w:rPr>
                <w:noProof/>
              </w:rPr>
            </w:pPr>
            <w:r>
              <w:rPr>
                <w:noProof/>
              </w:rPr>
              <w:t xml:space="preserve">Le cadre définit les conditions minimales pour la distribution d’équipements TIC et pour la fourniture d’infrastructures aux écoles bénéficiaires, telles qu’elles résultent de la consultation publique préalable avec les différentes parties prenantes et les partenaires sociaux. </w:t>
            </w:r>
          </w:p>
          <w:p w14:paraId="1216BCBC" w14:textId="77777777" w:rsidR="003C4798" w:rsidRDefault="003C4798">
            <w:pPr>
              <w:spacing w:after="0" w:line="240" w:lineRule="auto"/>
              <w:rPr>
                <w:rFonts w:ascii="Times New Roman" w:hAnsi="Times New Roman" w:cs="Times New Roman"/>
                <w:noProof/>
                <w:color w:val="000000" w:themeColor="text1"/>
                <w:sz w:val="18"/>
                <w:szCs w:val="18"/>
              </w:rPr>
            </w:pPr>
          </w:p>
          <w:p w14:paraId="1216BCBD" w14:textId="77777777" w:rsidR="003C4798" w:rsidRDefault="00417595">
            <w:pPr>
              <w:pStyle w:val="P68B1DB1-Normal34"/>
              <w:spacing w:after="0" w:line="240" w:lineRule="auto"/>
              <w:rPr>
                <w:noProof/>
              </w:rPr>
            </w:pPr>
            <w:r>
              <w:rPr>
                <w:noProof/>
              </w:rPr>
              <w:t>Le cadre définit des critères clairs pour la sélection des écoles bénéficiaires, reflétant les besoins en équipements et infrastructures TIC, tels que les laboratoires, et leur incidence potentielle sur les performances éducatives des écoles.</w:t>
            </w:r>
          </w:p>
          <w:p w14:paraId="1216BCBE" w14:textId="77777777" w:rsidR="003C4798" w:rsidRDefault="003C4798">
            <w:pPr>
              <w:spacing w:after="0" w:line="240" w:lineRule="auto"/>
              <w:rPr>
                <w:rFonts w:ascii="Times New Roman" w:hAnsi="Times New Roman" w:cs="Times New Roman"/>
                <w:noProof/>
                <w:color w:val="000000" w:themeColor="text1"/>
                <w:sz w:val="18"/>
                <w:szCs w:val="18"/>
              </w:rPr>
            </w:pPr>
          </w:p>
          <w:p w14:paraId="1216BCBF" w14:textId="77777777" w:rsidR="003C4798" w:rsidRDefault="00417595">
            <w:pPr>
              <w:pStyle w:val="P68B1DB1-Normal34"/>
              <w:spacing w:after="0" w:line="240" w:lineRule="auto"/>
              <w:rPr>
                <w:noProof/>
              </w:rPr>
            </w:pPr>
            <w:r>
              <w:rPr>
                <w:noProof/>
              </w:rPr>
              <w:t>Compte tenu des besoins des différentes écoles bénéficiaires, l’appel d’offres suivant concernant la fourniture d’infrastructures et d’équipements TIC est égal, ouvert, transparent et équitable et garantit une répartition équilibrée entre les écoles dans l’ensemble du pays, sur la base de la population et de la couverture géographique.</w:t>
            </w:r>
          </w:p>
        </w:tc>
      </w:tr>
      <w:tr w:rsidR="003C4798" w14:paraId="1216BCCC"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1"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C12L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2" w14:textId="77777777" w:rsidR="003C4798" w:rsidRDefault="00417595">
            <w:pPr>
              <w:pStyle w:val="P68B1DB1-Normal062"/>
              <w:pBdr>
                <w:top w:val="nil"/>
                <w:left w:val="nil"/>
                <w:bottom w:val="nil"/>
                <w:right w:val="nil"/>
                <w:between w:val="nil"/>
              </w:pBdr>
              <w:spacing w:after="0" w:line="240" w:lineRule="auto"/>
              <w:rPr>
                <w:noProof/>
              </w:rPr>
            </w:pPr>
            <w:r>
              <w:rPr>
                <w:noProof/>
              </w:rPr>
              <w:t xml:space="preserve">C2.2.1 Les technologies numériques dans l'enseignement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3"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Objectif</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4" w14:textId="36D0BBE5" w:rsidR="003C4798" w:rsidRDefault="00417595">
            <w:pPr>
              <w:pStyle w:val="P68B1DB1-Normal029"/>
              <w:pBdr>
                <w:top w:val="nil"/>
                <w:left w:val="nil"/>
                <w:bottom w:val="nil"/>
                <w:right w:val="nil"/>
                <w:between w:val="nil"/>
              </w:pBdr>
              <w:spacing w:after="0" w:line="240" w:lineRule="auto"/>
              <w:rPr>
                <w:noProof/>
              </w:rPr>
            </w:pPr>
            <w:r>
              <w:rPr>
                <w:noProof/>
              </w:rPr>
              <w:t>Kits TIC («Zestaw») livrés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5"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6"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Numéro</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7"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0</w:t>
            </w: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8" w14:textId="77777777" w:rsidR="003C4798" w:rsidRDefault="00417595">
            <w:pPr>
              <w:pStyle w:val="P68B1DB1-Normal024"/>
              <w:pBdr>
                <w:top w:val="nil"/>
                <w:left w:val="nil"/>
                <w:bottom w:val="nil"/>
                <w:right w:val="nil"/>
                <w:between w:val="nil"/>
              </w:pBdr>
              <w:spacing w:after="0" w:line="240" w:lineRule="auto"/>
              <w:jc w:val="center"/>
              <w:rPr>
                <w:rFonts w:ascii="Times New Roman" w:hAnsi="Times New Roman" w:cs="Times New Roman"/>
                <w:noProof/>
                <w:color w:val="000000" w:themeColor="text1"/>
              </w:rPr>
            </w:pPr>
            <w:r>
              <w:rPr>
                <w:rFonts w:ascii="Times New Roman" w:hAnsi="Times New Roman" w:cs="Times New Roman"/>
                <w:noProof/>
                <w:color w:val="000000" w:themeColor="text1"/>
              </w:rPr>
              <w:t>13</w:t>
            </w:r>
            <w:r>
              <w:rPr>
                <w:rFonts w:ascii="Times New Roman" w:eastAsia="Times New Roman" w:hAnsi="Times New Roman" w:cs="Times New Roman"/>
                <w:noProof/>
                <w:color w:val="006100"/>
              </w:rPr>
              <w:t xml:space="preserve"> </w:t>
            </w:r>
            <w:r>
              <w:rPr>
                <w:rFonts w:ascii="Times New Roman" w:hAnsi="Times New Roman" w:cs="Times New Roman"/>
                <w:noProof/>
                <w:color w:val="000000" w:themeColor="text1"/>
              </w:rPr>
              <w:t>900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9"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A"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2026</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B" w14:textId="133D60D8" w:rsidR="003C4798" w:rsidRDefault="00417595">
            <w:pPr>
              <w:pStyle w:val="P68B1DB1-Normal062"/>
              <w:spacing w:after="0" w:line="240" w:lineRule="auto"/>
              <w:rPr>
                <w:rFonts w:eastAsia="Times New Roman"/>
                <w:noProof/>
                <w:color w:val="000000" w:themeColor="text1"/>
              </w:rPr>
            </w:pPr>
            <w:r>
              <w:rPr>
                <w:noProof/>
              </w:rPr>
              <w:t>Livraison de kits TIC («Zestaw») à 13 900 écoles, directement ou par l’intermédiaire des autorités de gestion des écoles, comme indiqué dans les protocoles d’acceptation.</w:t>
            </w:r>
          </w:p>
        </w:tc>
      </w:tr>
      <w:tr w:rsidR="003C4798" w14:paraId="1216BCD8" w14:textId="77777777" w:rsidTr="00DA6ACB">
        <w:trPr>
          <w:trHeight w:val="531"/>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D" w14:textId="77777777" w:rsidR="003C4798" w:rsidRDefault="00417595">
            <w:pPr>
              <w:pStyle w:val="P68B1DB1-Normal021"/>
              <w:spacing w:line="240" w:lineRule="auto"/>
              <w:jc w:val="center"/>
              <w:rPr>
                <w:noProof/>
              </w:rPr>
            </w:pPr>
            <w:r>
              <w:rPr>
                <w:noProof/>
              </w:rPr>
              <w:t>C13aL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E" w14:textId="77777777" w:rsidR="003C4798" w:rsidRDefault="00417595">
            <w:pPr>
              <w:pStyle w:val="P68B1DB1-Normal062"/>
              <w:spacing w:line="240" w:lineRule="auto"/>
              <w:rPr>
                <w:noProof/>
                <w:color w:val="000000" w:themeColor="text1"/>
              </w:rPr>
            </w:pPr>
            <w:r>
              <w:rPr>
                <w:noProof/>
              </w:rPr>
              <w:t>C2.2.1 Les technologies numériques dans l'enseignement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F" w14:textId="77777777" w:rsidR="003C4798" w:rsidRDefault="00417595">
            <w:pPr>
              <w:pStyle w:val="P68B1DB1-Normal062"/>
              <w:spacing w:line="240" w:lineRule="auto"/>
              <w:jc w:val="center"/>
              <w:rPr>
                <w:noProof/>
                <w:color w:val="000000" w:themeColor="text1"/>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0" w14:textId="00C50F18" w:rsidR="003C4798" w:rsidRDefault="00417595">
            <w:pPr>
              <w:pStyle w:val="P68B1DB1-Normal062"/>
              <w:spacing w:line="240" w:lineRule="auto"/>
              <w:rPr>
                <w:noProof/>
                <w:color w:val="000000" w:themeColor="text1"/>
              </w:rPr>
            </w:pPr>
            <w:r>
              <w:rPr>
                <w:noProof/>
              </w:rPr>
              <w:t>Accord(s)-cadre(s) pour les laboratoires d’intelligence artificielle (IA)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1" w14:textId="18D11CC7" w:rsidR="003C4798" w:rsidRDefault="00417595">
            <w:pPr>
              <w:pStyle w:val="P68B1DB1-Normal062"/>
              <w:spacing w:line="240" w:lineRule="auto"/>
              <w:rPr>
                <w:noProof/>
                <w:color w:val="000000" w:themeColor="text1"/>
              </w:rPr>
            </w:pPr>
            <w:r>
              <w:rPr>
                <w:noProof/>
              </w:rPr>
              <w:t>Signature du ou des accords-cadres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2" w14:textId="77777777" w:rsidR="003C4798" w:rsidRDefault="003C4798">
            <w:pPr>
              <w:pStyle w:val="Normal0"/>
              <w:spacing w:line="240" w:lineRule="auto"/>
              <w:jc w:val="center"/>
              <w:rPr>
                <w:rFonts w:ascii="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3" w14:textId="77777777" w:rsidR="003C4798" w:rsidRDefault="003C4798">
            <w:pPr>
              <w:pStyle w:val="Normal0"/>
              <w:spacing w:line="240" w:lineRule="auto"/>
              <w:jc w:val="center"/>
              <w:rPr>
                <w:rFonts w:ascii="Times New Roman" w:hAnsi="Times New Roman" w:cs="Times New Roman"/>
                <w:noProof/>
                <w:color w:val="000000" w:themeColor="text1"/>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4" w14:textId="77777777" w:rsidR="003C4798" w:rsidRDefault="003C4798">
            <w:pPr>
              <w:pStyle w:val="Normal0"/>
              <w:spacing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5" w14:textId="77777777" w:rsidR="003C4798" w:rsidRDefault="00417595">
            <w:pPr>
              <w:pStyle w:val="P68B1DB1-Normal062"/>
              <w:spacing w:line="240" w:lineRule="auto"/>
              <w:jc w:val="center"/>
              <w:rPr>
                <w:noProof/>
                <w:color w:val="000000" w:themeColor="text1"/>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6" w14:textId="77777777" w:rsidR="003C4798" w:rsidRDefault="00417595">
            <w:pPr>
              <w:pStyle w:val="P68B1DB1-Normal062"/>
              <w:spacing w:line="240" w:lineRule="auto"/>
              <w:jc w:val="center"/>
              <w:rPr>
                <w:noProof/>
                <w:color w:val="000000" w:themeColor="text1"/>
              </w:rPr>
            </w:pPr>
            <w:r>
              <w:rPr>
                <w:noProof/>
              </w:rPr>
              <w:t>2026</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7" w14:textId="12DAED41" w:rsidR="003C4798" w:rsidRDefault="00417595">
            <w:pPr>
              <w:pStyle w:val="P68B1DB1-Normal062"/>
              <w:spacing w:line="240" w:lineRule="auto"/>
              <w:rPr>
                <w:noProof/>
                <w:color w:val="000000" w:themeColor="text1"/>
              </w:rPr>
            </w:pPr>
            <w:r>
              <w:rPr>
                <w:noProof/>
              </w:rPr>
              <w:t>Signature d’un ou de plusieurs accords-cadres fixant les conditions de passation des marchés publics pour la fourniture aux écoles de laboratoires d’intelligence artificielle (IA).</w:t>
            </w:r>
          </w:p>
        </w:tc>
      </w:tr>
      <w:tr w:rsidR="003C4798" w14:paraId="1216BCE4"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9" w14:textId="77777777" w:rsidR="003C4798" w:rsidRDefault="00417595">
            <w:pPr>
              <w:pStyle w:val="P68B1DB1-Normal021"/>
              <w:pBdr>
                <w:top w:val="nil"/>
                <w:left w:val="nil"/>
                <w:bottom w:val="nil"/>
                <w:right w:val="nil"/>
                <w:between w:val="nil"/>
              </w:pBdr>
              <w:spacing w:after="0" w:line="240" w:lineRule="auto"/>
              <w:jc w:val="center"/>
              <w:rPr>
                <w:noProof/>
              </w:rPr>
            </w:pPr>
            <w:r>
              <w:rPr>
                <w:noProof/>
              </w:rPr>
              <w:t>C13L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A" w14:textId="77777777" w:rsidR="003C4798" w:rsidRDefault="00417595">
            <w:pPr>
              <w:pStyle w:val="P68B1DB1-Normal062"/>
              <w:pBdr>
                <w:top w:val="nil"/>
                <w:left w:val="nil"/>
                <w:bottom w:val="nil"/>
                <w:right w:val="nil"/>
                <w:between w:val="nil"/>
              </w:pBdr>
              <w:spacing w:after="0" w:line="240" w:lineRule="auto"/>
              <w:rPr>
                <w:noProof/>
              </w:rPr>
            </w:pPr>
            <w:r>
              <w:rPr>
                <w:noProof/>
              </w:rPr>
              <w:t xml:space="preserve">C2.2.1 Les technologies numériques dans l'enseignement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B"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Objectif</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C" w14:textId="4B01E776" w:rsidR="003C4798" w:rsidRDefault="00417595">
            <w:pPr>
              <w:pStyle w:val="P68B1DB1-Normal062"/>
              <w:pBdr>
                <w:top w:val="nil"/>
                <w:left w:val="nil"/>
                <w:bottom w:val="nil"/>
                <w:right w:val="nil"/>
                <w:between w:val="nil"/>
              </w:pBdr>
              <w:spacing w:after="0" w:line="240" w:lineRule="auto"/>
              <w:rPr>
                <w:rFonts w:eastAsia="Times New Roman"/>
                <w:noProof/>
              </w:rPr>
            </w:pPr>
            <w:r>
              <w:rPr>
                <w:noProof/>
              </w:rPr>
              <w:t>Laboratoires d’intelligence artificielle (IA) («Zestaw») livrés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D" w14:textId="77777777" w:rsidR="003C4798" w:rsidRDefault="003C4798">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E"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Numéro</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F"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0</w:t>
            </w: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0" w14:textId="129B434C"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12 000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1"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2" w14:textId="77777777" w:rsidR="003C4798" w:rsidRDefault="00417595">
            <w:pPr>
              <w:pStyle w:val="P68B1DB1-Normal062"/>
              <w:pBdr>
                <w:top w:val="nil"/>
                <w:left w:val="nil"/>
                <w:bottom w:val="nil"/>
                <w:right w:val="nil"/>
                <w:between w:val="nil"/>
              </w:pBdr>
              <w:spacing w:after="0" w:line="240" w:lineRule="auto"/>
              <w:jc w:val="center"/>
              <w:rPr>
                <w:noProof/>
              </w:rPr>
            </w:pPr>
            <w:r>
              <w:rPr>
                <w:noProof/>
              </w:rPr>
              <w:t>2026</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3" w14:textId="3C77BDB5" w:rsidR="003C4798" w:rsidRDefault="00417595">
            <w:pPr>
              <w:pStyle w:val="P68B1DB1-Normal025"/>
              <w:pBdr>
                <w:top w:val="nil"/>
                <w:left w:val="nil"/>
                <w:bottom w:val="nil"/>
                <w:right w:val="nil"/>
                <w:between w:val="nil"/>
              </w:pBdr>
              <w:spacing w:after="0" w:line="240" w:lineRule="auto"/>
              <w:rPr>
                <w:noProof/>
                <w:color w:val="000000" w:themeColor="text1"/>
              </w:rPr>
            </w:pPr>
            <w:r>
              <w:rPr>
                <w:noProof/>
                <w:color w:val="000000" w:themeColor="text1"/>
              </w:rPr>
              <w:t>Livraison de laboratoires d’IA («Zestaw») à 12</w:t>
            </w:r>
            <w:r>
              <w:rPr>
                <w:noProof/>
                <w:color w:val="006100"/>
              </w:rPr>
              <w:t> </w:t>
            </w:r>
            <w:r>
              <w:rPr>
                <w:noProof/>
                <w:color w:val="000000" w:themeColor="text1"/>
              </w:rPr>
              <w:t>000 écoles, directement ou par l’intermédiaire des autorités de gestion des écoles, comme indiqué dans les protocoles d’acceptation.</w:t>
            </w:r>
          </w:p>
        </w:tc>
      </w:tr>
      <w:tr w:rsidR="003C4798" w14:paraId="1216BCF0"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5" w14:textId="77777777" w:rsidR="003C4798" w:rsidRDefault="00417595">
            <w:pPr>
              <w:pStyle w:val="P68B1DB1-Normal021"/>
              <w:spacing w:line="240" w:lineRule="auto"/>
              <w:jc w:val="center"/>
              <w:rPr>
                <w:noProof/>
              </w:rPr>
            </w:pPr>
            <w:r>
              <w:rPr>
                <w:noProof/>
              </w:rPr>
              <w:t>C15L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6" w14:textId="77777777" w:rsidR="003C4798" w:rsidRDefault="00417595">
            <w:pPr>
              <w:pStyle w:val="P68B1DB1-Normal062"/>
              <w:spacing w:line="240" w:lineRule="auto"/>
              <w:rPr>
                <w:noProof/>
                <w:color w:val="000000" w:themeColor="text1"/>
              </w:rPr>
            </w:pPr>
            <w:r>
              <w:rPr>
                <w:noProof/>
              </w:rPr>
              <w:t xml:space="preserve">C4.1.1 Prise en charge de la transformation numérique avancée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7" w14:textId="77777777" w:rsidR="003C4798" w:rsidRDefault="00417595">
            <w:pPr>
              <w:pStyle w:val="P68B1DB1-Normal062"/>
              <w:spacing w:line="240" w:lineRule="auto"/>
              <w:jc w:val="center"/>
              <w:rPr>
                <w:noProof/>
                <w:color w:val="000000" w:themeColor="text1"/>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8" w14:textId="77777777" w:rsidR="003C4798" w:rsidRDefault="00417595">
            <w:pPr>
              <w:pStyle w:val="P68B1DB1-Normal062"/>
              <w:spacing w:line="240" w:lineRule="auto"/>
              <w:rPr>
                <w:noProof/>
                <w:color w:val="000000" w:themeColor="text1"/>
              </w:rPr>
            </w:pPr>
            <w:r>
              <w:rPr>
                <w:noProof/>
              </w:rPr>
              <w:t>Guide sur le cloud computing pour les entreprises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9" w14:textId="77777777" w:rsidR="003C4798" w:rsidRDefault="00417595">
            <w:pPr>
              <w:pStyle w:val="P68B1DB1-Normal062"/>
              <w:spacing w:after="0" w:line="240" w:lineRule="auto"/>
              <w:rPr>
                <w:noProof/>
              </w:rPr>
            </w:pPr>
            <w:r>
              <w:rPr>
                <w:noProof/>
              </w:rPr>
              <w:t>Publication sur le site internet du ministère chargé de l'informatisation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A" w14:textId="77777777" w:rsidR="003C4798" w:rsidRDefault="003C4798">
            <w:pPr>
              <w:pStyle w:val="Normal0"/>
              <w:spacing w:line="240" w:lineRule="auto"/>
              <w:jc w:val="center"/>
              <w:rPr>
                <w:rFonts w:ascii="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B" w14:textId="77777777" w:rsidR="003C4798" w:rsidRDefault="003C4798">
            <w:pPr>
              <w:pStyle w:val="Normal0"/>
              <w:spacing w:line="240" w:lineRule="auto"/>
              <w:jc w:val="center"/>
              <w:rPr>
                <w:rFonts w:ascii="Times New Roman" w:hAnsi="Times New Roman" w:cs="Times New Roman"/>
                <w:noProof/>
                <w:color w:val="000000" w:themeColor="text1"/>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C" w14:textId="77777777" w:rsidR="003C4798" w:rsidRDefault="003C4798">
            <w:pPr>
              <w:pStyle w:val="Normal0"/>
              <w:spacing w:line="240" w:lineRule="auto"/>
              <w:jc w:val="center"/>
              <w:rPr>
                <w:rFonts w:ascii="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D" w14:textId="77777777" w:rsidR="003C4798" w:rsidRDefault="00417595">
            <w:pPr>
              <w:pStyle w:val="P68B1DB1-Normal062"/>
              <w:spacing w:line="240" w:lineRule="auto"/>
              <w:jc w:val="center"/>
              <w:rPr>
                <w:noProof/>
                <w:color w:val="000000" w:themeColor="text1"/>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E" w14:textId="77777777" w:rsidR="003C4798" w:rsidRDefault="00417595">
            <w:pPr>
              <w:pStyle w:val="P68B1DB1-Normal062"/>
              <w:spacing w:line="240" w:lineRule="auto"/>
              <w:jc w:val="center"/>
              <w:rPr>
                <w:noProof/>
                <w:color w:val="000000" w:themeColor="text1"/>
              </w:rPr>
            </w:pPr>
            <w:r>
              <w:rPr>
                <w:noProof/>
              </w:rPr>
              <w:t>2024</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F" w14:textId="22E0C976" w:rsidR="003C4798" w:rsidRDefault="00417595">
            <w:pPr>
              <w:pStyle w:val="P68B1DB1-Normal062"/>
              <w:spacing w:after="0" w:line="240" w:lineRule="auto"/>
              <w:rPr>
                <w:noProof/>
              </w:rPr>
            </w:pPr>
            <w:r>
              <w:rPr>
                <w:noProof/>
              </w:rPr>
              <w:t>Publication sur la page web du ministère responsable d’un guide sur l’informatique en nuage à l’intention des entreprises. Ce guide est un recueil de connaissances (y compris des questions fréquemment posées) sur l’utilisation de l’informatique en nuage dans la transformation numérique des entreprises.</w:t>
            </w:r>
          </w:p>
        </w:tc>
      </w:tr>
      <w:tr w:rsidR="003C4798" w14:paraId="1216BCFC"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1" w14:textId="77777777" w:rsidR="003C4798" w:rsidRDefault="00417595">
            <w:pPr>
              <w:pStyle w:val="P68B1DB1-Normal021"/>
              <w:spacing w:line="240" w:lineRule="auto"/>
              <w:jc w:val="center"/>
              <w:rPr>
                <w:noProof/>
              </w:rPr>
            </w:pPr>
            <w:r>
              <w:rPr>
                <w:noProof/>
              </w:rPr>
              <w:t>C16L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2" w14:textId="77777777" w:rsidR="003C4798" w:rsidRDefault="00417595">
            <w:pPr>
              <w:pStyle w:val="P68B1DB1-Normal062"/>
              <w:spacing w:line="240" w:lineRule="auto"/>
              <w:rPr>
                <w:noProof/>
                <w:color w:val="000000" w:themeColor="text1"/>
              </w:rPr>
            </w:pPr>
            <w:r>
              <w:rPr>
                <w:noProof/>
              </w:rPr>
              <w:t xml:space="preserve">C4.1.1 Prise en charge de la transformation numérique avancée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3" w14:textId="77777777" w:rsidR="003C4798" w:rsidRDefault="00417595">
            <w:pPr>
              <w:pStyle w:val="P68B1DB1-Normal062"/>
              <w:spacing w:line="240" w:lineRule="auto"/>
              <w:jc w:val="center"/>
              <w:rPr>
                <w:rFonts w:eastAsia="Times New Roman"/>
                <w:noProof/>
                <w:color w:val="000000" w:themeColor="text1"/>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4" w14:textId="77777777" w:rsidR="003C4798" w:rsidRDefault="00417595">
            <w:pPr>
              <w:pStyle w:val="P68B1DB1-Normal062"/>
              <w:spacing w:after="0" w:line="240" w:lineRule="auto"/>
              <w:rPr>
                <w:rFonts w:eastAsia="Times New Roman"/>
                <w:noProof/>
                <w:color w:val="000000" w:themeColor="text1"/>
              </w:rPr>
            </w:pPr>
            <w:r>
              <w:rPr>
                <w:noProof/>
              </w:rPr>
              <w:t>Accord de mise en œuvre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5" w14:textId="77777777" w:rsidR="003C4798" w:rsidRDefault="00417595">
            <w:pPr>
              <w:pStyle w:val="P68B1DB1-Normal062"/>
              <w:spacing w:after="0" w:line="240" w:lineRule="auto"/>
              <w:rPr>
                <w:noProof/>
                <w:color w:val="000000" w:themeColor="text1"/>
              </w:rPr>
            </w:pPr>
            <w:r>
              <w:rPr>
                <w:noProof/>
              </w:rPr>
              <w:t xml:space="preserve">Entrée en vigueur de l'accord de mise en œuvre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6" w14:textId="77777777" w:rsidR="003C4798" w:rsidRDefault="003C4798">
            <w:pPr>
              <w:pStyle w:val="Normal0"/>
              <w:spacing w:line="240" w:lineRule="auto"/>
              <w:jc w:val="center"/>
              <w:rPr>
                <w:rFonts w:ascii="Times New Roman" w:eastAsia="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7" w14:textId="77777777" w:rsidR="003C4798" w:rsidRDefault="003C4798">
            <w:pPr>
              <w:pStyle w:val="Normal0"/>
              <w:spacing w:line="240" w:lineRule="auto"/>
              <w:jc w:val="center"/>
              <w:rPr>
                <w:rFonts w:ascii="Times New Roman" w:eastAsia="Times New Roman" w:hAnsi="Times New Roman" w:cs="Times New Roman"/>
                <w:noProof/>
                <w:color w:val="000000" w:themeColor="text1"/>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8" w14:textId="77777777" w:rsidR="003C4798" w:rsidRDefault="003C4798">
            <w:pPr>
              <w:pStyle w:val="Normal0"/>
              <w:spacing w:line="240" w:lineRule="auto"/>
              <w:jc w:val="center"/>
              <w:rPr>
                <w:rFonts w:ascii="Times New Roman" w:eastAsia="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9" w14:textId="77777777" w:rsidR="003C4798" w:rsidRDefault="00417595">
            <w:pPr>
              <w:pStyle w:val="P68B1DB1-Normal062"/>
              <w:spacing w:line="240" w:lineRule="auto"/>
              <w:jc w:val="center"/>
              <w:rPr>
                <w:noProof/>
                <w:color w:val="000000" w:themeColor="text1"/>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A" w14:textId="77777777" w:rsidR="003C4798" w:rsidRDefault="00417595">
            <w:pPr>
              <w:pStyle w:val="P68B1DB1-Normal062"/>
              <w:spacing w:line="240" w:lineRule="auto"/>
              <w:jc w:val="center"/>
              <w:rPr>
                <w:noProof/>
                <w:color w:val="000000" w:themeColor="text1"/>
              </w:rPr>
            </w:pPr>
            <w:r>
              <w:rPr>
                <w:noProof/>
              </w:rPr>
              <w:t>2025</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B" w14:textId="77777777" w:rsidR="003C4798" w:rsidRDefault="00417595">
            <w:pPr>
              <w:pStyle w:val="P68B1DB1-Normal062"/>
              <w:spacing w:after="0" w:line="240" w:lineRule="auto"/>
              <w:rPr>
                <w:rFonts w:eastAsia="Times New Roman"/>
                <w:noProof/>
                <w:color w:val="000000" w:themeColor="text1"/>
              </w:rPr>
            </w:pPr>
            <w:r>
              <w:rPr>
                <w:noProof/>
              </w:rPr>
              <w:t>Entrée en vigueur de l'accord de mise en œuvre entre le ministre chargé de l'informatisation et la Bank Gospodarstwa Krajowego.</w:t>
            </w:r>
          </w:p>
        </w:tc>
      </w:tr>
      <w:tr w:rsidR="003C4798" w14:paraId="1216BD09"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D" w14:textId="77777777" w:rsidR="003C4798" w:rsidRDefault="00417595">
            <w:pPr>
              <w:pStyle w:val="P68B1DB1-Normal021"/>
              <w:spacing w:line="240" w:lineRule="auto"/>
              <w:jc w:val="center"/>
              <w:rPr>
                <w:noProof/>
              </w:rPr>
            </w:pPr>
            <w:r>
              <w:rPr>
                <w:noProof/>
              </w:rPr>
              <w:t>C17L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E" w14:textId="2D053695" w:rsidR="003C4798" w:rsidRDefault="00417595">
            <w:pPr>
              <w:pStyle w:val="P68B1DB1-Normal062"/>
              <w:spacing w:line="240" w:lineRule="auto"/>
              <w:rPr>
                <w:rFonts w:eastAsia="Times New Roman"/>
                <w:noProof/>
                <w:color w:val="000000" w:themeColor="text1"/>
              </w:rPr>
            </w:pPr>
            <w:r>
              <w:rPr>
                <w:noProof/>
              </w:rPr>
              <w:t>C4.1.1 Prise en charge de la transformation numérique avancée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F" w14:textId="77777777" w:rsidR="003C4798" w:rsidRDefault="00417595">
            <w:pPr>
              <w:pStyle w:val="P68B1DB1-Normal062"/>
              <w:spacing w:line="240" w:lineRule="auto"/>
              <w:jc w:val="center"/>
              <w:rPr>
                <w:rFonts w:eastAsia="Times New Roman"/>
                <w:noProof/>
                <w:color w:val="000000" w:themeColor="text1"/>
              </w:rPr>
            </w:pPr>
            <w:r>
              <w:rPr>
                <w:noProof/>
              </w:rPr>
              <w:t>Objectif</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0" w14:textId="77777777" w:rsidR="003C4798" w:rsidRDefault="00417595">
            <w:pPr>
              <w:pStyle w:val="P68B1DB1-Normal062"/>
              <w:spacing w:after="0" w:line="240" w:lineRule="auto"/>
              <w:rPr>
                <w:noProof/>
              </w:rPr>
            </w:pPr>
            <w:r>
              <w:rPr>
                <w:noProof/>
              </w:rPr>
              <w:t>Accords juridiques signés avec les bénéficiaires finaux</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1" w14:textId="77777777" w:rsidR="003C4798" w:rsidRDefault="003C4798">
            <w:pPr>
              <w:pStyle w:val="Normal0"/>
              <w:spacing w:line="240" w:lineRule="auto"/>
              <w:rPr>
                <w:rFonts w:ascii="Times New Roman" w:eastAsia="Times New Roman" w:hAnsi="Times New Roman" w:cs="Times New Roman"/>
                <w:noProof/>
                <w:color w:val="000000" w:themeColor="text1"/>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2" w14:textId="77777777" w:rsidR="003C4798" w:rsidRDefault="00417595">
            <w:pPr>
              <w:pStyle w:val="P68B1DB1-Normal062"/>
              <w:spacing w:after="0" w:line="240" w:lineRule="auto"/>
              <w:jc w:val="center"/>
              <w:rPr>
                <w:rFonts w:eastAsia="Times New Roman"/>
                <w:noProof/>
                <w:color w:val="000000" w:themeColor="text1"/>
              </w:rPr>
            </w:pPr>
            <w:r>
              <w:rPr>
                <w:noProof/>
              </w:rPr>
              <w:t>%</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3" w14:textId="77777777" w:rsidR="003C4798" w:rsidRDefault="00417595">
            <w:pPr>
              <w:pStyle w:val="P68B1DB1-Normal062"/>
              <w:spacing w:line="240" w:lineRule="auto"/>
              <w:jc w:val="center"/>
              <w:rPr>
                <w:rFonts w:eastAsia="Times New Roman"/>
                <w:noProof/>
                <w:color w:val="000000" w:themeColor="text1"/>
              </w:rPr>
            </w:pPr>
            <w:r>
              <w:rPr>
                <w:noProof/>
              </w:rPr>
              <w:t>0</w:t>
            </w: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4" w14:textId="77777777" w:rsidR="003C4798" w:rsidRDefault="00417595">
            <w:pPr>
              <w:pStyle w:val="P68B1DB1-Normal062"/>
              <w:spacing w:line="240" w:lineRule="auto"/>
              <w:jc w:val="center"/>
              <w:rPr>
                <w:rFonts w:eastAsia="Times New Roman"/>
                <w:noProof/>
                <w:color w:val="000000" w:themeColor="text1"/>
              </w:rPr>
            </w:pPr>
            <w:r>
              <w:rPr>
                <w:noProof/>
              </w:rPr>
              <w:t>100%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5" w14:textId="77777777" w:rsidR="003C4798" w:rsidRDefault="00417595">
            <w:pPr>
              <w:pStyle w:val="P68B1DB1-Normal062"/>
              <w:spacing w:line="240" w:lineRule="auto"/>
              <w:jc w:val="center"/>
              <w:rPr>
                <w:rFonts w:eastAsia="Times New Roman"/>
                <w:noProof/>
                <w:color w:val="000000" w:themeColor="text1"/>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6" w14:textId="77777777" w:rsidR="003C4798" w:rsidRDefault="00417595">
            <w:pPr>
              <w:pStyle w:val="P68B1DB1-Normal062"/>
              <w:spacing w:line="240" w:lineRule="auto"/>
              <w:jc w:val="center"/>
              <w:rPr>
                <w:rFonts w:eastAsia="Times New Roman"/>
                <w:noProof/>
                <w:color w:val="000000" w:themeColor="text1"/>
              </w:rPr>
            </w:pPr>
            <w:r>
              <w:rPr>
                <w:noProof/>
              </w:rPr>
              <w:t>2026</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7" w14:textId="77777777" w:rsidR="003C4798" w:rsidRDefault="00417595">
            <w:pPr>
              <w:pStyle w:val="P68B1DB1-Normal062"/>
              <w:spacing w:line="240" w:lineRule="auto"/>
              <w:rPr>
                <w:noProof/>
                <w:color w:val="000000" w:themeColor="text1"/>
              </w:rPr>
            </w:pPr>
            <w:r>
              <w:rPr>
                <w:noProof/>
              </w:rPr>
              <w:t>Bank Gospodarstwa Krajowego a conclu des conventions de financement légales avec les bénéficiaires finaux pour un montant nécessaire à l’utilisation de 100 % de l’investissement de la FRR dans la facilité (en tenant compte des frais de gestion).</w:t>
            </w:r>
          </w:p>
          <w:p w14:paraId="1216BD08" w14:textId="77777777" w:rsidR="003C4798" w:rsidRDefault="00417595">
            <w:pPr>
              <w:pStyle w:val="P68B1DB1-Normal029"/>
              <w:spacing w:line="240" w:lineRule="auto"/>
              <w:rPr>
                <w:noProof/>
              </w:rPr>
            </w:pPr>
            <w:r>
              <w:rPr>
                <w:noProof/>
              </w:rPr>
              <w:t>Au moins 40 % de ce financement contribuent à la réalisation des objectifs numériques en utilisant la méthodologie figurant à l’annexe VII du règlement FRR.</w:t>
            </w:r>
          </w:p>
        </w:tc>
      </w:tr>
      <w:tr w:rsidR="003C4798" w14:paraId="1216BD15" w14:textId="77777777" w:rsidTr="00DA6ACB">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A" w14:textId="77777777" w:rsidR="003C4798" w:rsidRDefault="00417595">
            <w:pPr>
              <w:pStyle w:val="P68B1DB1-Normal021"/>
              <w:spacing w:line="240" w:lineRule="auto"/>
              <w:jc w:val="center"/>
              <w:rPr>
                <w:noProof/>
              </w:rPr>
            </w:pPr>
            <w:r>
              <w:rPr>
                <w:noProof/>
              </w:rPr>
              <w:t>C18L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B" w14:textId="3C0BC048" w:rsidR="003C4798" w:rsidRDefault="00417595">
            <w:pPr>
              <w:pStyle w:val="P68B1DB1-Normal062"/>
              <w:spacing w:line="240" w:lineRule="auto"/>
              <w:rPr>
                <w:rFonts w:eastAsia="Times New Roman"/>
                <w:noProof/>
                <w:color w:val="000000" w:themeColor="text1"/>
              </w:rPr>
            </w:pPr>
            <w:r>
              <w:rPr>
                <w:noProof/>
              </w:rPr>
              <w:t>C4.1.1 Prise en charge de la transformation numérique avancée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C" w14:textId="77777777" w:rsidR="003C4798" w:rsidRDefault="00417595">
            <w:pPr>
              <w:pStyle w:val="P68B1DB1-Normal062"/>
              <w:spacing w:line="240" w:lineRule="auto"/>
              <w:jc w:val="center"/>
              <w:rPr>
                <w:rFonts w:eastAsia="Times New Roman"/>
                <w:noProof/>
                <w:color w:val="000000" w:themeColor="text1"/>
              </w:rPr>
            </w:pPr>
            <w:r>
              <w:rPr>
                <w:noProof/>
              </w:rPr>
              <w:t>Étape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D" w14:textId="77777777" w:rsidR="003C4798" w:rsidRDefault="00417595">
            <w:pPr>
              <w:pStyle w:val="P68B1DB1-Normal062"/>
              <w:spacing w:after="0" w:line="240" w:lineRule="auto"/>
              <w:rPr>
                <w:noProof/>
              </w:rPr>
            </w:pPr>
            <w:r>
              <w:rPr>
                <w:noProof/>
              </w:rPr>
              <w:t>Le ministère a terminé l'investissement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E" w14:textId="77777777" w:rsidR="003C4798" w:rsidRDefault="00417595">
            <w:pPr>
              <w:pStyle w:val="P68B1DB1-Normal062"/>
              <w:spacing w:after="0" w:line="240" w:lineRule="auto"/>
              <w:rPr>
                <w:noProof/>
              </w:rPr>
            </w:pPr>
            <w:r>
              <w:rPr>
                <w:noProof/>
              </w:rPr>
              <w:t>Certificat de transfert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F" w14:textId="77777777" w:rsidR="003C4798" w:rsidRDefault="003C4798">
            <w:pPr>
              <w:pStyle w:val="Normal0"/>
              <w:spacing w:line="240" w:lineRule="auto"/>
              <w:jc w:val="center"/>
              <w:rPr>
                <w:rFonts w:ascii="Times New Roman" w:eastAsia="Times New Roman" w:hAnsi="Times New Roman" w:cs="Times New Roman"/>
                <w:noProof/>
                <w:color w:val="000000" w:themeColor="text1"/>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0" w14:textId="77777777" w:rsidR="003C4798" w:rsidRDefault="003C4798">
            <w:pPr>
              <w:pStyle w:val="Normal0"/>
              <w:spacing w:line="240" w:lineRule="auto"/>
              <w:jc w:val="center"/>
              <w:rPr>
                <w:rFonts w:ascii="Times New Roman" w:eastAsia="Times New Roman" w:hAnsi="Times New Roman" w:cs="Times New Roman"/>
                <w:noProof/>
                <w:color w:val="000000" w:themeColor="text1"/>
                <w:sz w:val="18"/>
                <w:szCs w:val="18"/>
              </w:rPr>
            </w:pPr>
          </w:p>
        </w:tc>
        <w:tc>
          <w:tcPr>
            <w:tcW w:w="9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1" w14:textId="77777777" w:rsidR="003C4798" w:rsidRDefault="003C4798">
            <w:pPr>
              <w:pStyle w:val="Normal0"/>
              <w:spacing w:line="240" w:lineRule="auto"/>
              <w:jc w:val="center"/>
              <w:rPr>
                <w:rFonts w:ascii="Times New Roman" w:eastAsia="Times New Roman" w:hAnsi="Times New Roman" w:cs="Times New Roman"/>
                <w:noProof/>
                <w:color w:val="000000" w:themeColor="text1"/>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2" w14:textId="77777777" w:rsidR="003C4798" w:rsidRDefault="00417595">
            <w:pPr>
              <w:pStyle w:val="P68B1DB1-Normal062"/>
              <w:spacing w:line="240" w:lineRule="auto"/>
              <w:jc w:val="center"/>
              <w:rPr>
                <w:rFonts w:eastAsia="Times New Roman"/>
                <w:noProof/>
                <w:color w:val="000000" w:themeColor="text1"/>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3" w14:textId="77777777" w:rsidR="003C4798" w:rsidRDefault="00417595">
            <w:pPr>
              <w:pStyle w:val="P68B1DB1-Normal062"/>
              <w:spacing w:line="240" w:lineRule="auto"/>
              <w:jc w:val="center"/>
              <w:rPr>
                <w:rFonts w:eastAsia="Times New Roman"/>
                <w:noProof/>
                <w:color w:val="000000" w:themeColor="text1"/>
              </w:rPr>
            </w:pPr>
            <w:r>
              <w:rPr>
                <w:noProof/>
              </w:rPr>
              <w:t>2026</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4" w14:textId="5D2C26F8" w:rsidR="003C4798" w:rsidRDefault="00417595">
            <w:pPr>
              <w:pStyle w:val="P68B1DB1-Normal062"/>
              <w:spacing w:after="0" w:line="240" w:lineRule="auto"/>
              <w:rPr>
                <w:noProof/>
              </w:rPr>
            </w:pPr>
            <w:r>
              <w:rPr>
                <w:noProof/>
              </w:rPr>
              <w:t>La Pologne transfère 694 600 008 EUR à Bank Gospodarstwa Krajowego au titre de la facilité.</w:t>
            </w:r>
          </w:p>
        </w:tc>
      </w:tr>
    </w:tbl>
    <w:p w14:paraId="1216BD16"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rPr>
        <w:sectPr w:rsidR="003C4798" w:rsidSect="006C5441">
          <w:headerReference w:type="even" r:id="rId90"/>
          <w:headerReference w:type="default" r:id="rId91"/>
          <w:footerReference w:type="even" r:id="rId92"/>
          <w:footerReference w:type="default" r:id="rId93"/>
          <w:headerReference w:type="first" r:id="rId94"/>
          <w:footerReference w:type="first" r:id="rId95"/>
          <w:pgSz w:w="16839" w:h="11907" w:orient="landscape"/>
          <w:pgMar w:top="1134" w:right="1134" w:bottom="1134" w:left="1134" w:header="567" w:footer="567" w:gutter="0"/>
          <w:cols w:space="720"/>
          <w:docGrid w:linePitch="299"/>
        </w:sectPr>
      </w:pPr>
    </w:p>
    <w:p w14:paraId="1216BD17" w14:textId="77777777" w:rsidR="003C4798" w:rsidRDefault="00417595">
      <w:pPr>
        <w:pStyle w:val="P68B1DB1-Normal70"/>
        <w:pBdr>
          <w:top w:val="nil"/>
          <w:left w:val="nil"/>
          <w:bottom w:val="nil"/>
          <w:right w:val="nil"/>
          <w:between w:val="nil"/>
        </w:pBdr>
        <w:spacing w:before="120" w:after="120" w:line="240" w:lineRule="auto"/>
        <w:jc w:val="both"/>
        <w:rPr>
          <w:rFonts w:eastAsia="Times New Roman" w:cs="Times New Roman"/>
          <w:smallCaps/>
          <w:noProof/>
        </w:rPr>
      </w:pPr>
      <w:r>
        <w:rPr>
          <w:noProof/>
        </w:rPr>
        <w:t>D. CO</w:t>
      </w:r>
      <w:r>
        <w:rPr>
          <w:smallCaps/>
          <w:noProof/>
        </w:rPr>
        <w:t xml:space="preserve"> MPONENT D: «EFFICACITÉ, ACCESSIBILITÉ ET QUALITÉ DU SYSTÈME DE SANTÉ»</w:t>
      </w:r>
    </w:p>
    <w:p w14:paraId="1216BD18" w14:textId="77777777" w:rsidR="003C4798" w:rsidRDefault="00417595">
      <w:pPr>
        <w:pStyle w:val="P68B1DB1-Normal71"/>
        <w:pBdr>
          <w:top w:val="nil"/>
          <w:left w:val="nil"/>
          <w:bottom w:val="nil"/>
          <w:right w:val="nil"/>
          <w:between w:val="nil"/>
        </w:pBdr>
        <w:spacing w:before="120" w:after="120" w:line="257" w:lineRule="auto"/>
        <w:jc w:val="both"/>
        <w:rPr>
          <w:rFonts w:eastAsia="Times New Roman" w:cs="Times New Roman"/>
          <w:noProof/>
        </w:rPr>
      </w:pPr>
      <w:r>
        <w:rPr>
          <w:noProof/>
        </w:rPr>
        <w:t>Ce volet répond à plusieurs défis auxquels le système de santé polonais est actuellement confronté. Le passage aux soins ambulatoires primaires et spécialisés revêt une importance particulière, étant donné que les dépenses de santé devraient augmenter considérablement à moyen et à long terme, ce qui alourdit la charge pesant sur les finances publiques. Le secteur hospitalier a un besoin urgent de réforme, complété par des investissements ciblés. Certains hôpitaux ont des dettes importantes et des taux d'occupation faibles, tandis que de nombreuses procédures médicales actuellement effectuées dans les hôpitaux pourraient être effectuées à des niveaux de soins inférieurs et à des coûts inférieurs. Le système de soins primaires manque de fonds, de personnel et de services. Dans le même temps, le système hospitalier souffre d'un sous-financement chronique, notamment en termes de ressources humaines. En raison de conditions défavorables, telles que de bas salaires, les professions médicales ne sont pas populaires et il y a eu une «fuite des cerveaux» importante. La pénurie de ressources humaines place la Pologne dans les rangs les plus bas par rapport aux autres États membres et rend nécessaire le maintien des professionnels au-delà de leur âge de départ à la retraite. L'accès aux soins diffère d'une région à l'autre. La cybersanté et les pratiques de gestion modernes sont sous-utilisées.</w:t>
      </w:r>
    </w:p>
    <w:p w14:paraId="1216BD19" w14:textId="77777777" w:rsidR="003C4798" w:rsidRDefault="00417595">
      <w:pPr>
        <w:pStyle w:val="P68B1DB1-Normal71"/>
        <w:pBdr>
          <w:top w:val="nil"/>
          <w:left w:val="nil"/>
          <w:bottom w:val="nil"/>
          <w:right w:val="nil"/>
          <w:between w:val="nil"/>
        </w:pBdr>
        <w:spacing w:before="120" w:after="120" w:line="257" w:lineRule="auto"/>
        <w:jc w:val="both"/>
        <w:rPr>
          <w:rFonts w:eastAsia="Times New Roman" w:cs="Times New Roman"/>
          <w:noProof/>
        </w:rPr>
      </w:pPr>
      <w:r>
        <w:rPr>
          <w:noProof/>
        </w:rPr>
        <w:t>Les objectifs de la composante sont multidimensionnels: réformer et soutenir par des investissements le secteur hospitalier conformément à la nécessité de rationaliser la pyramide des soins de santé, accélérer la transformation numérique de la santé, créer les conditions propices à une augmentation du nombre de personnel médical, soutenir le développement de la recherche dans le domaine des sciences médicales et des sciences de la santé.</w:t>
      </w:r>
    </w:p>
    <w:p w14:paraId="1216BD1A" w14:textId="77777777" w:rsidR="003C4798" w:rsidRDefault="00417595">
      <w:pPr>
        <w:pStyle w:val="P68B1DB1-Normal71"/>
        <w:pBdr>
          <w:top w:val="nil"/>
          <w:left w:val="nil"/>
          <w:bottom w:val="nil"/>
          <w:right w:val="nil"/>
          <w:between w:val="nil"/>
        </w:pBdr>
        <w:spacing w:before="120" w:after="120" w:line="257" w:lineRule="auto"/>
        <w:jc w:val="both"/>
        <w:rPr>
          <w:rFonts w:eastAsia="Times New Roman" w:cs="Times New Roman"/>
          <w:noProof/>
        </w:rPr>
      </w:pPr>
      <w:r>
        <w:rPr>
          <w:noProof/>
        </w:rPr>
        <w:t xml:space="preserve">Ce volet contribue à donner suite à la recommandation par pays visant à améliorer la résilience, l’accessibilité et l’efficacité du système de santé, notamment en fournissant des ressources suffisantes et en accélérant le déploiement des services de santé en ligne (recommandation par pays no 1 de 2020). </w:t>
      </w:r>
    </w:p>
    <w:p w14:paraId="1216BD1B" w14:textId="77777777" w:rsidR="003C4798" w:rsidRDefault="00417595">
      <w:pPr>
        <w:pStyle w:val="P68B1DB1-Normal71"/>
        <w:pBdr>
          <w:top w:val="nil"/>
          <w:left w:val="nil"/>
          <w:bottom w:val="nil"/>
          <w:right w:val="nil"/>
          <w:between w:val="nil"/>
        </w:pBdr>
        <w:spacing w:before="120" w:after="120" w:line="257" w:lineRule="auto"/>
        <w:jc w:val="both"/>
        <w:rPr>
          <w:rFonts w:eastAsia="Times New Roman" w:cs="Times New Roman"/>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 58/01). </w:t>
      </w:r>
    </w:p>
    <w:p w14:paraId="1216BD1C" w14:textId="77777777" w:rsidR="003C4798" w:rsidRDefault="003C4798">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rPr>
      </w:pPr>
    </w:p>
    <w:p w14:paraId="1216BD1D" w14:textId="77777777" w:rsidR="003C4798" w:rsidRDefault="00417595">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u w:val="single"/>
        </w:rPr>
      </w:pPr>
      <w:r>
        <w:rPr>
          <w:rFonts w:ascii="Times New Roman" w:hAnsi="Times New Roman"/>
          <w:b/>
          <w:noProof/>
          <w:color w:val="000000" w:themeColor="text1"/>
        </w:rPr>
        <w:t xml:space="preserve">D.1. </w:t>
      </w:r>
      <w:r>
        <w:rPr>
          <w:noProof/>
        </w:rPr>
        <w:t xml:space="preserve"> </w:t>
      </w:r>
      <w:r>
        <w:rPr>
          <w:rFonts w:ascii="Times New Roman" w:hAnsi="Times New Roman"/>
          <w:b/>
          <w:noProof/>
          <w:color w:val="000000" w:themeColor="text1"/>
        </w:rPr>
        <w:t>Description des réformes et des investissements pour le soutien financier non remboursable</w:t>
      </w:r>
    </w:p>
    <w:p w14:paraId="1216BD1E" w14:textId="77777777" w:rsidR="003C4798" w:rsidRDefault="003C4798">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pPr>
    </w:p>
    <w:p w14:paraId="1216BD1F" w14:textId="77777777" w:rsidR="003C4798" w:rsidRDefault="00417595">
      <w:pPr>
        <w:pStyle w:val="P68B1DB1-Normal72"/>
        <w:pBdr>
          <w:top w:val="nil"/>
          <w:left w:val="nil"/>
          <w:bottom w:val="nil"/>
          <w:right w:val="nil"/>
          <w:between w:val="nil"/>
        </w:pBdr>
        <w:spacing w:before="120" w:after="120" w:line="240" w:lineRule="auto"/>
        <w:jc w:val="both"/>
        <w:rPr>
          <w:rFonts w:eastAsia="Times New Roman" w:cs="Times New Roman"/>
          <w:noProof/>
          <w:color w:val="000000"/>
        </w:rPr>
      </w:pPr>
      <w:r>
        <w:rPr>
          <w:noProof/>
        </w:rPr>
        <w:t>D1.1 Améliorer l'efficacité, l'accessibilité et la qualité des services de santé</w:t>
      </w:r>
    </w:p>
    <w:p w14:paraId="1216BD20" w14:textId="371644B7" w:rsidR="003C4798" w:rsidRDefault="00417595">
      <w:pPr>
        <w:pStyle w:val="P68B1DB1-Normal71"/>
        <w:spacing w:before="120" w:after="120" w:line="240" w:lineRule="auto"/>
        <w:jc w:val="both"/>
        <w:rPr>
          <w:rFonts w:eastAsia="Times New Roman" w:cs="Times New Roman"/>
          <w:noProof/>
        </w:rPr>
      </w:pPr>
      <w:r>
        <w:rPr>
          <w:noProof/>
        </w:rPr>
        <w:t>L’objectif de la réforme est de garantir la qualité et l’accessibilité des services de soins de santé ainsi que des modifications de la structure et de la gestion financière des hôpitaux. Cette mesure consiste en l'adoption d'une législation pour: (i) rationalisation de la structure des prestations de soins de santé dans le domaine concerné (ii) renforcement de la coordination des soins au niveau des soins primaires, (iii) création du réseau national oncologique et du réseau national cardiologique, (iv) amélioration de la qualité et de la sécurité des patients dans le système de soins de santé et (v) mise en place de services de santé en ligne.</w:t>
      </w:r>
    </w:p>
    <w:p w14:paraId="1216BD21" w14:textId="77777777" w:rsidR="003C4798" w:rsidRDefault="003C4798">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22" w14:textId="77777777" w:rsidR="003C4798" w:rsidRDefault="00417595">
      <w:pPr>
        <w:pStyle w:val="P68B1DB1-Normal73"/>
        <w:pBdr>
          <w:top w:val="nil"/>
          <w:left w:val="nil"/>
          <w:bottom w:val="nil"/>
          <w:right w:val="nil"/>
          <w:between w:val="nil"/>
        </w:pBdr>
        <w:spacing w:before="120" w:after="120" w:line="240" w:lineRule="auto"/>
        <w:jc w:val="both"/>
        <w:rPr>
          <w:rFonts w:eastAsia="Times New Roman" w:cs="Times New Roman"/>
          <w:b/>
          <w:bCs/>
          <w:noProof/>
          <w:color w:val="000000"/>
        </w:rPr>
      </w:pPr>
      <w:r>
        <w:rPr>
          <w:b/>
          <w:noProof/>
        </w:rPr>
        <w:t>D1.1.1 Modernisation des centres de soins hautement spécialisés</w:t>
      </w:r>
      <w:r>
        <w:rPr>
          <w:noProof/>
        </w:rPr>
        <w:t xml:space="preserve"> </w:t>
      </w:r>
      <w:r>
        <w:rPr>
          <w:b/>
          <w:noProof/>
        </w:rPr>
        <w:t>et des autres prestataires de soins de santé</w:t>
      </w:r>
    </w:p>
    <w:p w14:paraId="1216BD23" w14:textId="6C570315" w:rsidR="003C4798" w:rsidRDefault="00417595">
      <w:pPr>
        <w:pStyle w:val="P68B1DB1-Normal71"/>
        <w:spacing w:before="120" w:after="120" w:line="240" w:lineRule="auto"/>
        <w:jc w:val="both"/>
        <w:rPr>
          <w:rFonts w:eastAsia="Times New Roman" w:cs="Times New Roman"/>
          <w:noProof/>
        </w:rPr>
      </w:pPr>
      <w:r>
        <w:rPr>
          <w:noProof/>
        </w:rPr>
        <w:t>L'objectif de cet investissement est de soutenir la modernisation des entités médicales qui sont entrées dans le Réseau Oncologique National ou le Réseau Cardiologique National. Cette mesure consiste en la livraison de matériel médical ou en des travaux de construction ou de reconstruction dans les hôpitaux.</w:t>
      </w:r>
    </w:p>
    <w:p w14:paraId="1216BD24" w14:textId="77777777" w:rsidR="003C4798" w:rsidRDefault="00417595">
      <w:pPr>
        <w:pStyle w:val="P68B1DB1-Normal72"/>
        <w:pageBreakBefore/>
        <w:pBdr>
          <w:top w:val="nil"/>
          <w:left w:val="nil"/>
          <w:bottom w:val="nil"/>
          <w:right w:val="nil"/>
          <w:between w:val="nil"/>
        </w:pBdr>
        <w:spacing w:before="120" w:after="120" w:line="240" w:lineRule="auto"/>
        <w:jc w:val="both"/>
        <w:rPr>
          <w:rFonts w:eastAsia="Times New Roman" w:cs="Times New Roman"/>
          <w:bCs/>
          <w:noProof/>
          <w:color w:val="000000"/>
        </w:rPr>
      </w:pPr>
      <w:r>
        <w:rPr>
          <w:noProof/>
        </w:rPr>
        <w:t>D1.1.2 Transformation numérique des soins de santé</w:t>
      </w:r>
    </w:p>
    <w:p w14:paraId="1216BD25" w14:textId="77777777" w:rsidR="003C4798" w:rsidRDefault="00417595">
      <w:pPr>
        <w:pStyle w:val="P68B1DB1-Normal71"/>
        <w:pBdr>
          <w:top w:val="nil"/>
          <w:left w:val="nil"/>
          <w:bottom w:val="nil"/>
          <w:right w:val="nil"/>
          <w:between w:val="nil"/>
        </w:pBdr>
        <w:spacing w:before="120" w:after="120" w:line="240" w:lineRule="auto"/>
        <w:jc w:val="both"/>
        <w:rPr>
          <w:rFonts w:eastAsia="Times New Roman" w:cs="Times New Roman"/>
          <w:noProof/>
          <w:u w:val="single"/>
        </w:rPr>
      </w:pPr>
      <w:r>
        <w:rPr>
          <w:noProof/>
        </w:rPr>
        <w:t>L’objectif de l’investissement est de numériser les soins de santé. Cette mesure consiste à introduire différents types de nouveaux services de santé numériques pour les patients ou les médecins.</w:t>
      </w:r>
    </w:p>
    <w:p w14:paraId="1216BD26" w14:textId="77777777" w:rsidR="003C4798" w:rsidRDefault="003C4798">
      <w:pPr>
        <w:pBdr>
          <w:top w:val="nil"/>
          <w:left w:val="nil"/>
          <w:bottom w:val="nil"/>
          <w:right w:val="nil"/>
          <w:between w:val="nil"/>
        </w:pBdr>
        <w:spacing w:before="120" w:after="120" w:line="240" w:lineRule="auto"/>
        <w:jc w:val="both"/>
        <w:rPr>
          <w:rFonts w:ascii="Times New Roman" w:hAnsi="Times New Roman"/>
          <w:noProof/>
          <w:color w:val="000000" w:themeColor="text1"/>
        </w:rPr>
      </w:pPr>
    </w:p>
    <w:p w14:paraId="1216BD27" w14:textId="77777777" w:rsidR="003C4798" w:rsidRDefault="00417595">
      <w:pPr>
        <w:pStyle w:val="P68B1DB1-Normal72"/>
        <w:pBdr>
          <w:top w:val="nil"/>
          <w:left w:val="nil"/>
          <w:bottom w:val="nil"/>
          <w:right w:val="nil"/>
          <w:between w:val="nil"/>
        </w:pBdr>
        <w:spacing w:before="120" w:after="120" w:line="240" w:lineRule="auto"/>
        <w:jc w:val="both"/>
        <w:rPr>
          <w:rFonts w:eastAsia="Times New Roman" w:cs="Times New Roman"/>
          <w:noProof/>
          <w:color w:val="000000"/>
        </w:rPr>
      </w:pPr>
      <w:r>
        <w:rPr>
          <w:noProof/>
        </w:rPr>
        <w:t>D2.1 Créer les conditions propices à une augmentation du nombre de membres du personnel médical</w:t>
      </w:r>
    </w:p>
    <w:p w14:paraId="1216BD28" w14:textId="249D811F" w:rsidR="003C4798" w:rsidRDefault="00417595">
      <w:pPr>
        <w:pStyle w:val="P68B1DB1-Normal71"/>
        <w:pBdr>
          <w:top w:val="nil"/>
          <w:left w:val="nil"/>
          <w:bottom w:val="nil"/>
          <w:right w:val="nil"/>
          <w:between w:val="nil"/>
        </w:pBdr>
        <w:spacing w:before="60" w:after="120" w:line="240" w:lineRule="auto"/>
        <w:jc w:val="both"/>
        <w:rPr>
          <w:noProof/>
        </w:rPr>
      </w:pPr>
      <w:r>
        <w:rPr>
          <w:noProof/>
        </w:rPr>
        <w:t>L’objectif de la réforme est de contribuer à améliorer l’adéquation entre les besoins et la disponibilité des professionnels de la santé en Pologne.</w:t>
      </w:r>
    </w:p>
    <w:p w14:paraId="1216BD29" w14:textId="77777777" w:rsidR="003C4798" w:rsidRDefault="00417595">
      <w:pPr>
        <w:pStyle w:val="P68B1DB1-Normal71"/>
        <w:pBdr>
          <w:top w:val="nil"/>
          <w:left w:val="nil"/>
          <w:bottom w:val="nil"/>
          <w:right w:val="nil"/>
          <w:between w:val="nil"/>
        </w:pBdr>
        <w:spacing w:before="60" w:after="120" w:line="240" w:lineRule="auto"/>
        <w:jc w:val="both"/>
        <w:rPr>
          <w:noProof/>
        </w:rPr>
      </w:pPr>
      <w:r>
        <w:rPr>
          <w:noProof/>
        </w:rPr>
        <w:t>La réforme consiste en des initiatives visant à inciter les jeunes à entreprendre et à poursuivre des études de médecine, puis à exercer la médecine en Pologne. Il comprend i) l’introduction d’un régime d’octroi de prêts aux étudiants en médecine, y compris des incitations financières à exercer en Pologne après la fin de leurs études et ii) la création d’études de deuxième cycle pour les médecins urgentistes, ce qui se traduira par une augmentation des qualifications et des recettes pour les professionnels concernés.</w:t>
      </w:r>
    </w:p>
    <w:p w14:paraId="1216BD2A" w14:textId="77777777" w:rsidR="003C4798" w:rsidRDefault="00417595">
      <w:pPr>
        <w:pStyle w:val="P68B1DB1-Normal71"/>
        <w:pBdr>
          <w:top w:val="nil"/>
          <w:left w:val="nil"/>
          <w:bottom w:val="nil"/>
          <w:right w:val="nil"/>
          <w:between w:val="nil"/>
        </w:pBdr>
        <w:spacing w:before="60" w:after="120" w:line="240" w:lineRule="auto"/>
        <w:jc w:val="both"/>
        <w:rPr>
          <w:noProof/>
        </w:rPr>
      </w:pPr>
      <w:r>
        <w:rPr>
          <w:noProof/>
        </w:rPr>
        <w:t xml:space="preserve">La réforme consiste également en l’introduction d’une législation visant à améliorer l’attractivité des professions médicales et les conditions de travail des professionnels de la santé. Cette législation accroît la flexibilité de la formation postuniversitaire, notamment en permettant aux médecins d'obtenir un nouveau certificat d'aptitude professionnelle dans divers domaines spécialisés. Elle augmente également le salaire de base le plus bas pour un large éventail de professionnels de la santé et réorganise l’attribution de certaines compétences entre les médecins et les professionnels de la santé spécialisés, les professionnels de la santé d’urgence, les infirmiers et les autres soignants, après avoir dispensé une formation appropriée. </w:t>
      </w:r>
    </w:p>
    <w:p w14:paraId="1216BD2B" w14:textId="77777777" w:rsidR="003C4798" w:rsidRDefault="00417595">
      <w:pPr>
        <w:pStyle w:val="P68B1DB1-Normal71"/>
        <w:pBdr>
          <w:top w:val="nil"/>
          <w:left w:val="nil"/>
          <w:bottom w:val="nil"/>
          <w:right w:val="nil"/>
          <w:between w:val="nil"/>
        </w:pBdr>
        <w:spacing w:before="60" w:after="120" w:line="240" w:lineRule="auto"/>
        <w:jc w:val="both"/>
        <w:rPr>
          <w:rFonts w:eastAsia="Times New Roman" w:cs="Times New Roman"/>
          <w:noProof/>
        </w:rPr>
      </w:pPr>
      <w:r>
        <w:rPr>
          <w:noProof/>
        </w:rPr>
        <w:t>La mise en œuvre de la réforme est achevée au plus tard le 30 juin 2026.</w:t>
      </w:r>
    </w:p>
    <w:p w14:paraId="1216BD2C" w14:textId="77777777" w:rsidR="003C4798" w:rsidRDefault="003C4798">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2D" w14:textId="39A4B005" w:rsidR="003C4798" w:rsidRDefault="00417595">
      <w:pPr>
        <w:pStyle w:val="P68B1DB1-Normal72"/>
        <w:pBdr>
          <w:top w:val="nil"/>
          <w:left w:val="nil"/>
          <w:bottom w:val="nil"/>
          <w:right w:val="nil"/>
          <w:between w:val="nil"/>
        </w:pBdr>
        <w:spacing w:before="120" w:after="120" w:line="240" w:lineRule="auto"/>
        <w:jc w:val="both"/>
        <w:rPr>
          <w:rFonts w:eastAsia="Times New Roman" w:cs="Times New Roman"/>
          <w:noProof/>
          <w:color w:val="000000"/>
        </w:rPr>
      </w:pPr>
      <w:r>
        <w:rPr>
          <w:noProof/>
        </w:rPr>
        <w:t>D2.1.1 Investissements liés à la modernisation et à la modernisation des établissements d'enseignement et à l'augmentation du nombre d'admissions aux études médicales</w:t>
      </w:r>
    </w:p>
    <w:p w14:paraId="1216BD2E" w14:textId="77777777" w:rsidR="003C4798" w:rsidRDefault="00417595">
      <w:pPr>
        <w:pStyle w:val="P68B1DB1-Normal71"/>
        <w:pBdr>
          <w:top w:val="nil"/>
          <w:left w:val="nil"/>
          <w:bottom w:val="nil"/>
          <w:right w:val="nil"/>
          <w:between w:val="nil"/>
        </w:pBdr>
        <w:spacing w:before="60" w:after="120" w:line="240" w:lineRule="auto"/>
        <w:jc w:val="both"/>
        <w:rPr>
          <w:rFonts w:eastAsia="Times New Roman" w:cs="Times New Roman"/>
          <w:noProof/>
        </w:rPr>
      </w:pPr>
      <w:r>
        <w:rPr>
          <w:noProof/>
        </w:rPr>
        <w:t>L’objectif de l’investissement est d’accroître la capacité des établissements d’enseignement médical et de soutenir les étudiants qui participent à des études de médecine. Cette mesure consiste à: (i) l’adoption d’un système temporaire d’incitations pour les étudiants à entreprendre des études dans certaines facultés de médecine, (ii) l’octroi de bourses ou d’un cofinancement aux étudiants en médecine, (iii) la construction, la rénovation ou la modernisation de bibliothèques, de dortoirs d’étudiants ou d’installations utilisées pour l’enseignement de la médecine.</w:t>
      </w:r>
    </w:p>
    <w:p w14:paraId="1216BD2F" w14:textId="77777777" w:rsidR="003C4798" w:rsidRDefault="003C4798">
      <w:pPr>
        <w:pBdr>
          <w:top w:val="nil"/>
          <w:left w:val="nil"/>
          <w:bottom w:val="nil"/>
          <w:right w:val="nil"/>
          <w:between w:val="nil"/>
        </w:pBdr>
        <w:spacing w:before="60" w:after="120" w:line="240" w:lineRule="auto"/>
        <w:jc w:val="both"/>
        <w:rPr>
          <w:rFonts w:ascii="Times New Roman" w:hAnsi="Times New Roman"/>
          <w:noProof/>
          <w:color w:val="000000" w:themeColor="text1"/>
        </w:rPr>
      </w:pPr>
    </w:p>
    <w:p w14:paraId="1216BD30" w14:textId="77777777" w:rsidR="003C4798" w:rsidRDefault="00417595">
      <w:pPr>
        <w:pStyle w:val="P68B1DB1-Normal73"/>
        <w:pBdr>
          <w:top w:val="nil"/>
          <w:left w:val="nil"/>
          <w:bottom w:val="nil"/>
          <w:right w:val="nil"/>
          <w:between w:val="nil"/>
        </w:pBdr>
        <w:spacing w:before="120" w:after="120" w:line="240" w:lineRule="auto"/>
        <w:jc w:val="both"/>
        <w:rPr>
          <w:rFonts w:eastAsia="Times New Roman" w:cs="Times New Roman"/>
          <w:b/>
          <w:noProof/>
          <w:color w:val="000000"/>
        </w:rPr>
      </w:pPr>
      <w:r>
        <w:rPr>
          <w:b/>
          <w:noProof/>
        </w:rPr>
        <w:t>D3.1 Accroître l'efficacité et la qualité du système de santé en soutenant le potentiel polonais de recherche et de développement dans le domaine des sciences médicales et des sciences de la santé</w:t>
      </w:r>
    </w:p>
    <w:p w14:paraId="1216BD31" w14:textId="77777777" w:rsidR="003C4798" w:rsidRDefault="00417595">
      <w:pPr>
        <w:pStyle w:val="P68B1DB1-Normal71"/>
        <w:pBdr>
          <w:top w:val="nil"/>
          <w:left w:val="nil"/>
          <w:bottom w:val="nil"/>
          <w:right w:val="nil"/>
          <w:between w:val="nil"/>
        </w:pBdr>
        <w:spacing w:before="60" w:after="120" w:line="240" w:lineRule="auto"/>
        <w:jc w:val="both"/>
        <w:rPr>
          <w:noProof/>
        </w:rPr>
      </w:pPr>
      <w:r>
        <w:rPr>
          <w:noProof/>
        </w:rPr>
        <w:t>L’objectif de la réforme est de contribuer à améliorer la qualité et l’efficacité du système de soins de santé en soutenant la recherche et le développement dans les domaines médical et de la santé.</w:t>
      </w:r>
    </w:p>
    <w:p w14:paraId="1216BD32" w14:textId="77777777" w:rsidR="003C4798" w:rsidRDefault="00417595">
      <w:pPr>
        <w:pStyle w:val="P68B1DB1-Normal71"/>
        <w:pBdr>
          <w:top w:val="nil"/>
          <w:left w:val="nil"/>
          <w:bottom w:val="nil"/>
          <w:right w:val="nil"/>
          <w:between w:val="nil"/>
        </w:pBdr>
        <w:spacing w:before="60" w:after="120" w:line="240" w:lineRule="auto"/>
        <w:jc w:val="both"/>
        <w:rPr>
          <w:noProof/>
        </w:rPr>
      </w:pPr>
      <w:r>
        <w:rPr>
          <w:noProof/>
        </w:rPr>
        <w:t>La réforme consiste en une nouvelle législation dans le domaine des essais cliniques de médicaments à usage humain, y compris un système transparent et une réduction des obstacles administratifs et juridiques. Elle consiste également à concevoir et à mettre en œuvre un plan stratégique pour le développement du secteur biomédical en Pologne, sur la base d’une évaluation des besoins du secteur biomédical polonais, des obstacles existants à son développement et des domaines présentant un avantage concurrentiel potentiel.</w:t>
      </w:r>
    </w:p>
    <w:p w14:paraId="1216BD33" w14:textId="77777777" w:rsidR="003C4798" w:rsidRDefault="00417595">
      <w:pPr>
        <w:pStyle w:val="P68B1DB1-Normal71"/>
        <w:pBdr>
          <w:top w:val="nil"/>
          <w:left w:val="nil"/>
          <w:bottom w:val="nil"/>
          <w:right w:val="nil"/>
          <w:between w:val="nil"/>
        </w:pBdr>
        <w:spacing w:before="60" w:after="120" w:line="240" w:lineRule="auto"/>
        <w:jc w:val="both"/>
        <w:rPr>
          <w:rFonts w:eastAsia="Times New Roman" w:cs="Times New Roman"/>
          <w:noProof/>
        </w:rPr>
      </w:pPr>
      <w:r>
        <w:rPr>
          <w:noProof/>
        </w:rPr>
        <w:t>La mise en œuvre de la réforme est achevée au plus tard le 31 décembre 2022.</w:t>
      </w:r>
    </w:p>
    <w:p w14:paraId="1216BD34" w14:textId="77777777" w:rsidR="003C4798" w:rsidRDefault="003C4798">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35" w14:textId="3F26AF57" w:rsidR="003C4798" w:rsidRDefault="00417595">
      <w:pPr>
        <w:pStyle w:val="P68B1DB1-Normal72"/>
        <w:pBdr>
          <w:top w:val="nil"/>
          <w:left w:val="nil"/>
          <w:bottom w:val="nil"/>
          <w:right w:val="nil"/>
          <w:between w:val="nil"/>
        </w:pBdr>
        <w:spacing w:before="120" w:after="120" w:line="240" w:lineRule="auto"/>
        <w:jc w:val="both"/>
        <w:rPr>
          <w:rFonts w:eastAsia="Times New Roman" w:cs="Times New Roman"/>
          <w:noProof/>
          <w:color w:val="000000"/>
        </w:rPr>
      </w:pPr>
      <w:r>
        <w:rPr>
          <w:noProof/>
        </w:rPr>
        <w:t>D3.1.1 Recherche dans le secteur biomédical et création ou développement de centres de soutien aux essais cliniques</w:t>
      </w:r>
    </w:p>
    <w:p w14:paraId="1216BD36" w14:textId="676588CA" w:rsidR="003C4798" w:rsidRDefault="00417595">
      <w:pPr>
        <w:pStyle w:val="P68B1DB1-Normal71"/>
        <w:pBdr>
          <w:top w:val="nil"/>
          <w:left w:val="nil"/>
          <w:bottom w:val="nil"/>
          <w:right w:val="nil"/>
          <w:between w:val="nil"/>
        </w:pBdr>
        <w:spacing w:before="60" w:after="120" w:line="240" w:lineRule="auto"/>
        <w:jc w:val="both"/>
        <w:rPr>
          <w:noProof/>
        </w:rPr>
      </w:pPr>
      <w:r>
        <w:rPr>
          <w:noProof/>
        </w:rPr>
        <w:t>L'objectif de l'investissement est de soutenir la recherche et le développement dans les domaines médical et de la santé. Cette mesure consiste à: i) soutenir des projets de recherche dans le secteur biomédical, ii) créer de nouveaux centres d’appui aux essais cliniques et mener des activités dans les centres d’appui aux essais cliniques existants et iii) créer une plateforme de communication électronique pour le réseau polonais d’essais cliniques.</w:t>
      </w:r>
    </w:p>
    <w:p w14:paraId="1216BD38" w14:textId="77777777" w:rsidR="003C4798" w:rsidRDefault="00417595">
      <w:pPr>
        <w:pStyle w:val="P68B1DB1-Normal72"/>
        <w:pBdr>
          <w:top w:val="nil"/>
          <w:left w:val="nil"/>
          <w:bottom w:val="nil"/>
          <w:right w:val="nil"/>
          <w:between w:val="nil"/>
        </w:pBdr>
        <w:spacing w:before="120" w:after="120" w:line="240" w:lineRule="auto"/>
        <w:jc w:val="both"/>
        <w:rPr>
          <w:rFonts w:eastAsia="Times New Roman" w:cs="Times New Roman"/>
          <w:bCs/>
          <w:noProof/>
          <w:color w:val="000000"/>
        </w:rPr>
      </w:pPr>
      <w:r>
        <w:rPr>
          <w:noProof/>
        </w:rPr>
        <w:t>D4.1.1 Accroître la fourniture de soins de longue durée par la modernisation des entités médicales au niveau des districts</w:t>
      </w:r>
    </w:p>
    <w:p w14:paraId="1216BD39" w14:textId="496F4BA7" w:rsidR="003C4798" w:rsidRDefault="00417595">
      <w:pPr>
        <w:pStyle w:val="P68B1DB1-Normal71"/>
        <w:spacing w:after="0" w:line="240" w:lineRule="auto"/>
        <w:jc w:val="both"/>
        <w:rPr>
          <w:noProof/>
        </w:rPr>
      </w:pPr>
      <w:r>
        <w:rPr>
          <w:noProof/>
        </w:rPr>
        <w:t>L’objectif de l’investissement est d’accroître la fourniture de soins de longue durée. Cette mesure consiste en des travaux de construction ou de rénovation ou en l’achat d’équipements pour les hôpitaux de district.</w:t>
      </w:r>
    </w:p>
    <w:p w14:paraId="1216BD3A" w14:textId="77777777" w:rsidR="003C4798" w:rsidRDefault="003C4798">
      <w:pPr>
        <w:spacing w:after="0" w:line="240" w:lineRule="auto"/>
        <w:jc w:val="both"/>
        <w:rPr>
          <w:rFonts w:ascii="Times New Roman" w:hAnsi="Times New Roman"/>
          <w:noProof/>
          <w:color w:val="000000"/>
        </w:rPr>
      </w:pPr>
    </w:p>
    <w:p w14:paraId="1216BD3B" w14:textId="77777777" w:rsidR="003C4798" w:rsidRDefault="003C4798">
      <w:pPr>
        <w:spacing w:after="0" w:line="240" w:lineRule="auto"/>
        <w:jc w:val="both"/>
        <w:rPr>
          <w:rFonts w:ascii="Times New Roman" w:eastAsia="Times New Roman" w:hAnsi="Times New Roman" w:cs="Times New Roman"/>
          <w:noProof/>
          <w:color w:val="000000"/>
        </w:rPr>
        <w:sectPr w:rsidR="003C4798" w:rsidSect="006C5441">
          <w:headerReference w:type="even" r:id="rId96"/>
          <w:headerReference w:type="default" r:id="rId97"/>
          <w:footerReference w:type="even" r:id="rId98"/>
          <w:footerReference w:type="default" r:id="rId99"/>
          <w:headerReference w:type="first" r:id="rId100"/>
          <w:footerReference w:type="first" r:id="rId101"/>
          <w:pgSz w:w="11907" w:h="16839"/>
          <w:pgMar w:top="1134" w:right="1134" w:bottom="1134" w:left="1134" w:header="567" w:footer="567" w:gutter="0"/>
          <w:cols w:space="720"/>
          <w:docGrid w:linePitch="299"/>
        </w:sectPr>
      </w:pPr>
    </w:p>
    <w:p w14:paraId="1216BD3C" w14:textId="77777777" w:rsidR="003C4798" w:rsidRDefault="00417595">
      <w:pPr>
        <w:pBdr>
          <w:top w:val="nil"/>
          <w:left w:val="nil"/>
          <w:bottom w:val="nil"/>
          <w:right w:val="nil"/>
          <w:between w:val="nil"/>
        </w:pBdr>
        <w:spacing w:before="60" w:after="120" w:line="240" w:lineRule="auto"/>
        <w:jc w:val="both"/>
        <w:rPr>
          <w:rFonts w:ascii="Times New Roman" w:hAnsi="Times New Roman"/>
          <w:b/>
          <w:noProof/>
          <w:color w:val="000000" w:themeColor="text1"/>
        </w:rPr>
      </w:pPr>
      <w:r>
        <w:rPr>
          <w:rFonts w:ascii="Times New Roman" w:hAnsi="Times New Roman"/>
          <w:b/>
          <w:noProof/>
          <w:color w:val="000000" w:themeColor="text1"/>
        </w:rPr>
        <w:t xml:space="preserve">D.2. </w:t>
      </w:r>
      <w:r>
        <w:rPr>
          <w:noProof/>
        </w:rPr>
        <w:t xml:space="preserve"> </w:t>
      </w:r>
      <w:r>
        <w:rPr>
          <w:rFonts w:ascii="Times New Roman" w:hAnsi="Times New Roman"/>
          <w:b/>
          <w:noProof/>
          <w:color w:val="000000" w:themeColor="text1"/>
        </w:rPr>
        <w:t>Étapes, cibles, indicateurs et calendrier pour le suivi et la mise en œuvre du soutien financier non remboursable</w:t>
      </w:r>
    </w:p>
    <w:tbl>
      <w:tblPr>
        <w:tblW w:w="155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49"/>
        <w:gridCol w:w="1985"/>
        <w:gridCol w:w="1172"/>
        <w:gridCol w:w="1804"/>
        <w:gridCol w:w="1456"/>
        <w:gridCol w:w="993"/>
        <w:gridCol w:w="992"/>
        <w:gridCol w:w="992"/>
        <w:gridCol w:w="1120"/>
        <w:gridCol w:w="723"/>
        <w:gridCol w:w="3363"/>
      </w:tblGrid>
      <w:tr w:rsidR="003C4798" w14:paraId="77330280" w14:textId="77777777" w:rsidTr="00DA6ACB">
        <w:trPr>
          <w:trHeight w:val="873"/>
          <w:tblHeader/>
          <w:jc w:val="center"/>
        </w:trPr>
        <w:tc>
          <w:tcPr>
            <w:tcW w:w="9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5AECD2A5"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Seq. N°</w:t>
            </w:r>
          </w:p>
        </w:tc>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4A59DD1B"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Mesure connexe (réforme ou investissement)</w:t>
            </w:r>
          </w:p>
        </w:tc>
        <w:tc>
          <w:tcPr>
            <w:tcW w:w="117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7484347D"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Étape/cible</w:t>
            </w:r>
          </w:p>
        </w:tc>
        <w:tc>
          <w:tcPr>
            <w:tcW w:w="180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0EDE9DE4"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Nom</w:t>
            </w:r>
          </w:p>
        </w:tc>
        <w:tc>
          <w:tcPr>
            <w:tcW w:w="145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48AF4AC" w14:textId="77777777" w:rsidR="003C4798" w:rsidRDefault="00417595">
            <w:pPr>
              <w:pStyle w:val="P68B1DB1-Normal74"/>
              <w:pBdr>
                <w:top w:val="nil"/>
                <w:left w:val="nil"/>
                <w:bottom w:val="nil"/>
                <w:right w:val="nil"/>
                <w:between w:val="nil"/>
              </w:pBdr>
              <w:spacing w:after="0" w:line="240" w:lineRule="auto"/>
              <w:jc w:val="center"/>
              <w:rPr>
                <w:noProof/>
              </w:rPr>
            </w:pPr>
            <w:r>
              <w:rPr>
                <w:noProof/>
              </w:rPr>
              <w:t>Indicateurs qualitatifs</w:t>
            </w:r>
          </w:p>
          <w:p w14:paraId="0D5BFEAF" w14:textId="31D9321E" w:rsidR="003C4798" w:rsidRDefault="00417595">
            <w:pPr>
              <w:pStyle w:val="P68B1DB1-Normal74"/>
              <w:pBdr>
                <w:top w:val="nil"/>
                <w:left w:val="nil"/>
                <w:bottom w:val="nil"/>
                <w:right w:val="nil"/>
                <w:between w:val="nil"/>
              </w:pBdr>
              <w:spacing w:after="0" w:line="240" w:lineRule="auto"/>
              <w:jc w:val="center"/>
              <w:rPr>
                <w:rFonts w:eastAsia="Times New Roman" w:cs="Times New Roman"/>
                <w:bCs/>
                <w:noProof/>
              </w:rPr>
            </w:pPr>
            <w:r>
              <w:rPr>
                <w:noProof/>
              </w:rPr>
              <w:t>(pour les jalons)</w:t>
            </w:r>
          </w:p>
        </w:tc>
        <w:tc>
          <w:tcPr>
            <w:tcW w:w="2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57E1300A" w14:textId="77777777" w:rsidR="003C4798" w:rsidRDefault="00417595">
            <w:pPr>
              <w:pStyle w:val="P68B1DB1-Normal74"/>
              <w:pBdr>
                <w:top w:val="nil"/>
                <w:left w:val="nil"/>
                <w:bottom w:val="nil"/>
                <w:right w:val="nil"/>
                <w:between w:val="nil"/>
              </w:pBdr>
              <w:spacing w:after="0" w:line="240" w:lineRule="auto"/>
              <w:jc w:val="center"/>
              <w:rPr>
                <w:noProof/>
              </w:rPr>
            </w:pPr>
            <w:r>
              <w:rPr>
                <w:noProof/>
              </w:rPr>
              <w:t>Indicateurs quantitatifs</w:t>
            </w:r>
          </w:p>
          <w:p w14:paraId="1D4644A9" w14:textId="74FCD396" w:rsidR="003C4798" w:rsidRDefault="00417595">
            <w:pPr>
              <w:pStyle w:val="P68B1DB1-Normal74"/>
              <w:pBdr>
                <w:top w:val="nil"/>
                <w:left w:val="nil"/>
                <w:bottom w:val="nil"/>
                <w:right w:val="nil"/>
                <w:between w:val="nil"/>
              </w:pBdr>
              <w:spacing w:after="0" w:line="240" w:lineRule="auto"/>
              <w:jc w:val="center"/>
              <w:rPr>
                <w:rFonts w:eastAsia="Times New Roman" w:cs="Times New Roman"/>
                <w:bCs/>
                <w:noProof/>
              </w:rPr>
            </w:pPr>
            <w:r>
              <w:rPr>
                <w:noProof/>
              </w:rPr>
              <w:t>(pour les objectifs)</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2BC4CD01"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Calendrier indicatif d'achèvement</w:t>
            </w:r>
          </w:p>
        </w:tc>
        <w:tc>
          <w:tcPr>
            <w:tcW w:w="336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37F96F63"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Description de chaque jalon et cible</w:t>
            </w:r>
          </w:p>
        </w:tc>
      </w:tr>
      <w:tr w:rsidR="003C4798" w14:paraId="40C212C8" w14:textId="77777777" w:rsidTr="00DA6ACB">
        <w:trPr>
          <w:trHeight w:val="687"/>
          <w:jc w:val="center"/>
        </w:trPr>
        <w:tc>
          <w:tcPr>
            <w:tcW w:w="949" w:type="dxa"/>
            <w:vMerge/>
            <w:vAlign w:val="center"/>
          </w:tcPr>
          <w:p w14:paraId="7AF3EB06" w14:textId="77777777" w:rsidR="003C4798" w:rsidRDefault="003C4798">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85" w:type="dxa"/>
            <w:vMerge/>
            <w:vAlign w:val="center"/>
          </w:tcPr>
          <w:p w14:paraId="7A8C2F33" w14:textId="77777777" w:rsidR="003C4798" w:rsidRDefault="003C4798">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72" w:type="dxa"/>
            <w:vMerge/>
            <w:vAlign w:val="center"/>
          </w:tcPr>
          <w:p w14:paraId="6EFBB8A0" w14:textId="77777777" w:rsidR="003C4798" w:rsidRDefault="003C4798">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04" w:type="dxa"/>
            <w:vMerge/>
            <w:vAlign w:val="center"/>
          </w:tcPr>
          <w:p w14:paraId="49E6D121" w14:textId="77777777" w:rsidR="003C4798" w:rsidRDefault="003C4798">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456" w:type="dxa"/>
            <w:vMerge/>
            <w:vAlign w:val="center"/>
          </w:tcPr>
          <w:p w14:paraId="36F1B455" w14:textId="77777777" w:rsidR="003C4798" w:rsidRDefault="003C4798">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719FF672"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Unité de mesure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20BE5DE4"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Données de référence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4224ABA6"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Objectif</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3D9E583"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Trimestre</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29467CC7"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Année</w:t>
            </w:r>
          </w:p>
        </w:tc>
        <w:tc>
          <w:tcPr>
            <w:tcW w:w="3363" w:type="dxa"/>
            <w:vMerge/>
            <w:vAlign w:val="center"/>
          </w:tcPr>
          <w:p w14:paraId="102D9BE3" w14:textId="77777777" w:rsidR="003C4798" w:rsidRDefault="003C4798">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C4798" w14:paraId="6F52D138"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05748C9" w14:textId="39280406"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D1G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F9047D2" w14:textId="4F2F1BD1" w:rsidR="003C4798" w:rsidRDefault="00417595">
            <w:pPr>
              <w:pStyle w:val="P68B1DB1-Normal34"/>
              <w:pBdr>
                <w:top w:val="nil"/>
                <w:left w:val="nil"/>
                <w:bottom w:val="nil"/>
                <w:right w:val="nil"/>
                <w:between w:val="nil"/>
              </w:pBdr>
              <w:spacing w:after="0" w:line="240" w:lineRule="auto"/>
              <w:rPr>
                <w:noProof/>
                <w:color w:val="006100"/>
              </w:rPr>
            </w:pPr>
            <w:r>
              <w:rPr>
                <w:noProof/>
              </w:rPr>
              <w:t>D1.1 Améliorer l'efficacité, l'accessibilité et la qualité des services de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D20266B" w14:textId="5D4AFF42"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56EBCA0" w14:textId="4DB62F81" w:rsidR="003C4798" w:rsidRDefault="00417595">
            <w:pPr>
              <w:pStyle w:val="P68B1DB1-Normal34"/>
              <w:pBdr>
                <w:top w:val="nil"/>
                <w:left w:val="nil"/>
                <w:bottom w:val="nil"/>
                <w:right w:val="nil"/>
                <w:between w:val="nil"/>
              </w:pBdr>
              <w:spacing w:after="0" w:line="240" w:lineRule="auto"/>
              <w:rPr>
                <w:noProof/>
                <w:color w:val="000000"/>
              </w:rPr>
            </w:pPr>
            <w:r>
              <w:rPr>
                <w:noProof/>
              </w:rPr>
              <w:t>Entrée en vigueur des actes juridiques relatifs à la rationalisation de la structure des prestations de soins de santé dans le domaine concerné</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447133A" w14:textId="3592F635" w:rsidR="003C4798" w:rsidRDefault="00417595">
            <w:pPr>
              <w:pStyle w:val="P68B1DB1-Normal34"/>
              <w:pBdr>
                <w:top w:val="nil"/>
                <w:left w:val="nil"/>
                <w:bottom w:val="nil"/>
                <w:right w:val="nil"/>
                <w:between w:val="nil"/>
              </w:pBdr>
              <w:spacing w:after="0" w:line="240" w:lineRule="auto"/>
              <w:rPr>
                <w:noProof/>
                <w:color w:val="006100"/>
              </w:rPr>
            </w:pPr>
            <w:r>
              <w:rPr>
                <w:noProof/>
              </w:rPr>
              <w:t>Dispositions des actes juridiques indiquant leur entrée en vigueur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5B96E63"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5CCAF64"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87190F4"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7D2C3C5" w14:textId="61FC0D98"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T4</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AD4251" w14:textId="1DA25EDB"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2025</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91DBAD7" w14:textId="77777777" w:rsidR="003C4798" w:rsidRDefault="00417595">
            <w:pPr>
              <w:pStyle w:val="P68B1DB1-Normal75"/>
              <w:spacing w:after="0" w:line="240" w:lineRule="auto"/>
              <w:rPr>
                <w:noProof/>
              </w:rPr>
            </w:pPr>
            <w:r>
              <w:rPr>
                <w:noProof/>
              </w:rPr>
              <w:t>Entrée en vigueur des actes juridiques qui prévoient:</w:t>
            </w:r>
          </w:p>
          <w:p w14:paraId="0495CEA8" w14:textId="77777777" w:rsidR="003C4798" w:rsidRDefault="00417595">
            <w:pPr>
              <w:pStyle w:val="P68B1DB1-Normal75"/>
              <w:spacing w:after="0" w:line="240" w:lineRule="auto"/>
              <w:rPr>
                <w:noProof/>
              </w:rPr>
            </w:pPr>
            <w:r>
              <w:rPr>
                <w:noProof/>
              </w:rPr>
              <w:t>- modification du champ d’application des services de soins de santé fournis par les hôpitaux afin de rationaliser la structure des prestations de soins de santé dans la zone concernée, sur la base des plans de transformation nationaux ou régionaux et de la carte des besoins en matière de santé;</w:t>
            </w:r>
          </w:p>
          <w:p w14:paraId="0225C2F3" w14:textId="611E3E54" w:rsidR="003C4798" w:rsidRDefault="00417595">
            <w:pPr>
              <w:pStyle w:val="P68B1DB1-Normal75"/>
              <w:spacing w:after="0" w:line="240" w:lineRule="auto"/>
              <w:rPr>
                <w:noProof/>
              </w:rPr>
            </w:pPr>
            <w:r>
              <w:rPr>
                <w:noProof/>
              </w:rPr>
              <w:t>- évaluation de l'impact des tarifs proposés en vue d'augmenter la part des services de soins ambulatoires;</w:t>
            </w:r>
          </w:p>
          <w:p w14:paraId="7DB4956D" w14:textId="77777777" w:rsidR="003C4798" w:rsidRDefault="00417595">
            <w:pPr>
              <w:pStyle w:val="P68B1DB1-Normal75"/>
              <w:spacing w:after="0" w:line="240" w:lineRule="auto"/>
              <w:rPr>
                <w:noProof/>
              </w:rPr>
            </w:pPr>
            <w:r>
              <w:rPr>
                <w:noProof/>
              </w:rPr>
              <w:t>- l'établissement de conditions et de critères pour les plans de redressement des hôpitaux endettés;</w:t>
            </w:r>
          </w:p>
          <w:p w14:paraId="13D57CCD" w14:textId="77777777" w:rsidR="003C4798" w:rsidRDefault="00417595">
            <w:pPr>
              <w:pStyle w:val="P68B1DB1-Normal75"/>
              <w:spacing w:after="0" w:line="240" w:lineRule="auto"/>
              <w:rPr>
                <w:noProof/>
              </w:rPr>
            </w:pPr>
            <w:r>
              <w:rPr>
                <w:noProof/>
              </w:rPr>
              <w:t>- l'introduction d'avantages financiers du Fonds national de la santé pour les hôpitaux qui atteignent des indicateurs de performance de qualité. L’acte juridique peut prévoir une période de transition raisonnable pour l’application obligatoire de coefficients correcteurs pour les indicateurs à compter du 1er juillet 2026;</w:t>
            </w:r>
          </w:p>
          <w:p w14:paraId="40D610E4" w14:textId="61494453" w:rsidR="003C4798" w:rsidRDefault="00417595">
            <w:pPr>
              <w:pStyle w:val="P68B1DB1-Normal75"/>
              <w:spacing w:after="0" w:line="240" w:lineRule="auto"/>
              <w:textAlignment w:val="baseline"/>
              <w:rPr>
                <w:noProof/>
              </w:rPr>
            </w:pPr>
            <w:r>
              <w:rPr>
                <w:noProof/>
              </w:rPr>
              <w:t>- l’introduction d’une exigence selon laquelle le plan de redressement doit contenir une formation du personnel d’encadrement sur les processus de restructuration dans les entités de soins de santé.</w:t>
            </w:r>
            <w:bookmarkStart w:id="14" w:name="_Hlk167287635"/>
            <w:bookmarkEnd w:id="14"/>
          </w:p>
        </w:tc>
      </w:tr>
      <w:tr w:rsidR="003C4798" w14:paraId="08CDF4DE"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6E377E3" w14:textId="1E8ABC62"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D2G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F7AF6AF" w14:textId="4B69C243" w:rsidR="003C4798" w:rsidRDefault="00417595">
            <w:pPr>
              <w:pStyle w:val="P68B1DB1-Normal34"/>
              <w:pBdr>
                <w:top w:val="nil"/>
                <w:left w:val="nil"/>
                <w:bottom w:val="nil"/>
                <w:right w:val="nil"/>
                <w:between w:val="nil"/>
              </w:pBdr>
              <w:spacing w:after="0" w:line="240" w:lineRule="auto"/>
              <w:rPr>
                <w:noProof/>
                <w:color w:val="006100"/>
              </w:rPr>
            </w:pPr>
            <w:r>
              <w:rPr>
                <w:noProof/>
              </w:rPr>
              <w:t>D1.1 Améliorer l'efficacité, l'accessibilité et la qualité des services de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B5692C2" w14:textId="334E5138"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348E7A1" w14:textId="5F0FD0A4" w:rsidR="003C4798" w:rsidRDefault="00417595">
            <w:pPr>
              <w:pStyle w:val="P68B1DB1-Normal34"/>
              <w:pBdr>
                <w:top w:val="nil"/>
                <w:left w:val="nil"/>
                <w:bottom w:val="nil"/>
                <w:right w:val="nil"/>
                <w:between w:val="nil"/>
              </w:pBdr>
              <w:spacing w:after="0" w:line="240" w:lineRule="auto"/>
              <w:rPr>
                <w:noProof/>
                <w:color w:val="000000"/>
              </w:rPr>
            </w:pPr>
            <w:r>
              <w:rPr>
                <w:noProof/>
              </w:rPr>
              <w:t>Entrée en vigueur de l’ordonnance du président du Fonds national de la santé (NFZ) et des actes juridiques respectifs sur le renforcement des soins primaires et des soins coordonnés, suivie de dispositions financières (y compris des modifications des contrats), permettant une mise en œuvre à l’échelle nationale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EEAEC73" w14:textId="1EA0E5E9" w:rsidR="003C4798" w:rsidRDefault="00417595">
            <w:pPr>
              <w:pStyle w:val="P68B1DB1-Normal34"/>
              <w:pBdr>
                <w:top w:val="nil"/>
                <w:left w:val="nil"/>
                <w:bottom w:val="nil"/>
                <w:right w:val="nil"/>
                <w:between w:val="nil"/>
              </w:pBdr>
              <w:spacing w:after="0" w:line="240" w:lineRule="auto"/>
              <w:rPr>
                <w:noProof/>
                <w:color w:val="006100"/>
              </w:rPr>
            </w:pPr>
            <w:r>
              <w:rPr>
                <w:noProof/>
              </w:rPr>
              <w:t>Dispositions de l'arrêté indiquant l'entrée en vigueur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57DACE6"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15EEB71"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17B1981"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A8E4054" w14:textId="1DA0CF6C"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T3</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E46C7E2" w14:textId="3D42296B"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2022</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3BB6C7" w14:textId="604A068A" w:rsidR="003C4798" w:rsidRDefault="00417595">
            <w:pPr>
              <w:pStyle w:val="P68B1DB1-Normal34"/>
              <w:spacing w:after="0" w:line="240" w:lineRule="auto"/>
              <w:textAlignment w:val="baseline"/>
              <w:rPr>
                <w:noProof/>
              </w:rPr>
            </w:pPr>
            <w:r>
              <w:rPr>
                <w:noProof/>
              </w:rPr>
              <w:t>Entrée en vigueur de l'ordonnance du président du Fonds national de la santé (NFZ) et des actes juridiques respectifs qui renforcent les soins primaires et les soins coordonnés, permettant une mise en œuvre à l'échelle nationale et couvrant:</w:t>
            </w:r>
          </w:p>
          <w:p w14:paraId="43DFC004" w14:textId="12E9B6CD" w:rsidR="003C4798" w:rsidRDefault="00417595">
            <w:pPr>
              <w:pStyle w:val="P68B1DB1-Normal34"/>
              <w:spacing w:after="0" w:line="240" w:lineRule="auto"/>
              <w:textAlignment w:val="baseline"/>
              <w:rPr>
                <w:noProof/>
              </w:rPr>
            </w:pPr>
            <w:r>
              <w:rPr>
                <w:noProof/>
              </w:rPr>
              <w:t>- soins de santé préventifs (frais de mission);</w:t>
            </w:r>
          </w:p>
          <w:p w14:paraId="79D63D7B" w14:textId="77777777" w:rsidR="003C4798" w:rsidRDefault="00417595">
            <w:pPr>
              <w:pStyle w:val="P68B1DB1-Normal34"/>
              <w:spacing w:after="0" w:line="240" w:lineRule="auto"/>
              <w:textAlignment w:val="baseline"/>
              <w:rPr>
                <w:noProof/>
              </w:rPr>
            </w:pPr>
            <w:r>
              <w:rPr>
                <w:noProof/>
              </w:rPr>
              <w:t xml:space="preserve">les résultats attendus en matière de santé et la qualité des soins (introduction d’incitations); et </w:t>
            </w:r>
          </w:p>
          <w:p w14:paraId="2B018455" w14:textId="2B1681B5" w:rsidR="003C4798" w:rsidRDefault="00417595">
            <w:pPr>
              <w:pStyle w:val="P68B1DB1-Normal34"/>
              <w:spacing w:after="0" w:line="240" w:lineRule="auto"/>
              <w:textAlignment w:val="baseline"/>
              <w:rPr>
                <w:noProof/>
              </w:rPr>
            </w:pPr>
            <w:r>
              <w:rPr>
                <w:noProof/>
              </w:rPr>
              <w:t>- le programme de prise en charge des maladies chroniques et le coordinateur des soins.</w:t>
            </w:r>
          </w:p>
          <w:p w14:paraId="743E730A" w14:textId="77777777" w:rsidR="003C4798" w:rsidRDefault="003C4798">
            <w:pPr>
              <w:spacing w:after="0" w:line="240" w:lineRule="auto"/>
              <w:textAlignment w:val="baseline"/>
              <w:rPr>
                <w:rFonts w:ascii="Times New Roman" w:hAnsi="Times New Roman" w:cs="Times New Roman"/>
                <w:noProof/>
                <w:color w:val="000000"/>
                <w:sz w:val="18"/>
                <w:szCs w:val="18"/>
              </w:rPr>
            </w:pPr>
          </w:p>
          <w:p w14:paraId="3C6EFC33" w14:textId="52CF0389" w:rsidR="003C4798" w:rsidRDefault="00417595">
            <w:pPr>
              <w:pStyle w:val="P68B1DB1-Normal34"/>
              <w:spacing w:after="0" w:line="240" w:lineRule="auto"/>
              <w:textAlignment w:val="baseline"/>
              <w:rPr>
                <w:noProof/>
              </w:rPr>
            </w:pPr>
            <w:r>
              <w:rPr>
                <w:noProof/>
              </w:rPr>
              <w:t>L’arrêté instaure des dispositions financières prévoyant des ressources financières supplémentaires pour les contrats de soins de santé primaires, à l’exclusion des soins de santé de nuit et de vacances.</w:t>
            </w:r>
          </w:p>
        </w:tc>
      </w:tr>
      <w:tr w:rsidR="003C4798" w14:paraId="1D63E16E"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28B462D" w14:textId="203E8072"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D3G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1011CC" w14:textId="18D248E4" w:rsidR="003C4798" w:rsidRDefault="00417595">
            <w:pPr>
              <w:pStyle w:val="P68B1DB1-Normal34"/>
              <w:pBdr>
                <w:top w:val="nil"/>
                <w:left w:val="nil"/>
                <w:bottom w:val="nil"/>
                <w:right w:val="nil"/>
                <w:between w:val="nil"/>
              </w:pBdr>
              <w:spacing w:after="0" w:line="240" w:lineRule="auto"/>
              <w:rPr>
                <w:noProof/>
                <w:color w:val="006100"/>
              </w:rPr>
            </w:pPr>
            <w:r>
              <w:rPr>
                <w:noProof/>
              </w:rPr>
              <w:t>D1.1 Améliorer l'efficacité, l'accessibilité et la qualité des services de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787BD36" w14:textId="56432480"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72B55C" w14:textId="02BB1B37" w:rsidR="003C4798" w:rsidRDefault="00417595">
            <w:pPr>
              <w:pStyle w:val="P68B1DB1-Normal34"/>
              <w:pBdr>
                <w:top w:val="nil"/>
                <w:left w:val="nil"/>
                <w:bottom w:val="nil"/>
                <w:right w:val="nil"/>
                <w:between w:val="nil"/>
              </w:pBdr>
              <w:spacing w:after="0" w:line="240" w:lineRule="auto"/>
              <w:rPr>
                <w:noProof/>
                <w:color w:val="000000"/>
              </w:rPr>
            </w:pPr>
            <w:r>
              <w:rPr>
                <w:noProof/>
              </w:rPr>
              <w:t>Entrée en vigueur de la loi sur la qualité des soins de santé et la sécurité des patients, ainsi que des règlements d'application nécessaires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A43DC0" w14:textId="7CC3FE3E" w:rsidR="003C4798" w:rsidRDefault="00417595">
            <w:pPr>
              <w:pStyle w:val="P68B1DB1-Normal34"/>
              <w:pBdr>
                <w:top w:val="nil"/>
                <w:left w:val="nil"/>
                <w:bottom w:val="nil"/>
                <w:right w:val="nil"/>
                <w:between w:val="nil"/>
              </w:pBdr>
              <w:spacing w:after="0" w:line="240" w:lineRule="auto"/>
              <w:rPr>
                <w:noProof/>
                <w:color w:val="006100"/>
              </w:rPr>
            </w:pPr>
            <w:r>
              <w:rPr>
                <w:noProof/>
              </w:rPr>
              <w:t>Disposition de l'acte indiquant son entrée en vigueur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BE1B27D"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C8920AF"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3B780B1"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1D0B2BC" w14:textId="6DD58CD6"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T3</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65A51F" w14:textId="3488E015"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2022</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20966AA" w14:textId="1BF77134" w:rsidR="003C4798" w:rsidRDefault="00417595">
            <w:pPr>
              <w:pStyle w:val="P68B1DB1-Normal22"/>
              <w:spacing w:after="0" w:line="240" w:lineRule="auto"/>
              <w:textAlignment w:val="baseline"/>
              <w:rPr>
                <w:noProof/>
              </w:rPr>
            </w:pPr>
            <w:r>
              <w:rPr>
                <w:noProof/>
                <w:color w:val="000000" w:themeColor="text1"/>
              </w:rPr>
              <w:t xml:space="preserve">Entrée en vigueur de la loi sur la qualité des soins de santé et la sécurité des patients, qui comprend des dispositions sur les éléments suivants: </w:t>
            </w:r>
            <w:r>
              <w:rPr>
                <w:noProof/>
              </w:rPr>
              <w:br/>
            </w:r>
            <w:r>
              <w:rPr>
                <w:noProof/>
                <w:color w:val="000000" w:themeColor="text1"/>
              </w:rPr>
              <w:t xml:space="preserve">1) autorisation: un système d’évaluation des entités exerçant des activités médicales, telles que les services hospitaliers, à la lumière de leur conformité avec les exigences du ministère de la santé et du Fonds national pour la santé (les «exigences du panier»); </w:t>
            </w:r>
            <w:r>
              <w:rPr>
                <w:noProof/>
              </w:rPr>
              <w:br/>
            </w:r>
            <w:r>
              <w:rPr>
                <w:noProof/>
                <w:color w:val="000000" w:themeColor="text1"/>
              </w:rPr>
              <w:t>2) accréditation: un cadre pour l'évaluation externe de la qualité des soins de santé et de la sécurité des patients dans les hôpitaux;</w:t>
            </w:r>
            <w:r>
              <w:rPr>
                <w:noProof/>
              </w:rPr>
              <w:br/>
            </w:r>
            <w:r>
              <w:rPr>
                <w:noProof/>
                <w:color w:val="000000" w:themeColor="text1"/>
              </w:rPr>
              <w:t>3) surveillance des événements indésirables: un cadre pour les activités menées par les entités médicales, en particulier la réalisation d’une analyse systématique des événements indésirables en vue de prévenir la survenue d’événements indésirables similaires;</w:t>
            </w:r>
            <w:r>
              <w:rPr>
                <w:noProof/>
              </w:rPr>
              <w:br/>
            </w:r>
            <w:r>
              <w:rPr>
                <w:noProof/>
                <w:color w:val="000000" w:themeColor="text1"/>
              </w:rPr>
              <w:t>4) registres médicaux: préciser les règles de création et de financement des registres médicaux et renforcer leur rôle dans la garantie de la qualité des soins de santé;</w:t>
            </w:r>
            <w:r>
              <w:rPr>
                <w:noProof/>
              </w:rPr>
              <w:br/>
            </w:r>
            <w:r>
              <w:rPr>
                <w:noProof/>
                <w:color w:val="000000" w:themeColor="text1"/>
              </w:rPr>
              <w:t xml:space="preserve">5) expérience des patients: établir un cadre pour mesurer l’expérience des patients en ce qui concerne les dispositions contractuelles du Fonds national de la santé (NFZ); et </w:t>
            </w:r>
          </w:p>
          <w:p w14:paraId="0C7C7367" w14:textId="681C89FA" w:rsidR="003C4798" w:rsidRDefault="00417595">
            <w:pPr>
              <w:pStyle w:val="P68B1DB1-Normal34"/>
              <w:spacing w:after="0" w:line="240" w:lineRule="auto"/>
              <w:textAlignment w:val="baseline"/>
              <w:rPr>
                <w:noProof/>
              </w:rPr>
            </w:pPr>
            <w:r>
              <w:rPr>
                <w:noProof/>
              </w:rPr>
              <w:t>6) réhospitalisation: un cadre pour le suivi et l’analyse des taux de réadmission de 30 jours liés aux dispositions contractuelles relatives aux zones franches nationales (au moyen d’un règlement d’exécution).</w:t>
            </w:r>
          </w:p>
        </w:tc>
      </w:tr>
      <w:tr w:rsidR="003C4798" w14:paraId="581F7221"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1F045DB" w14:textId="479BCF99"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D4G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9B49D61" w14:textId="3F78036A" w:rsidR="003C4798" w:rsidRDefault="00417595">
            <w:pPr>
              <w:pStyle w:val="P68B1DB1-Normal34"/>
              <w:pBdr>
                <w:top w:val="nil"/>
                <w:left w:val="nil"/>
                <w:bottom w:val="nil"/>
                <w:right w:val="nil"/>
                <w:between w:val="nil"/>
              </w:pBdr>
              <w:spacing w:after="0" w:line="240" w:lineRule="auto"/>
              <w:rPr>
                <w:noProof/>
                <w:color w:val="006100"/>
              </w:rPr>
            </w:pPr>
            <w:r>
              <w:rPr>
                <w:noProof/>
              </w:rPr>
              <w:t>D1.1 Améliorer l'efficacité, l'accessibilité et la qualité des services de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1065C45" w14:textId="7A27C362"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C0E883A" w14:textId="627F8A8C" w:rsidR="003C4798" w:rsidRDefault="00417595">
            <w:pPr>
              <w:pStyle w:val="P68B1DB1-Normal34"/>
              <w:pBdr>
                <w:top w:val="nil"/>
                <w:left w:val="nil"/>
                <w:bottom w:val="nil"/>
                <w:right w:val="nil"/>
                <w:between w:val="nil"/>
              </w:pBdr>
              <w:spacing w:after="0" w:line="240" w:lineRule="auto"/>
              <w:rPr>
                <w:noProof/>
                <w:color w:val="000000"/>
              </w:rPr>
            </w:pPr>
            <w:r>
              <w:rPr>
                <w:noProof/>
              </w:rPr>
              <w:t xml:space="preserve">Entrée en vigueur de la loi sur le réseau national oncologique et des actes juridiques pertinents établissant les règles de fonctionnement du réseau en introduisant une nouvelle structure et un nouveau modèle de gestion des soins contre le cancer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8CE5A6" w14:textId="51F3181E" w:rsidR="003C4798" w:rsidRDefault="00417595">
            <w:pPr>
              <w:pStyle w:val="P68B1DB1-Normal34"/>
              <w:pBdr>
                <w:top w:val="nil"/>
                <w:left w:val="nil"/>
                <w:bottom w:val="nil"/>
                <w:right w:val="nil"/>
                <w:between w:val="nil"/>
              </w:pBdr>
              <w:spacing w:after="0" w:line="240" w:lineRule="auto"/>
              <w:rPr>
                <w:noProof/>
                <w:color w:val="006100"/>
              </w:rPr>
            </w:pPr>
            <w:r>
              <w:rPr>
                <w:noProof/>
              </w:rPr>
              <w:t>Disposition de l'acte indiquant l'entrée en vigueur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C52DD34"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1FD142B"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4FB8E43"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18D759B" w14:textId="75F10904"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T3</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E5B046" w14:textId="3AF3E1A7"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2022</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9249F9B" w14:textId="79ED030A" w:rsidR="003C4798" w:rsidRDefault="00417595">
            <w:pPr>
              <w:pStyle w:val="P68B1DB1-Normal22"/>
              <w:pBdr>
                <w:top w:val="nil"/>
                <w:left w:val="nil"/>
                <w:bottom w:val="nil"/>
                <w:right w:val="nil"/>
                <w:between w:val="nil"/>
              </w:pBdr>
              <w:spacing w:after="0" w:line="240" w:lineRule="auto"/>
              <w:rPr>
                <w:noProof/>
                <w:color w:val="000000"/>
              </w:rPr>
            </w:pPr>
            <w:r>
              <w:rPr>
                <w:noProof/>
                <w:color w:val="000000" w:themeColor="text1"/>
              </w:rPr>
              <w:t xml:space="preserve">Entrée en vigueur de la loi sur le réseau oncologique national et des actes juridiques pertinents qui garantissent que tous les patients, quel que soit leur lieu de résidence, reçoivent des soins oncologiques sur la base des mêmes normes diagnostiques et thérapeutiques. </w:t>
            </w:r>
            <w:r>
              <w:rPr>
                <w:noProof/>
              </w:rPr>
              <w:br/>
            </w:r>
            <w:r>
              <w:rPr>
                <w:noProof/>
                <w:color w:val="000000" w:themeColor="text1"/>
              </w:rPr>
              <w:t>Ces actes sont axés sur:</w:t>
            </w:r>
            <w:r>
              <w:rPr>
                <w:noProof/>
              </w:rPr>
              <w:t xml:space="preserve"> </w:t>
            </w:r>
            <w:r>
              <w:rPr>
                <w:noProof/>
              </w:rPr>
              <w:br/>
            </w:r>
            <w:r>
              <w:rPr>
                <w:noProof/>
                <w:color w:val="000000" w:themeColor="text1"/>
              </w:rPr>
              <w:t>- améliorer l'organisation du système de soins oncologiques en permettant aux patients d'accéder à des processus diagnostiques et thérapeutiques de la plus haute qualité et à des soins complets tout au long du «chemin du patient» dans les domaines des soins primaires, des soins ambulatoires spécialisés, du traitement hospitalier et de la réadaptation;</w:t>
            </w:r>
            <w:r>
              <w:rPr>
                <w:noProof/>
              </w:rPr>
              <w:br/>
            </w:r>
            <w:r>
              <w:rPr>
                <w:noProof/>
                <w:color w:val="000000" w:themeColor="text1"/>
              </w:rPr>
              <w:t>- la création d'une nouvelle structure organisationnelle et d'un nouveau modèle de gestion des soins contre le cancer, y compris les centres de surveillance;</w:t>
            </w:r>
          </w:p>
          <w:p w14:paraId="28A835AA" w14:textId="4D0BD247" w:rsidR="003C4798" w:rsidRDefault="00417595">
            <w:pPr>
              <w:pStyle w:val="P68B1DB1-Normal34"/>
              <w:spacing w:after="0" w:line="240" w:lineRule="auto"/>
              <w:textAlignment w:val="baseline"/>
              <w:rPr>
                <w:noProof/>
              </w:rPr>
            </w:pPr>
            <w:r>
              <w:rPr>
                <w:noProof/>
              </w:rPr>
              <w:t>- améliorer la qualité de vie des patients pendant et après le traitement oncologique.</w:t>
            </w:r>
          </w:p>
        </w:tc>
      </w:tr>
      <w:tr w:rsidR="003C4798" w14:paraId="6B32340D"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4359A82" w14:textId="598EC6E2"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D5G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775316A" w14:textId="5570A4D1" w:rsidR="003C4798" w:rsidRDefault="00417595">
            <w:pPr>
              <w:pStyle w:val="P68B1DB1-Normal34"/>
              <w:pBdr>
                <w:top w:val="nil"/>
                <w:left w:val="nil"/>
                <w:bottom w:val="nil"/>
                <w:right w:val="nil"/>
                <w:between w:val="nil"/>
              </w:pBdr>
              <w:spacing w:after="0" w:line="240" w:lineRule="auto"/>
              <w:rPr>
                <w:noProof/>
                <w:color w:val="006100"/>
              </w:rPr>
            </w:pPr>
            <w:r>
              <w:rPr>
                <w:noProof/>
              </w:rPr>
              <w:t>D1.1 Améliorer l'efficacité, l'accessibilité et la qualité des services de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F57C9C" w14:textId="5D6FC229"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5BA42FD" w14:textId="23788FBD" w:rsidR="003C4798" w:rsidRDefault="00417595">
            <w:pPr>
              <w:pStyle w:val="P68B1DB1-Normal34"/>
              <w:pBdr>
                <w:top w:val="nil"/>
                <w:left w:val="nil"/>
                <w:bottom w:val="nil"/>
                <w:right w:val="nil"/>
                <w:between w:val="nil"/>
              </w:pBdr>
              <w:spacing w:after="0" w:line="240" w:lineRule="auto"/>
              <w:rPr>
                <w:noProof/>
                <w:color w:val="000000"/>
              </w:rPr>
            </w:pPr>
            <w:r>
              <w:rPr>
                <w:noProof/>
              </w:rPr>
              <w:t xml:space="preserve">Entrée en vigueur de la loi portant création du Réseau national de cardiologie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5A8C757" w14:textId="632F0E44" w:rsidR="003C4798" w:rsidRDefault="00417595">
            <w:pPr>
              <w:pStyle w:val="P68B1DB1-Normal34"/>
              <w:pBdr>
                <w:top w:val="nil"/>
                <w:left w:val="nil"/>
                <w:bottom w:val="nil"/>
                <w:right w:val="nil"/>
                <w:between w:val="nil"/>
              </w:pBdr>
              <w:spacing w:after="0" w:line="240" w:lineRule="auto"/>
              <w:rPr>
                <w:noProof/>
                <w:color w:val="006100"/>
              </w:rPr>
            </w:pPr>
            <w:r>
              <w:rPr>
                <w:noProof/>
              </w:rPr>
              <w:t>Dispositions des actes juridiques indiquant l'entrée en vigueur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6F42FDF"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0DD3AA1"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1F0A4E"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DB27AD" w14:textId="1F4320EB"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T3</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18E13C7" w14:textId="6D52A585"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2025</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6A4CA77" w14:textId="77777777" w:rsidR="003C4798" w:rsidRDefault="00417595">
            <w:pPr>
              <w:pStyle w:val="P68B1DB1-Normal34"/>
              <w:pBdr>
                <w:top w:val="nil"/>
                <w:left w:val="nil"/>
                <w:bottom w:val="nil"/>
                <w:right w:val="nil"/>
                <w:between w:val="nil"/>
              </w:pBdr>
              <w:spacing w:after="0" w:line="240" w:lineRule="auto"/>
              <w:rPr>
                <w:noProof/>
                <w:color w:val="000000"/>
              </w:rPr>
            </w:pPr>
            <w:r>
              <w:rPr>
                <w:noProof/>
              </w:rPr>
              <w:t>Entrée en vigueur des actes juridiques qui prévoient:</w:t>
            </w:r>
          </w:p>
          <w:p w14:paraId="4AF8077A" w14:textId="77777777" w:rsidR="003C4798" w:rsidRDefault="00417595">
            <w:pPr>
              <w:pStyle w:val="P68B1DB1-Normal34"/>
              <w:pBdr>
                <w:top w:val="nil"/>
                <w:left w:val="nil"/>
                <w:bottom w:val="nil"/>
                <w:right w:val="nil"/>
                <w:between w:val="nil"/>
              </w:pBdr>
              <w:spacing w:after="0" w:line="240" w:lineRule="auto"/>
              <w:rPr>
                <w:noProof/>
                <w:color w:val="000000"/>
              </w:rPr>
            </w:pPr>
            <w:r>
              <w:rPr>
                <w:noProof/>
              </w:rPr>
              <w:t>- la mise en place d'une structure organisationnelle du Réseau national de cardiologie et la gestion des soins cardiologiques;</w:t>
            </w:r>
          </w:p>
          <w:p w14:paraId="2843C1C4" w14:textId="77777777" w:rsidR="003C4798" w:rsidRDefault="00417595">
            <w:pPr>
              <w:pStyle w:val="P68B1DB1-Normal34"/>
              <w:pBdr>
                <w:top w:val="nil"/>
                <w:left w:val="nil"/>
                <w:bottom w:val="nil"/>
                <w:right w:val="nil"/>
                <w:between w:val="nil"/>
              </w:pBdr>
              <w:spacing w:after="0" w:line="240" w:lineRule="auto"/>
              <w:rPr>
                <w:noProof/>
                <w:color w:val="000000"/>
              </w:rPr>
            </w:pPr>
            <w:r>
              <w:rPr>
                <w:noProof/>
              </w:rPr>
              <w:t>- la mise en place de soins cardiologiques pour les patients sur la base des normes diagnostiques et thérapeutiques recommandées;</w:t>
            </w:r>
          </w:p>
          <w:p w14:paraId="5299A3EA" w14:textId="4A6D4C00" w:rsidR="003C4798" w:rsidRDefault="00417595">
            <w:pPr>
              <w:pStyle w:val="P68B1DB1-Normal34"/>
              <w:spacing w:after="0" w:line="240" w:lineRule="auto"/>
              <w:textAlignment w:val="baseline"/>
              <w:rPr>
                <w:noProof/>
              </w:rPr>
            </w:pPr>
            <w:r>
              <w:rPr>
                <w:noProof/>
              </w:rPr>
              <w:t>- la mise en place du cadre de suivi de la qualité des soins cardiologiques au sein du Réseau Cardiologique National.</w:t>
            </w:r>
          </w:p>
        </w:tc>
      </w:tr>
      <w:tr w:rsidR="003C4798" w14:paraId="1438F380"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21618A9" w14:textId="28A4221F"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D6G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4BD0D18" w14:textId="3BBDB6A2" w:rsidR="003C4798" w:rsidRDefault="00417595">
            <w:pPr>
              <w:pStyle w:val="P68B1DB1-Normal34"/>
              <w:pBdr>
                <w:top w:val="nil"/>
                <w:left w:val="nil"/>
                <w:bottom w:val="nil"/>
                <w:right w:val="nil"/>
                <w:between w:val="nil"/>
              </w:pBdr>
              <w:spacing w:after="0" w:line="240" w:lineRule="auto"/>
              <w:rPr>
                <w:noProof/>
                <w:color w:val="006100"/>
              </w:rPr>
            </w:pPr>
            <w:r>
              <w:rPr>
                <w:noProof/>
              </w:rPr>
              <w:t>D1.1 Améliorer l'efficacité, l'accessibilité et la qualité des services de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AC3BBD" w14:textId="7814479B"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17CC2B0" w14:textId="3D0BEE95" w:rsidR="003C4798" w:rsidRDefault="00417595">
            <w:pPr>
              <w:pStyle w:val="P68B1DB1-Normal34"/>
              <w:pBdr>
                <w:top w:val="nil"/>
                <w:left w:val="nil"/>
                <w:bottom w:val="nil"/>
                <w:right w:val="nil"/>
                <w:between w:val="nil"/>
              </w:pBdr>
              <w:spacing w:after="0" w:line="240" w:lineRule="auto"/>
              <w:rPr>
                <w:noProof/>
                <w:color w:val="000000"/>
              </w:rPr>
            </w:pPr>
            <w:r>
              <w:rPr>
                <w:noProof/>
              </w:rPr>
              <w:t>Entrée en vigueur du ou des actes juridiques permettant la fourniture de services de santé en ligne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A45ABB0" w14:textId="0DCCABEA" w:rsidR="003C4798" w:rsidRDefault="00417595">
            <w:pPr>
              <w:pStyle w:val="P68B1DB1-Normal34"/>
              <w:pBdr>
                <w:top w:val="nil"/>
                <w:left w:val="nil"/>
                <w:bottom w:val="nil"/>
                <w:right w:val="nil"/>
                <w:between w:val="nil"/>
              </w:pBdr>
              <w:spacing w:after="0" w:line="240" w:lineRule="auto"/>
              <w:rPr>
                <w:noProof/>
                <w:color w:val="006100"/>
              </w:rPr>
            </w:pPr>
            <w:r>
              <w:rPr>
                <w:noProof/>
              </w:rPr>
              <w:t>Disposition du ou des actes juridiques indiquant l’entrée en vigueur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DD838EE"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0CF2ED"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AD060A9"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7192941" w14:textId="7FEBE50E"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T1</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50982C" w14:textId="17BF3B01"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2026</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EACFF6" w14:textId="584F7185" w:rsidR="003C4798" w:rsidRDefault="00417595">
            <w:pPr>
              <w:pStyle w:val="P68B1DB1-Normal34"/>
              <w:spacing w:after="0" w:line="240" w:lineRule="auto"/>
              <w:textAlignment w:val="baseline"/>
              <w:rPr>
                <w:noProof/>
              </w:rPr>
            </w:pPr>
            <w:r>
              <w:rPr>
                <w:noProof/>
              </w:rPr>
              <w:t xml:space="preserve">Entrée en vigueur du ou des actes juridiques introduisant la fourniture de services de santé en ligne: un outil d’analyse de la santé des patients, un outil de soutien basé sur l’IA pour les hôpitaux, un entrepôt de données médicales. </w:t>
            </w:r>
          </w:p>
        </w:tc>
      </w:tr>
      <w:tr w:rsidR="003C4798" w14:paraId="00B35AAF"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8A8784A" w14:textId="26971390"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D7G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21B9BE8" w14:textId="0CD641D3" w:rsidR="003C4798" w:rsidRDefault="00417595">
            <w:pPr>
              <w:pStyle w:val="P68B1DB1-Normal34"/>
              <w:pBdr>
                <w:top w:val="nil"/>
                <w:left w:val="nil"/>
                <w:bottom w:val="nil"/>
                <w:right w:val="nil"/>
                <w:between w:val="nil"/>
              </w:pBdr>
              <w:spacing w:after="0" w:line="240" w:lineRule="auto"/>
              <w:rPr>
                <w:noProof/>
                <w:color w:val="006100"/>
              </w:rPr>
            </w:pPr>
            <w:r>
              <w:rPr>
                <w:noProof/>
              </w:rPr>
              <w:t>D1.1 Améliorer l'efficacité, l'accessibilité et la qualité des services de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838D1C5" w14:textId="12A7EC35"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D45F24" w14:textId="4F1D7BB4" w:rsidR="003C4798" w:rsidRDefault="00417595">
            <w:pPr>
              <w:pStyle w:val="P68B1DB1-Normal34"/>
              <w:pBdr>
                <w:top w:val="nil"/>
                <w:left w:val="nil"/>
                <w:bottom w:val="nil"/>
                <w:right w:val="nil"/>
                <w:between w:val="nil"/>
              </w:pBdr>
              <w:spacing w:after="0" w:line="240" w:lineRule="auto"/>
              <w:rPr>
                <w:noProof/>
                <w:color w:val="000000"/>
              </w:rPr>
            </w:pPr>
            <w:r>
              <w:rPr>
                <w:noProof/>
              </w:rPr>
              <w:t xml:space="preserve">Entrée en vigueur du règlement relatif à la liste des centres de surveillance des voïvodies pour le réseau oncologique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C52BA21" w14:textId="391F890D" w:rsidR="003C4798" w:rsidRDefault="00417595">
            <w:pPr>
              <w:pStyle w:val="P68B1DB1-Normal34"/>
              <w:pBdr>
                <w:top w:val="nil"/>
                <w:left w:val="nil"/>
                <w:bottom w:val="nil"/>
                <w:right w:val="nil"/>
                <w:between w:val="nil"/>
              </w:pBdr>
              <w:spacing w:after="0" w:line="240" w:lineRule="auto"/>
              <w:rPr>
                <w:noProof/>
                <w:color w:val="006100"/>
              </w:rPr>
            </w:pPr>
            <w:r>
              <w:rPr>
                <w:noProof/>
              </w:rPr>
              <w:t>Disposition du règlement indiquant l'entrée en vigueur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BB337E"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4B348C2"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FB081A"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72AE2E" w14:textId="09D97757"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T1</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B90E14C" w14:textId="76C4003F"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2023</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01FD822" w14:textId="584A6134" w:rsidR="003C4798" w:rsidRDefault="00417595">
            <w:pPr>
              <w:pStyle w:val="P68B1DB1-Normal34"/>
              <w:spacing w:after="0" w:line="240" w:lineRule="auto"/>
              <w:textAlignment w:val="baseline"/>
              <w:rPr>
                <w:noProof/>
              </w:rPr>
            </w:pPr>
            <w:r>
              <w:rPr>
                <w:noProof/>
              </w:rPr>
              <w:t>Le règlement entre en vigueur et prévoit la création de centres de surveillance des voïvodies, qui sont des entités médicales sélectionnées dans le réseau oncologique de chacune des 16 voïvodies, spécialisées dans les soins oncologiques et fournissant un traitement et un suivi oncologiques complets.</w:t>
            </w:r>
          </w:p>
        </w:tc>
      </w:tr>
      <w:tr w:rsidR="003C4798" w14:paraId="1ED34A31"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2E0337D" w14:textId="387FEC85"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D9G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241F8C" w14:textId="1EA181FC" w:rsidR="003C4798" w:rsidRDefault="00417595">
            <w:pPr>
              <w:pStyle w:val="P68B1DB1-Normal34"/>
              <w:pBdr>
                <w:top w:val="nil"/>
                <w:left w:val="nil"/>
                <w:bottom w:val="nil"/>
                <w:right w:val="nil"/>
                <w:between w:val="nil"/>
              </w:pBdr>
              <w:spacing w:after="0" w:line="240" w:lineRule="auto"/>
              <w:rPr>
                <w:noProof/>
                <w:color w:val="006100"/>
              </w:rPr>
            </w:pPr>
            <w:r>
              <w:rPr>
                <w:noProof/>
              </w:rPr>
              <w:t xml:space="preserve">D1.1.1 Modernisation des centres de soins hautement spécialisés et des autres prestataires de soins de santé </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ADB0F3B" w14:textId="350467F4"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0E42E51" w14:textId="0514D974" w:rsidR="003C4798" w:rsidRDefault="00417595">
            <w:pPr>
              <w:pStyle w:val="P68B1DB1-Normal22"/>
              <w:pBdr>
                <w:top w:val="nil"/>
                <w:left w:val="nil"/>
                <w:bottom w:val="nil"/>
                <w:right w:val="nil"/>
                <w:between w:val="nil"/>
              </w:pBdr>
              <w:spacing w:after="0" w:line="240" w:lineRule="auto"/>
              <w:rPr>
                <w:noProof/>
                <w:color w:val="000000"/>
              </w:rPr>
            </w:pPr>
            <w:r>
              <w:rPr>
                <w:noProof/>
                <w:color w:val="000000" w:themeColor="text1"/>
              </w:rPr>
              <w:t xml:space="preserve">Entrée en vigueur d’un acte juridique établissant une liste de critères d’admissibilité des hôpitaux pour chaque niveau de soins en oncologie </w:t>
            </w:r>
            <w:r>
              <w:rPr>
                <w:noProof/>
              </w:rPr>
              <w:t xml:space="preserv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CD191C5" w14:textId="0BE6FA81" w:rsidR="003C4798" w:rsidRDefault="00417595">
            <w:pPr>
              <w:pStyle w:val="P68B1DB1-Normal34"/>
              <w:pBdr>
                <w:top w:val="nil"/>
                <w:left w:val="nil"/>
                <w:bottom w:val="nil"/>
                <w:right w:val="nil"/>
                <w:between w:val="nil"/>
              </w:pBdr>
              <w:spacing w:after="0" w:line="240" w:lineRule="auto"/>
              <w:rPr>
                <w:noProof/>
                <w:color w:val="006100"/>
              </w:rPr>
            </w:pPr>
            <w:r>
              <w:rPr>
                <w:noProof/>
              </w:rPr>
              <w:t>Disposition de l’acte juridique indiquant l’entrée en vigueur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D22330"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E9CA799"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AD69D81"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66540B1" w14:textId="3724E5A7"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T4</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6FB68C" w14:textId="1D8B19C0"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2022</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C67ABAB" w14:textId="77777777" w:rsidR="003C4798" w:rsidRDefault="00417595">
            <w:pPr>
              <w:pStyle w:val="P68B1DB1-Normal22"/>
              <w:spacing w:before="60" w:after="60" w:line="240" w:lineRule="auto"/>
              <w:rPr>
                <w:noProof/>
              </w:rPr>
            </w:pPr>
            <w:r>
              <w:rPr>
                <w:noProof/>
                <w:color w:val="000000" w:themeColor="text1"/>
              </w:rPr>
              <w:t>Entrée en vigueur d’un acte juridique</w:t>
            </w:r>
            <w:r>
              <w:rPr>
                <w:noProof/>
              </w:rPr>
              <w:t xml:space="preserve"> </w:t>
            </w:r>
            <w:r>
              <w:rPr>
                <w:noProof/>
                <w:color w:val="000000" w:themeColor="text1"/>
              </w:rPr>
              <w:t>par le ministre de la santé sur la base d’une liste de critères sur la base desquels les hôpitaux oncologiques sont affectés à différentes catégories/niveaux du réseau national oncologique. Ces catégories/niveaux contribuent à identifier les besoins d’investissement découlant de la réforme D4G.</w:t>
            </w:r>
          </w:p>
          <w:p w14:paraId="49BAD03B" w14:textId="3031C5EB" w:rsidR="003C4798" w:rsidRDefault="00417595">
            <w:pPr>
              <w:pStyle w:val="P68B1DB1-Normal22"/>
              <w:spacing w:after="0" w:line="240" w:lineRule="auto"/>
              <w:textAlignment w:val="baseline"/>
              <w:rPr>
                <w:noProof/>
              </w:rPr>
            </w:pPr>
            <w:r>
              <w:rPr>
                <w:noProof/>
                <w:color w:val="000000" w:themeColor="text1"/>
              </w:rPr>
              <w:t>Les critères de catégorisation sont fondés sur:</w:t>
            </w:r>
            <w:r>
              <w:rPr>
                <w:noProof/>
              </w:rPr>
              <w:br/>
            </w:r>
            <w:r>
              <w:rPr>
                <w:noProof/>
                <w:color w:val="000000" w:themeColor="text1"/>
              </w:rPr>
              <w:t>- la couverture (par exemple, la population couverte; les prestations couvertes; nécessité d’un accès en temps utile aux soins);</w:t>
            </w:r>
            <w:r>
              <w:rPr>
                <w:noProof/>
              </w:rPr>
              <w:br/>
            </w:r>
            <w:r>
              <w:rPr>
                <w:noProof/>
                <w:color w:val="000000" w:themeColor="text1"/>
              </w:rPr>
              <w:t>- équité (par exemple, équité dans la livraison et l'utilisation);</w:t>
            </w:r>
            <w:r>
              <w:rPr>
                <w:noProof/>
              </w:rPr>
              <w:br/>
            </w:r>
            <w:r>
              <w:rPr>
                <w:noProof/>
                <w:color w:val="000000" w:themeColor="text1"/>
              </w:rPr>
              <w:t>- efficacité;</w:t>
            </w:r>
            <w:r>
              <w:rPr>
                <w:noProof/>
              </w:rPr>
              <w:br/>
            </w:r>
            <w:r>
              <w:rPr>
                <w:noProof/>
                <w:color w:val="000000" w:themeColor="text1"/>
              </w:rPr>
              <w:t>- qualité des soins et</w:t>
            </w:r>
            <w:r>
              <w:rPr>
                <w:noProof/>
              </w:rPr>
              <w:t xml:space="preserve"> </w:t>
            </w:r>
            <w:r>
              <w:rPr>
                <w:noProof/>
              </w:rPr>
              <w:br/>
              <w:t xml:space="preserve"> </w:t>
            </w:r>
            <w:r>
              <w:rPr>
                <w:noProof/>
                <w:color w:val="000000" w:themeColor="text1"/>
              </w:rPr>
              <w:t>- disponibilité des ressources (ressources humaines et financières, par exemple).</w:t>
            </w:r>
          </w:p>
        </w:tc>
      </w:tr>
      <w:tr w:rsidR="003C4798" w14:paraId="2A96B97C"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42E2F9" w14:textId="00829986"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D10aG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0A2714" w14:textId="2D48524B" w:rsidR="003C4798" w:rsidRDefault="00417595">
            <w:pPr>
              <w:pStyle w:val="P68B1DB1-Normal34"/>
              <w:pBdr>
                <w:top w:val="nil"/>
                <w:left w:val="nil"/>
                <w:bottom w:val="nil"/>
                <w:right w:val="nil"/>
                <w:between w:val="nil"/>
              </w:pBdr>
              <w:spacing w:after="0" w:line="240" w:lineRule="auto"/>
              <w:rPr>
                <w:noProof/>
                <w:color w:val="006100"/>
              </w:rPr>
            </w:pPr>
            <w:r>
              <w:rPr>
                <w:noProof/>
              </w:rPr>
              <w:t xml:space="preserve">D1.1.1 Modernisation des centres de soins hautement spécialisés et des autres prestataires de soins de santé </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A89DBB8" w14:textId="4A89CBF5"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BEF731" w14:textId="23624AA3" w:rsidR="003C4798" w:rsidRDefault="00417595">
            <w:pPr>
              <w:pStyle w:val="P68B1DB1-Normal34"/>
              <w:pBdr>
                <w:top w:val="nil"/>
                <w:left w:val="nil"/>
                <w:bottom w:val="nil"/>
                <w:right w:val="nil"/>
                <w:between w:val="nil"/>
              </w:pBdr>
              <w:spacing w:after="0" w:line="240" w:lineRule="auto"/>
              <w:rPr>
                <w:noProof/>
                <w:color w:val="000000"/>
              </w:rPr>
            </w:pPr>
            <w:r>
              <w:rPr>
                <w:noProof/>
              </w:rPr>
              <w:t>Premier appel à propositions pour les hôpitaux (dans le cadre du réseau national oncologique) et les centres de soins ambulatoires spécialisés (AOS) coopérant avec eux</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1DC202" w14:textId="0CD61C18" w:rsidR="003C4798" w:rsidRDefault="00417595">
            <w:pPr>
              <w:pStyle w:val="P68B1DB1-Normal34"/>
              <w:pBdr>
                <w:top w:val="nil"/>
                <w:left w:val="nil"/>
                <w:bottom w:val="nil"/>
                <w:right w:val="nil"/>
                <w:between w:val="nil"/>
              </w:pBdr>
              <w:spacing w:after="0" w:line="240" w:lineRule="auto"/>
              <w:rPr>
                <w:noProof/>
                <w:color w:val="006100"/>
              </w:rPr>
            </w:pPr>
            <w:r>
              <w:rPr>
                <w:noProof/>
              </w:rPr>
              <w:t xml:space="preserve">Publication du premier appel à propositions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A88AD6"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E311DB"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30B76E"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7F9CBA0" w14:textId="0D008622"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T3</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505C311" w14:textId="68268FC7"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2024</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A66C5CC" w14:textId="77777777" w:rsidR="003C4798" w:rsidRDefault="00417595">
            <w:pPr>
              <w:pStyle w:val="P68B1DB1-Normal34"/>
              <w:spacing w:after="0" w:line="240" w:lineRule="auto"/>
              <w:textAlignment w:val="baseline"/>
              <w:rPr>
                <w:noProof/>
                <w:color w:val="000000"/>
              </w:rPr>
            </w:pPr>
            <w:r>
              <w:rPr>
                <w:noProof/>
              </w:rPr>
              <w:t>Le premier appel à propositions pour les hôpitaux (dans le cadre du réseau national d’oncologie) et les centres de soins ambulatoires spécialisés (AOS) qui coopèrent avec eux pour acheter ou moderniser des équipements ou investir dans des infrastructures est lancé. L’appel est fondé sur les critères de catégorisation (établis au titre de la directive D9G) et sur des procédures claires et transparentes.</w:t>
            </w:r>
          </w:p>
          <w:p w14:paraId="43BEEA4B" w14:textId="77777777" w:rsidR="003C4798" w:rsidRDefault="003C4798">
            <w:pPr>
              <w:spacing w:after="0" w:line="240" w:lineRule="auto"/>
              <w:textAlignment w:val="baseline"/>
              <w:rPr>
                <w:rFonts w:ascii="Times New Roman" w:hAnsi="Times New Roman" w:cs="Times New Roman"/>
                <w:noProof/>
                <w:color w:val="000000"/>
                <w:sz w:val="18"/>
                <w:szCs w:val="18"/>
              </w:rPr>
            </w:pPr>
          </w:p>
          <w:p w14:paraId="0E2F0828" w14:textId="29E6355B" w:rsidR="003C4798" w:rsidRDefault="00417595">
            <w:pPr>
              <w:pStyle w:val="P68B1DB1-Normal34"/>
              <w:spacing w:after="0" w:line="240" w:lineRule="auto"/>
              <w:textAlignment w:val="baseline"/>
              <w:rPr>
                <w:noProof/>
                <w:color w:val="000000"/>
              </w:rPr>
            </w:pPr>
            <w:r>
              <w:rPr>
                <w:noProof/>
              </w:rPr>
              <w:t>Les investissements dans les infrastructures ou les achats d’équipements médicaux contribuent à améliorer la qualité des soins et à garantir un accès rapide et complet aux soins hospitaliers.</w:t>
            </w:r>
          </w:p>
          <w:p w14:paraId="3D588FE4" w14:textId="77777777" w:rsidR="003C4798" w:rsidRDefault="00417595">
            <w:pPr>
              <w:pStyle w:val="P68B1DB1-Normal34"/>
              <w:spacing w:after="0" w:line="240" w:lineRule="auto"/>
              <w:textAlignment w:val="baseline"/>
              <w:rPr>
                <w:noProof/>
                <w:color w:val="000000"/>
              </w:rPr>
            </w:pPr>
            <w:r>
              <w:rPr>
                <w:noProof/>
              </w:rPr>
              <w:t>Les critères de sélection de l’appel à propositions au titre du PRR prévoient que:</w:t>
            </w:r>
          </w:p>
          <w:p w14:paraId="099501DC" w14:textId="77777777" w:rsidR="003C4798" w:rsidRDefault="00417595">
            <w:pPr>
              <w:pStyle w:val="P68B1DB1-Normal34"/>
              <w:numPr>
                <w:ilvl w:val="0"/>
                <w:numId w:val="22"/>
              </w:numPr>
              <w:spacing w:after="0" w:line="240" w:lineRule="auto"/>
              <w:ind w:left="213" w:hanging="142"/>
              <w:rPr>
                <w:noProof/>
                <w:color w:val="000000"/>
              </w:rPr>
            </w:pPr>
            <w:r>
              <w:rPr>
                <w:noProof/>
              </w:rPr>
              <w:t>l’aide couvre exclusivement les hôpitaux et les centres de soins ambulatoires spécialisés (AOS) qualifiés pour le réseau oncologique national qui font partie des structures de ces hôpitaux;</w:t>
            </w:r>
          </w:p>
          <w:p w14:paraId="34751B35" w14:textId="7F99AF5C" w:rsidR="003C4798" w:rsidRDefault="00417595">
            <w:pPr>
              <w:pStyle w:val="P68B1DB1-Normal34"/>
              <w:numPr>
                <w:ilvl w:val="0"/>
                <w:numId w:val="22"/>
              </w:numPr>
              <w:spacing w:after="0" w:line="240" w:lineRule="auto"/>
              <w:ind w:left="213" w:hanging="142"/>
              <w:rPr>
                <w:noProof/>
                <w:color w:val="000000"/>
              </w:rPr>
            </w:pPr>
            <w:r>
              <w:rPr>
                <w:noProof/>
              </w:rPr>
              <w:t>les investissements sélectionnés, y compris ceux ciblant les centres de soins ambulatoires spécialisés coopérants, ne sont pas soutenus par des fonds de l’Union autres que la FRR.</w:t>
            </w:r>
          </w:p>
          <w:p w14:paraId="0BA18245" w14:textId="77777777" w:rsidR="003C4798" w:rsidRDefault="003C4798">
            <w:pPr>
              <w:spacing w:after="0" w:line="240" w:lineRule="auto"/>
              <w:ind w:left="213"/>
              <w:rPr>
                <w:rFonts w:ascii="Times New Roman" w:hAnsi="Times New Roman" w:cs="Times New Roman"/>
                <w:noProof/>
                <w:color w:val="000000"/>
                <w:sz w:val="18"/>
                <w:szCs w:val="18"/>
              </w:rPr>
            </w:pPr>
          </w:p>
          <w:p w14:paraId="09194C74" w14:textId="4E0F4584" w:rsidR="003C4798" w:rsidRDefault="00417595">
            <w:pPr>
              <w:pStyle w:val="P68B1DB1-Normal34"/>
              <w:spacing w:after="0" w:line="240" w:lineRule="auto"/>
              <w:textAlignment w:val="baseline"/>
              <w:rPr>
                <w:noProof/>
              </w:rPr>
            </w:pPr>
            <w:r>
              <w:rPr>
                <w:noProof/>
              </w:rPr>
              <w:t>Le soutien ne couvre que le champ des activités liées à la fourniture de services de santé financés par le Fonds national de la santé et ne couvre pas les activités commerciales.</w:t>
            </w:r>
          </w:p>
        </w:tc>
      </w:tr>
      <w:tr w:rsidR="003C4798" w14:paraId="1642FEB4"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C9BDA3" w14:textId="3AEAB87D"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D13G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7CE6B1" w14:textId="59B45D97" w:rsidR="003C4798" w:rsidRDefault="00417595">
            <w:pPr>
              <w:pStyle w:val="P68B1DB1-Normal34"/>
              <w:pBdr>
                <w:top w:val="nil"/>
                <w:left w:val="nil"/>
                <w:bottom w:val="nil"/>
                <w:right w:val="nil"/>
                <w:between w:val="nil"/>
              </w:pBdr>
              <w:spacing w:after="0" w:line="240" w:lineRule="auto"/>
              <w:rPr>
                <w:noProof/>
                <w:color w:val="006100"/>
              </w:rPr>
            </w:pPr>
            <w:r>
              <w:rPr>
                <w:noProof/>
              </w:rPr>
              <w:t>D1.1.1 Modernisation des centres de soins hautement spécialisés et des autres prestataires de soins de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4AACAEC" w14:textId="77773CF3"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Objectif</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737A988" w14:textId="45E94B51" w:rsidR="003C4798" w:rsidRDefault="00417595">
            <w:pPr>
              <w:pStyle w:val="P68B1DB1-Normal75"/>
              <w:pBdr>
                <w:top w:val="nil"/>
                <w:left w:val="nil"/>
                <w:bottom w:val="nil"/>
                <w:right w:val="nil"/>
                <w:between w:val="nil"/>
              </w:pBdr>
              <w:spacing w:after="0" w:line="240" w:lineRule="auto"/>
              <w:rPr>
                <w:noProof/>
              </w:rPr>
            </w:pPr>
            <w:r>
              <w:rPr>
                <w:noProof/>
              </w:rPr>
              <w:t>Hôpitaux du Réseau Oncologique National avec des investissements de construction ou de reconstruction ou des équipements médicaux achetés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6FB288" w14:textId="77777777" w:rsidR="003C4798" w:rsidRDefault="003C4798">
            <w:pPr>
              <w:pBdr>
                <w:top w:val="nil"/>
                <w:left w:val="nil"/>
                <w:bottom w:val="nil"/>
                <w:right w:val="nil"/>
                <w:between w:val="nil"/>
              </w:pBdr>
              <w:spacing w:after="0" w:line="240" w:lineRule="auto"/>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120C302" w14:textId="667FE378"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0E5CEA9" w14:textId="53466BD4"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36064D" w14:textId="4FA379CF"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59</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29CC12A" w14:textId="4D84D337"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T2</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AB5894" w14:textId="7BA7B6B9"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2026</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271E3F4" w14:textId="6C19DDED" w:rsidR="003C4798" w:rsidRDefault="00417595">
            <w:pPr>
              <w:pStyle w:val="P68B1DB1-Normal75"/>
              <w:spacing w:after="0" w:line="240" w:lineRule="auto"/>
              <w:textAlignment w:val="baseline"/>
              <w:rPr>
                <w:noProof/>
              </w:rPr>
            </w:pPr>
            <w:r>
              <w:rPr>
                <w:noProof/>
              </w:rPr>
              <w:t>Nombre d'hôpitaux du Réseau national d'oncologie avec un certificat confirmant les travaux de construction ou de reconstruction ou une preuve de livraison du matériel médical acheté.</w:t>
            </w:r>
          </w:p>
        </w:tc>
      </w:tr>
      <w:tr w:rsidR="003C4798" w14:paraId="27C6566A"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C984F99" w14:textId="3763BDB7"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D14G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327448" w14:textId="0871EF9F" w:rsidR="003C4798" w:rsidRDefault="00417595">
            <w:pPr>
              <w:pStyle w:val="P68B1DB1-Normal34"/>
              <w:pBdr>
                <w:top w:val="nil"/>
                <w:left w:val="nil"/>
                <w:bottom w:val="nil"/>
                <w:right w:val="nil"/>
                <w:between w:val="nil"/>
              </w:pBdr>
              <w:spacing w:after="0" w:line="240" w:lineRule="auto"/>
              <w:rPr>
                <w:noProof/>
                <w:color w:val="006100"/>
              </w:rPr>
            </w:pPr>
            <w:r>
              <w:rPr>
                <w:noProof/>
              </w:rPr>
              <w:t xml:space="preserve">D1.1.1 Modernisation des centres de soins hautement spécialisés et des autres prestataires de soins de santé </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CA39D83" w14:textId="16026DF2"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Objectif</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BDE7CA3" w14:textId="7640A5D1" w:rsidR="003C4798" w:rsidRDefault="00417595">
            <w:pPr>
              <w:pStyle w:val="P68B1DB1-Normal34"/>
              <w:pBdr>
                <w:top w:val="nil"/>
                <w:left w:val="nil"/>
                <w:bottom w:val="nil"/>
                <w:right w:val="nil"/>
                <w:between w:val="nil"/>
              </w:pBdr>
              <w:spacing w:after="0" w:line="240" w:lineRule="auto"/>
              <w:rPr>
                <w:noProof/>
                <w:color w:val="000000"/>
              </w:rPr>
            </w:pPr>
            <w:r>
              <w:rPr>
                <w:noProof/>
              </w:rPr>
              <w:t xml:space="preserve">Hôpitaux du Réseau national de cardiologie ayant fait l'objet d'investissements dans la construction ou la reconstruction ou d'achats de matériel médical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1604F15" w14:textId="29263904" w:rsidR="003C4798" w:rsidRDefault="00417595">
            <w:pPr>
              <w:pStyle w:val="P68B1DB1-Normal34"/>
              <w:pBdr>
                <w:top w:val="nil"/>
                <w:left w:val="nil"/>
                <w:bottom w:val="nil"/>
                <w:right w:val="nil"/>
                <w:between w:val="nil"/>
              </w:pBdr>
              <w:spacing w:after="0" w:line="240" w:lineRule="auto"/>
              <w:rPr>
                <w:noProof/>
                <w:color w:val="006100"/>
              </w:rPr>
            </w:pPr>
            <w:r>
              <w:rPr>
                <w:noProof/>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6C6B89D" w14:textId="3A660C1F"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A52CA9" w14:textId="77EBC78B"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AF3020" w14:textId="2B5307DF"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74</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AD62892" w14:textId="2B61D0E7"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T2</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DF4713" w14:textId="6297EE0E"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2026</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B67C2B" w14:textId="79947B81" w:rsidR="003C4798" w:rsidRDefault="00417595">
            <w:pPr>
              <w:pStyle w:val="P68B1DB1-Normal75"/>
              <w:spacing w:after="0" w:line="240" w:lineRule="auto"/>
              <w:textAlignment w:val="baseline"/>
              <w:rPr>
                <w:noProof/>
              </w:rPr>
            </w:pPr>
            <w:r>
              <w:rPr>
                <w:noProof/>
              </w:rPr>
              <w:t>Nombre d'hôpitaux du Réseau National Cardiologique avec un certificat confirmant les travaux de construction ou de reconstruction ou une preuve de livraison du matériel médical acheté.</w:t>
            </w:r>
          </w:p>
        </w:tc>
      </w:tr>
      <w:tr w:rsidR="003C4798" w14:paraId="27F4B53B"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A03E368" w14:textId="5052FDB2"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D15G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23802CC" w14:textId="1ADB7CFE" w:rsidR="003C4798" w:rsidRDefault="00417595">
            <w:pPr>
              <w:pStyle w:val="P68B1DB1-Normal34"/>
              <w:pBdr>
                <w:top w:val="nil"/>
                <w:left w:val="nil"/>
                <w:bottom w:val="nil"/>
                <w:right w:val="nil"/>
                <w:between w:val="nil"/>
              </w:pBdr>
              <w:spacing w:after="0" w:line="240" w:lineRule="auto"/>
              <w:rPr>
                <w:noProof/>
                <w:color w:val="006100"/>
              </w:rPr>
            </w:pPr>
            <w:r>
              <w:rPr>
                <w:noProof/>
              </w:rPr>
              <w:t>D1.1.2 Transformation numérique des soins de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9D002E2" w14:textId="7156E241"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C0B6979" w14:textId="2D32CA7B" w:rsidR="003C4798" w:rsidRDefault="00417595">
            <w:pPr>
              <w:pStyle w:val="P68B1DB1-Normal34"/>
              <w:pBdr>
                <w:top w:val="nil"/>
                <w:left w:val="nil"/>
                <w:bottom w:val="nil"/>
                <w:right w:val="nil"/>
                <w:between w:val="nil"/>
              </w:pBdr>
              <w:spacing w:after="0" w:line="240" w:lineRule="auto"/>
              <w:rPr>
                <w:noProof/>
                <w:color w:val="000000"/>
              </w:rPr>
            </w:pPr>
            <w:r>
              <w:rPr>
                <w:noProof/>
              </w:rPr>
              <w:t>Lancement d'un outil d'analyse de la santé des patients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DA41D7" w14:textId="108E95B2" w:rsidR="003C4798" w:rsidRDefault="00417595">
            <w:pPr>
              <w:pStyle w:val="P68B1DB1-Normal34"/>
              <w:pBdr>
                <w:top w:val="nil"/>
                <w:left w:val="nil"/>
                <w:bottom w:val="nil"/>
                <w:right w:val="nil"/>
                <w:between w:val="nil"/>
              </w:pBdr>
              <w:spacing w:after="0" w:line="240" w:lineRule="auto"/>
              <w:rPr>
                <w:noProof/>
                <w:color w:val="006100"/>
              </w:rPr>
            </w:pPr>
            <w:r>
              <w:rPr>
                <w:noProof/>
              </w:rPr>
              <w:t>Lancement d'un outil d'analyse de la santé des patients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1CAAC0"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CF52D4"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A96901"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2E2AF9" w14:textId="49118C4E"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T1</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233639B" w14:textId="4140607B"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2026</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8810049" w14:textId="5DC227D9" w:rsidR="003C4798" w:rsidRDefault="00417595">
            <w:pPr>
              <w:pStyle w:val="P68B1DB1-Normal22"/>
              <w:spacing w:after="0" w:line="240" w:lineRule="auto"/>
              <w:textAlignment w:val="baseline"/>
              <w:rPr>
                <w:noProof/>
              </w:rPr>
            </w:pPr>
            <w:r>
              <w:rPr>
                <w:noProof/>
                <w:color w:val="000000" w:themeColor="text1"/>
              </w:rPr>
              <w:t>Un outil à l’appui de l’analyse de l’état de santé des patients et</w:t>
            </w:r>
            <w:r>
              <w:rPr>
                <w:noProof/>
              </w:rPr>
              <w:br/>
            </w:r>
            <w:r>
              <w:rPr>
                <w:noProof/>
                <w:color w:val="000000" w:themeColor="text1"/>
              </w:rPr>
              <w:t>l'agrégation des données des dispositifs effectuant des mesures médicales ou de style de vie est mise à disposition sur le compte Internet du patient (Internetowe Konto Pacjenta) et sur Gabinet.gov.pl.</w:t>
            </w:r>
          </w:p>
        </w:tc>
      </w:tr>
      <w:tr w:rsidR="003C4798" w14:paraId="2526C0D6"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63C057" w14:textId="7C7F8F83"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D17G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D69E32" w14:textId="44B19312" w:rsidR="003C4798" w:rsidRDefault="00417595">
            <w:pPr>
              <w:pStyle w:val="P68B1DB1-Normal34"/>
              <w:pBdr>
                <w:top w:val="nil"/>
                <w:left w:val="nil"/>
                <w:bottom w:val="nil"/>
                <w:right w:val="nil"/>
                <w:between w:val="nil"/>
              </w:pBdr>
              <w:spacing w:after="0" w:line="240" w:lineRule="auto"/>
              <w:rPr>
                <w:noProof/>
                <w:color w:val="006100"/>
              </w:rPr>
            </w:pPr>
            <w:r>
              <w:rPr>
                <w:noProof/>
              </w:rPr>
              <w:t>D1.1.2 Transformation numérique des soins de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7FE724" w14:textId="6B63E464"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D31709" w14:textId="149A8442" w:rsidR="003C4798" w:rsidRDefault="00417595">
            <w:pPr>
              <w:pStyle w:val="P68B1DB1-Normal34"/>
              <w:pBdr>
                <w:top w:val="nil"/>
                <w:left w:val="nil"/>
                <w:bottom w:val="nil"/>
                <w:right w:val="nil"/>
                <w:between w:val="nil"/>
              </w:pBdr>
              <w:spacing w:after="0" w:line="240" w:lineRule="auto"/>
              <w:rPr>
                <w:noProof/>
                <w:color w:val="000000"/>
              </w:rPr>
            </w:pPr>
            <w:r>
              <w:rPr>
                <w:noProof/>
              </w:rPr>
              <w:t>Centre de numérisation de la documentation médicale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1278EA1" w14:textId="4559870D" w:rsidR="003C4798" w:rsidRDefault="00417595">
            <w:pPr>
              <w:pStyle w:val="P68B1DB1-Normal34"/>
              <w:pBdr>
                <w:top w:val="nil"/>
                <w:left w:val="nil"/>
                <w:bottom w:val="nil"/>
                <w:right w:val="nil"/>
                <w:between w:val="nil"/>
              </w:pBdr>
              <w:spacing w:after="0" w:line="240" w:lineRule="auto"/>
              <w:rPr>
                <w:noProof/>
                <w:color w:val="006100"/>
              </w:rPr>
            </w:pPr>
            <w:r>
              <w:rPr>
                <w:noProof/>
              </w:rPr>
              <w:t>Création d’un centre de numérisation de la documentation médicale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597B8F1"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89EB22A"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25F36F"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9F8E507" w14:textId="169EDBC3"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T1</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77398C" w14:textId="676179BD"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2026</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E7A160" w14:textId="218846D1" w:rsidR="003C4798" w:rsidRDefault="00417595">
            <w:pPr>
              <w:pStyle w:val="P68B1DB1-Normal34"/>
              <w:spacing w:after="0" w:line="240" w:lineRule="auto"/>
              <w:textAlignment w:val="baseline"/>
              <w:rPr>
                <w:noProof/>
              </w:rPr>
            </w:pPr>
            <w:r>
              <w:rPr>
                <w:noProof/>
              </w:rPr>
              <w:t>Un centre de numérisation de la documentation médicale est créé et au moins 300 hôpitaux du réseau hospitalier sont connectés à un répertoire électronique de la documentation médicale.</w:t>
            </w:r>
          </w:p>
        </w:tc>
      </w:tr>
      <w:tr w:rsidR="003C4798" w14:paraId="2AD58EAB"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AD83980" w14:textId="04117CC6"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D18G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22B612" w14:textId="2DEC57ED" w:rsidR="003C4798" w:rsidRDefault="00417595">
            <w:pPr>
              <w:pStyle w:val="P68B1DB1-Normal34"/>
              <w:pBdr>
                <w:top w:val="nil"/>
                <w:left w:val="nil"/>
                <w:bottom w:val="nil"/>
                <w:right w:val="nil"/>
                <w:between w:val="nil"/>
              </w:pBdr>
              <w:spacing w:after="0" w:line="240" w:lineRule="auto"/>
              <w:rPr>
                <w:noProof/>
                <w:color w:val="006100"/>
              </w:rPr>
            </w:pPr>
            <w:r>
              <w:rPr>
                <w:noProof/>
              </w:rPr>
              <w:t>D1.1.2 Transformation numérique des soins de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2AFB0D3" w14:textId="5EF5E814"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91F51CA" w14:textId="1AD51DF6" w:rsidR="003C4798" w:rsidRDefault="00417595">
            <w:pPr>
              <w:pStyle w:val="P68B1DB1-Normal34"/>
              <w:pBdr>
                <w:top w:val="nil"/>
                <w:left w:val="nil"/>
                <w:bottom w:val="nil"/>
                <w:right w:val="nil"/>
                <w:between w:val="nil"/>
              </w:pBdr>
              <w:spacing w:after="0" w:line="240" w:lineRule="auto"/>
              <w:rPr>
                <w:noProof/>
                <w:color w:val="000000"/>
              </w:rPr>
            </w:pPr>
            <w:r>
              <w:rPr>
                <w:noProof/>
              </w:rPr>
              <w:t>Numérisation des rapports de sortie d'hôpital</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19182A1" w14:textId="3642C7B2" w:rsidR="003C4798" w:rsidRDefault="00417595">
            <w:pPr>
              <w:pStyle w:val="P68B1DB1-Normal75"/>
              <w:pBdr>
                <w:top w:val="nil"/>
                <w:left w:val="nil"/>
                <w:bottom w:val="nil"/>
                <w:right w:val="nil"/>
                <w:between w:val="nil"/>
              </w:pBdr>
              <w:spacing w:after="0" w:line="240" w:lineRule="auto"/>
              <w:rPr>
                <w:noProof/>
                <w:color w:val="006100"/>
              </w:rPr>
            </w:pPr>
            <w:r>
              <w:rPr>
                <w:noProof/>
              </w:rPr>
              <w:t>90 % des déclarations de rejet (karta informacyjna z leczenia szpitalnego) numérisées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4D48EE"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DF3C89F"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6466C3"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2C70900" w14:textId="63341AAA"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T1</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8B12DC0" w14:textId="60EFD0AF"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2026</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034F632" w14:textId="1370BEB2" w:rsidR="003C4798" w:rsidRDefault="00417595">
            <w:pPr>
              <w:pStyle w:val="P68B1DB1-Normal34"/>
              <w:spacing w:after="0" w:line="240" w:lineRule="auto"/>
              <w:textAlignment w:val="baseline"/>
              <w:rPr>
                <w:noProof/>
              </w:rPr>
            </w:pPr>
            <w:r>
              <w:rPr>
                <w:noProof/>
              </w:rPr>
              <w:t>90 % des rapports de sortie (karta informacyjna z leczenia szpitalnego) des soins hospitaliers payés par le Fonds national de la santé, délivrés en 2023-2025 par au moins 300 hôpitaux du réseau hospitalier, sont disponibles dans le dossier médical électronique.</w:t>
            </w:r>
          </w:p>
        </w:tc>
      </w:tr>
      <w:tr w:rsidR="003C4798" w14:paraId="55A76B8A"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FBBD7A9" w14:textId="21D4DED3"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D20G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4D24CC" w14:textId="7E74FDAB" w:rsidR="003C4798" w:rsidRDefault="00417595">
            <w:pPr>
              <w:pStyle w:val="P68B1DB1-Normal34"/>
              <w:pBdr>
                <w:top w:val="nil"/>
                <w:left w:val="nil"/>
                <w:bottom w:val="nil"/>
                <w:right w:val="nil"/>
                <w:between w:val="nil"/>
              </w:pBdr>
              <w:spacing w:after="0" w:line="240" w:lineRule="auto"/>
              <w:rPr>
                <w:noProof/>
                <w:color w:val="006100"/>
              </w:rPr>
            </w:pPr>
            <w:r>
              <w:rPr>
                <w:noProof/>
              </w:rPr>
              <w:t>D1.1.2 Transformation numérique des soins de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8954A4" w14:textId="69349216"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Objectif</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580E9B4" w14:textId="20D557B2" w:rsidR="003C4798" w:rsidRDefault="00417595">
            <w:pPr>
              <w:pStyle w:val="P68B1DB1-Normal34"/>
              <w:pBdr>
                <w:top w:val="nil"/>
                <w:left w:val="nil"/>
                <w:bottom w:val="nil"/>
                <w:right w:val="nil"/>
                <w:between w:val="nil"/>
              </w:pBdr>
              <w:spacing w:after="0" w:line="240" w:lineRule="auto"/>
              <w:rPr>
                <w:noProof/>
                <w:color w:val="000000"/>
              </w:rPr>
            </w:pPr>
            <w:r>
              <w:rPr>
                <w:noProof/>
              </w:rPr>
              <w:t xml:space="preserve">Nouveaux modèles numériques pour les documents médicaux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9254DE" w14:textId="77777777" w:rsidR="003C4798" w:rsidRDefault="003C4798">
            <w:pPr>
              <w:pBdr>
                <w:top w:val="nil"/>
                <w:left w:val="nil"/>
                <w:bottom w:val="nil"/>
                <w:right w:val="nil"/>
                <w:between w:val="nil"/>
              </w:pBdr>
              <w:spacing w:after="0" w:line="240" w:lineRule="auto"/>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1CE7E26" w14:textId="33920B40"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CA45CF" w14:textId="04C669F3"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FE4CD0C" w14:textId="4ADB3EA2"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9</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79B1DB4" w14:textId="57FE9EE6"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T1</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4CF3BC9" w14:textId="5E22B36C"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2026</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356D1B" w14:textId="744A1637" w:rsidR="003C4798" w:rsidRDefault="00417595">
            <w:pPr>
              <w:pStyle w:val="P68B1DB1-Normal34"/>
              <w:spacing w:after="0" w:line="240" w:lineRule="auto"/>
              <w:textAlignment w:val="baseline"/>
              <w:rPr>
                <w:noProof/>
              </w:rPr>
            </w:pPr>
            <w:r>
              <w:rPr>
                <w:noProof/>
              </w:rPr>
              <w:t>De nouveaux modèles numériques de documents médicaux sont mis à la disposition des médecins.</w:t>
            </w:r>
          </w:p>
        </w:tc>
      </w:tr>
      <w:tr w:rsidR="003C4798" w14:paraId="40B104B0"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A84661" w14:textId="59432FF8"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D21G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3A0A133" w14:textId="01941DD5" w:rsidR="003C4798" w:rsidRDefault="00417595">
            <w:pPr>
              <w:pStyle w:val="P68B1DB1-Normal34"/>
              <w:pBdr>
                <w:top w:val="nil"/>
                <w:left w:val="nil"/>
                <w:bottom w:val="nil"/>
                <w:right w:val="nil"/>
                <w:between w:val="nil"/>
              </w:pBdr>
              <w:spacing w:after="0" w:line="240" w:lineRule="auto"/>
              <w:rPr>
                <w:noProof/>
                <w:color w:val="006100"/>
              </w:rPr>
            </w:pPr>
            <w:r>
              <w:rPr>
                <w:noProof/>
              </w:rPr>
              <w:t>D1.1.2 Transformation numérique des soins de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54F093" w14:textId="2A49149A"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9E2972" w14:textId="50A80F78" w:rsidR="003C4798" w:rsidRDefault="00417595">
            <w:pPr>
              <w:pStyle w:val="P68B1DB1-Normal34"/>
              <w:pBdr>
                <w:top w:val="nil"/>
                <w:left w:val="nil"/>
                <w:bottom w:val="nil"/>
                <w:right w:val="nil"/>
                <w:between w:val="nil"/>
              </w:pBdr>
              <w:spacing w:after="0" w:line="240" w:lineRule="auto"/>
              <w:rPr>
                <w:noProof/>
                <w:color w:val="000000"/>
              </w:rPr>
            </w:pPr>
            <w:r>
              <w:rPr>
                <w:noProof/>
              </w:rPr>
              <w:t xml:space="preserve">Lancement d'un outil de soutien basé sur l'IA pour les médecins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3A8BF6D" w14:textId="5A66446C" w:rsidR="003C4798" w:rsidRDefault="00417595">
            <w:pPr>
              <w:pStyle w:val="P68B1DB1-Normal75"/>
              <w:pBdr>
                <w:top w:val="nil"/>
                <w:left w:val="nil"/>
                <w:bottom w:val="nil"/>
                <w:right w:val="nil"/>
                <w:between w:val="nil"/>
              </w:pBdr>
              <w:spacing w:after="0" w:line="240" w:lineRule="auto"/>
              <w:rPr>
                <w:noProof/>
                <w:color w:val="006100"/>
              </w:rPr>
            </w:pPr>
            <w:r>
              <w:rPr>
                <w:noProof/>
              </w:rPr>
              <w:t>Lancement d'un outil de soutien basé sur l'IA pour les médecins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C4773C"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1F334D"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7001094"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888BE21" w14:textId="205BD2E1"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T1</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0F2D2F4" w14:textId="7DB5CDF0"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2026</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E93A1BF" w14:textId="12753A1B" w:rsidR="003C4798" w:rsidRDefault="00417595">
            <w:pPr>
              <w:pStyle w:val="P68B1DB1-Normal34"/>
              <w:spacing w:after="0" w:line="240" w:lineRule="auto"/>
              <w:textAlignment w:val="baseline"/>
              <w:rPr>
                <w:noProof/>
              </w:rPr>
            </w:pPr>
            <w:r>
              <w:rPr>
                <w:noProof/>
              </w:rPr>
              <w:t>Un outil de soutien fondé sur l’IA pour les médecins est lancé. L’outil doit être mis à disposition dans au moins 300 hôpitaux du réseau hospitalier.</w:t>
            </w:r>
          </w:p>
        </w:tc>
      </w:tr>
      <w:tr w:rsidR="003C4798" w14:paraId="1B0737A5"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843BA8B" w14:textId="1E16EFFB"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D23G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9582E6E" w14:textId="71012096" w:rsidR="003C4798" w:rsidRDefault="00417595">
            <w:pPr>
              <w:pStyle w:val="P68B1DB1-Normal34"/>
              <w:pBdr>
                <w:top w:val="nil"/>
                <w:left w:val="nil"/>
                <w:bottom w:val="nil"/>
                <w:right w:val="nil"/>
                <w:between w:val="nil"/>
              </w:pBdr>
              <w:spacing w:after="0" w:line="240" w:lineRule="auto"/>
              <w:rPr>
                <w:noProof/>
                <w:color w:val="006100"/>
              </w:rPr>
            </w:pPr>
            <w:r>
              <w:rPr>
                <w:noProof/>
              </w:rPr>
              <w:t>D2.1 Créer les conditions propices à une augmentation du nombre de membres du personnel médical</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6F9F3D2" w14:textId="534C015E"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0BB288" w14:textId="25DD5C20" w:rsidR="003C4798" w:rsidRDefault="00417595">
            <w:pPr>
              <w:pStyle w:val="P68B1DB1-Normal34"/>
              <w:pBdr>
                <w:top w:val="nil"/>
                <w:left w:val="nil"/>
                <w:bottom w:val="nil"/>
                <w:right w:val="nil"/>
                <w:between w:val="nil"/>
              </w:pBdr>
              <w:spacing w:after="0" w:line="240" w:lineRule="auto"/>
              <w:rPr>
                <w:noProof/>
                <w:color w:val="000000"/>
              </w:rPr>
            </w:pPr>
            <w:r>
              <w:rPr>
                <w:noProof/>
              </w:rPr>
              <w:t xml:space="preserve">Modification de la loi sur l’enseignement supérieur et les sciences et sur les professions de médecin et de dentiste afin de fournir une base juridique pour un soutien financier à partir de l’année universitaire 2021/2022 aux étudiants dans le domaine de la médecine en Pologne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1CCCCD2" w14:textId="3823FD75" w:rsidR="003C4798" w:rsidRDefault="00417595">
            <w:pPr>
              <w:pStyle w:val="P68B1DB1-Normal34"/>
              <w:pBdr>
                <w:top w:val="nil"/>
                <w:left w:val="nil"/>
                <w:bottom w:val="nil"/>
                <w:right w:val="nil"/>
                <w:between w:val="nil"/>
              </w:pBdr>
              <w:spacing w:after="0" w:line="240" w:lineRule="auto"/>
              <w:rPr>
                <w:noProof/>
                <w:color w:val="006100"/>
              </w:rPr>
            </w:pPr>
            <w:r>
              <w:rPr>
                <w:noProof/>
              </w:rPr>
              <w:t>Disposition de la modification de la loi sur l’enseignement supérieur et les sciences et sur les professions de médecin et de dentiste visant à fournir une base juridique pour un soutien financier à partir de l’année universitaire 2021/2022 aux étudiants dans le domaine de la médecine en Pologne au niveau universitaire (y compris les étudiants qui ont commencé leurs études avant l’année universitaire 2021/2022) indiquant son entrée en vigueur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8DA5DB7"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C4A35FC"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605CBBA"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7658DD8" w14:textId="57BF566E"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T4</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FF40D4" w14:textId="6263AD80"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2021</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466E90C" w14:textId="7464753F" w:rsidR="003C4798" w:rsidRDefault="00417595">
            <w:pPr>
              <w:pStyle w:val="P68B1DB1-Normal22"/>
              <w:spacing w:after="0" w:line="240" w:lineRule="auto"/>
              <w:textAlignment w:val="baseline"/>
              <w:rPr>
                <w:noProof/>
              </w:rPr>
            </w:pPr>
            <w:r>
              <w:rPr>
                <w:noProof/>
                <w:color w:val="000000" w:themeColor="text1"/>
              </w:rPr>
              <w:t>La loi entre en vigueur et introduit la possibilité d'utiliser un soutien financier sous la forme d'un prêt pour les étudiants d'études rémunérées dans le domaine de la médecine au niveau universitaire. L'étudiant doit pouvoir demander le remboursement anticipé du prêt ou une prolongation de sa période de remboursement.</w:t>
            </w:r>
            <w:r>
              <w:rPr>
                <w:noProof/>
              </w:rPr>
              <w:br/>
            </w:r>
            <w:r>
              <w:rPr>
                <w:noProof/>
                <w:color w:val="000000" w:themeColor="text1"/>
              </w:rPr>
              <w:t>Après avoir rempli certaines conditions précisées dans la Loi, l'étudiant doit pouvoir demander une remise partielle ou complète du prêt pour études médicales.</w:t>
            </w:r>
            <w:r>
              <w:rPr>
                <w:noProof/>
              </w:rPr>
              <w:br/>
            </w:r>
            <w:r>
              <w:rPr>
                <w:noProof/>
                <w:color w:val="000000" w:themeColor="text1"/>
              </w:rPr>
              <w:t>Les étudiants qui bénéficient de l'aide pourront demander une remise complète du prêt s'ils remplissent les conditions suivantes:</w:t>
            </w:r>
            <w:r>
              <w:rPr>
                <w:noProof/>
              </w:rPr>
              <w:br/>
            </w:r>
            <w:r>
              <w:rPr>
                <w:noProof/>
                <w:color w:val="000000" w:themeColor="text1"/>
              </w:rPr>
              <w:t>- travailler après l'obtention du diplôme pendant une période d'au moins 10 ans au cours des 12 années consécutives à compter de la date de l'obtention du diplôme, dans des entités exerçant des activités médicales sur le territoire de la République de Pologne, qui fournissent des services de soins de santé financés par des fonds publics, et</w:t>
            </w:r>
            <w:r>
              <w:rPr>
                <w:noProof/>
              </w:rPr>
              <w:t xml:space="preserve"> </w:t>
            </w:r>
            <w:r>
              <w:rPr>
                <w:noProof/>
              </w:rPr>
              <w:br/>
              <w:t xml:space="preserve"> </w:t>
            </w:r>
            <w:r>
              <w:rPr>
                <w:noProof/>
                <w:color w:val="000000" w:themeColor="text1"/>
              </w:rPr>
              <w:t>- obtenir le titre de spécialiste dans le délai susmentionné, dans un domaine de la médecine reconnu comme prioritaire le jour où le médecin commence la formation de spécialisation.</w:t>
            </w:r>
            <w:r>
              <w:rPr>
                <w:noProof/>
              </w:rPr>
              <w:br/>
            </w:r>
            <w:r>
              <w:rPr>
                <w:noProof/>
                <w:color w:val="000000" w:themeColor="text1"/>
              </w:rPr>
              <w:t>Une personne qui remplit ces deux conditions n'est pas tenue de rembourser le prêt pour des études médicales. Les modalités et la procédure d'annulation du prêt sont précisées dans l'acte législatif.</w:t>
            </w:r>
          </w:p>
        </w:tc>
      </w:tr>
      <w:tr w:rsidR="003C4798" w14:paraId="7292AE5C"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61822BC" w14:textId="216CD255"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D25G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6F9623C" w14:textId="66CDBC27" w:rsidR="003C4798" w:rsidRDefault="00417595">
            <w:pPr>
              <w:pStyle w:val="P68B1DB1-Normal34"/>
              <w:pBdr>
                <w:top w:val="nil"/>
                <w:left w:val="nil"/>
                <w:bottom w:val="nil"/>
                <w:right w:val="nil"/>
                <w:between w:val="nil"/>
              </w:pBdr>
              <w:spacing w:after="0" w:line="240" w:lineRule="auto"/>
              <w:rPr>
                <w:noProof/>
                <w:color w:val="006100"/>
              </w:rPr>
            </w:pPr>
            <w:r>
              <w:rPr>
                <w:noProof/>
              </w:rPr>
              <w:t>D2.1 Créer les conditions propices à une augmentation du nombre de membres du personnel médical</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83A6CC4" w14:textId="7DB803A0"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6B744C" w14:textId="51B47E7E" w:rsidR="003C4798" w:rsidRDefault="00417595">
            <w:pPr>
              <w:pStyle w:val="P68B1DB1-Normal34"/>
              <w:pBdr>
                <w:top w:val="nil"/>
                <w:left w:val="nil"/>
                <w:bottom w:val="nil"/>
                <w:right w:val="nil"/>
                <w:between w:val="nil"/>
              </w:pBdr>
              <w:spacing w:after="0" w:line="240" w:lineRule="auto"/>
              <w:rPr>
                <w:noProof/>
                <w:color w:val="000000"/>
              </w:rPr>
            </w:pPr>
            <w:r>
              <w:rPr>
                <w:noProof/>
              </w:rPr>
              <w:t>Entrée en vigueur de la loi législative sur la profession d'ambulancier paramédical et l'autonomie des ambulanciers paramédicaux, qui introduit la possibilité de créer des programmes de deuxième cycle dans le domaine de la préparation à la profession d'ambulancier paramédical</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5939F7" w14:textId="3DF17C52" w:rsidR="003C4798" w:rsidRDefault="00417595">
            <w:pPr>
              <w:pStyle w:val="P68B1DB1-Normal34"/>
              <w:pBdr>
                <w:top w:val="nil"/>
                <w:left w:val="nil"/>
                <w:bottom w:val="nil"/>
                <w:right w:val="nil"/>
                <w:between w:val="nil"/>
              </w:pBdr>
              <w:spacing w:after="0" w:line="240" w:lineRule="auto"/>
              <w:rPr>
                <w:noProof/>
                <w:color w:val="006100"/>
              </w:rPr>
            </w:pPr>
            <w:r>
              <w:rPr>
                <w:noProof/>
              </w:rPr>
              <w:t>Disposition de la loi sur la profession d'ambulancier paramédical et l'autonomie des ambulanciers paramédicaux indiquant son entrée en vigueur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F116E9A"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ACCFACA"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BDDFFD"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346C71F" w14:textId="743B20B7"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T3</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D51E4C7" w14:textId="1B62FEE6"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2022</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9C26B14" w14:textId="15CC17A9" w:rsidR="003C4798" w:rsidRDefault="00417595">
            <w:pPr>
              <w:pStyle w:val="P68B1DB1-Normal34"/>
              <w:spacing w:after="0" w:line="240" w:lineRule="auto"/>
              <w:textAlignment w:val="baseline"/>
              <w:rPr>
                <w:noProof/>
              </w:rPr>
            </w:pPr>
            <w:r>
              <w:rPr>
                <w:noProof/>
              </w:rPr>
              <w:t>Afin d'améliorer les compétences des ambulanciers paramédicaux, un acte législatif entre en vigueur et permet la création de programmes de deuxième cycle dans le domaine des ambulanciers paramédicaux, définis comme des études de deux ans se terminant par l'obtention d'un master. L’obtention du master doit permettre aux ambulanciers paramédicaux d’acquérir des qualifications supplémentaires, ce qui vise à se traduire par un classement plus élevé dans la catégorie salariale.</w:t>
            </w:r>
          </w:p>
        </w:tc>
      </w:tr>
      <w:tr w:rsidR="003C4798" w14:paraId="359BC8C0"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E47588" w14:textId="15EE7945"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D27G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7DAC6F" w14:textId="78AEF799" w:rsidR="003C4798" w:rsidRDefault="00417595">
            <w:pPr>
              <w:pStyle w:val="P68B1DB1-Normal34"/>
              <w:pBdr>
                <w:top w:val="nil"/>
                <w:left w:val="nil"/>
                <w:bottom w:val="nil"/>
                <w:right w:val="nil"/>
                <w:between w:val="nil"/>
              </w:pBdr>
              <w:spacing w:after="0" w:line="240" w:lineRule="auto"/>
              <w:rPr>
                <w:noProof/>
                <w:color w:val="006100"/>
              </w:rPr>
            </w:pPr>
            <w:r>
              <w:rPr>
                <w:noProof/>
              </w:rPr>
              <w:t>D2.1 Créer les conditions propices à une augmentation du nombre de membres du personnel médical</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4D09D9" w14:textId="6B5D96E0"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7F9668" w14:textId="14658849" w:rsidR="003C4798" w:rsidRDefault="00417595">
            <w:pPr>
              <w:pStyle w:val="P68B1DB1-Normal34"/>
              <w:pBdr>
                <w:top w:val="nil"/>
                <w:left w:val="nil"/>
                <w:bottom w:val="nil"/>
                <w:right w:val="nil"/>
                <w:between w:val="nil"/>
              </w:pBdr>
              <w:spacing w:after="0" w:line="240" w:lineRule="auto"/>
              <w:rPr>
                <w:noProof/>
                <w:color w:val="000000"/>
              </w:rPr>
            </w:pPr>
            <w:r>
              <w:rPr>
                <w:noProof/>
              </w:rPr>
              <w:t>Entrée en vigueur d’actes juridiques visant à améliorer l’attractivité des emplois médicaux et les conditions de travail des travailleurs médicaux</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BA060C" w14:textId="162A0A33" w:rsidR="003C4798" w:rsidRDefault="00417595">
            <w:pPr>
              <w:pStyle w:val="P68B1DB1-Normal34"/>
              <w:pBdr>
                <w:top w:val="nil"/>
                <w:left w:val="nil"/>
                <w:bottom w:val="nil"/>
                <w:right w:val="nil"/>
                <w:between w:val="nil"/>
              </w:pBdr>
              <w:spacing w:after="0" w:line="240" w:lineRule="auto"/>
              <w:rPr>
                <w:noProof/>
                <w:color w:val="006100"/>
              </w:rPr>
            </w:pPr>
            <w:r>
              <w:rPr>
                <w:noProof/>
              </w:rPr>
              <w:t>Dispositions des actes juridiques indiquant leur entrée en vigueur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C86D445"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8A5A13"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5AE39E2"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7EF68AC" w14:textId="104D8EF1"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T4</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8F5298" w14:textId="0A715E00"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2022</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3606F54" w14:textId="65366097" w:rsidR="003C4798" w:rsidRDefault="00417595">
            <w:pPr>
              <w:pStyle w:val="P68B1DB1-Normal22"/>
              <w:spacing w:after="0" w:line="240" w:lineRule="auto"/>
              <w:textAlignment w:val="baseline"/>
              <w:rPr>
                <w:noProof/>
              </w:rPr>
            </w:pPr>
            <w:r>
              <w:rPr>
                <w:noProof/>
                <w:color w:val="000000" w:themeColor="text1"/>
              </w:rPr>
              <w:t>Un ensemble d’actes juridiques entre en vigueur et se compose d’un règlement relatif à la compétence professionnelle des médecins et des dentistes, d’une modification de la loi relative à la profession de médecin et de praticien de l’art dentaire, d’une modification du règlement relatif au stage postuniversitaire pour les médecins et les dentistes, d’une modification du règlement relatif au programme de base pour l’enseignement dans les professions de l’enseignement professionnel, d’une modification de la loi relative à la méthode de détermination du salaire de base le plus bas de certains employés travaillant dans des entités de soins de santé, y compris des dispositions concernant:</w:t>
            </w:r>
            <w:r>
              <w:rPr>
                <w:noProof/>
              </w:rPr>
              <w:t xml:space="preserve"> </w:t>
            </w:r>
            <w:r>
              <w:rPr>
                <w:noProof/>
              </w:rPr>
              <w:br/>
            </w:r>
            <w:r>
              <w:rPr>
                <w:noProof/>
                <w:color w:val="000000" w:themeColor="text1"/>
              </w:rPr>
              <w:t>1) accroître la flexibilité du processus de formation médicale postdoctorale en introduisant des compétences médicales certifiées, en permettant de passer l'examen de spécialisation après l'avant-dernière année de formation de spécialisation et en modifiant le programme de stage postdoctoral,</w:t>
            </w:r>
            <w:r>
              <w:rPr>
                <w:noProof/>
              </w:rPr>
              <w:t xml:space="preserve"> </w:t>
            </w:r>
            <w:r>
              <w:rPr>
                <w:noProof/>
              </w:rPr>
              <w:br/>
              <w:t xml:space="preserve"> </w:t>
            </w:r>
            <w:r>
              <w:rPr>
                <w:noProof/>
                <w:color w:val="000000" w:themeColor="text1"/>
              </w:rPr>
              <w:t xml:space="preserve">2) la mise en place d'un système central de qualification et d'attribution des places de spécialisation, </w:t>
            </w:r>
            <w:r>
              <w:rPr>
                <w:noProof/>
              </w:rPr>
              <w:br/>
              <w:t xml:space="preserve"> </w:t>
            </w:r>
            <w:r>
              <w:rPr>
                <w:noProof/>
                <w:color w:val="000000" w:themeColor="text1"/>
              </w:rPr>
              <w:t>3) soulager les médecins en lançant des formations spécialisées dans le domaine de l'aide opérationnelle pour les infirmières et les ambulanciers paramédicaux,</w:t>
            </w:r>
            <w:r>
              <w:rPr>
                <w:noProof/>
              </w:rPr>
              <w:br/>
              <w:t xml:space="preserve"> </w:t>
            </w:r>
            <w:r>
              <w:rPr>
                <w:noProof/>
                <w:color w:val="000000" w:themeColor="text1"/>
              </w:rPr>
              <w:t>4) mettre à jour le salaire de base le plus bas des employés travaillant dans les établissements de santé en augmentant les taux de travail pour tous les groupes professionnels visés dans la loi du 8 juin 2017 et en avançant de six mois l'obligation pour tous les établissements médicaux de respecter les niveaux de salaire de base garantis par la loi pour les travailleurs médicaux: médecins, dentistes, médecins stagiaires et dentistes, infirmières, sages-femmes, diagnostiqueurs de laboratoire, physiothérapeutes, pharmaciens et autres professionnels de la santé, et</w:t>
            </w:r>
            <w:r>
              <w:rPr>
                <w:noProof/>
              </w:rPr>
              <w:br/>
              <w:t xml:space="preserve"> </w:t>
            </w:r>
            <w:r>
              <w:rPr>
                <w:noProof/>
                <w:color w:val="000000" w:themeColor="text1"/>
              </w:rPr>
              <w:t>5) le transfert de certaines compétences des infirmières aux soignants médicaux.</w:t>
            </w:r>
          </w:p>
        </w:tc>
      </w:tr>
      <w:tr w:rsidR="003C4798" w14:paraId="0F60F9F6"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F6C648" w14:textId="5B02C48B"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D29G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621A6E7" w14:textId="2DE45BF0" w:rsidR="003C4798" w:rsidRDefault="00417595">
            <w:pPr>
              <w:pStyle w:val="P68B1DB1-Normal34"/>
              <w:pBdr>
                <w:top w:val="nil"/>
                <w:left w:val="nil"/>
                <w:bottom w:val="nil"/>
                <w:right w:val="nil"/>
                <w:between w:val="nil"/>
              </w:pBdr>
              <w:spacing w:after="0" w:line="240" w:lineRule="auto"/>
              <w:rPr>
                <w:noProof/>
                <w:color w:val="006100"/>
              </w:rPr>
            </w:pPr>
            <w:r>
              <w:rPr>
                <w:noProof/>
              </w:rPr>
              <w:t>D2.1.1 Investissements liés à la modernisation et à la modernisation des établissements d'enseignement et à l'augmentation du nombre d'admissions aux études médicales</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40CB139" w14:textId="35094C63"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F7D896" w14:textId="40C43134" w:rsidR="003C4798" w:rsidRDefault="00417595">
            <w:pPr>
              <w:pStyle w:val="P68B1DB1-Normal34"/>
              <w:pBdr>
                <w:top w:val="nil"/>
                <w:left w:val="nil"/>
                <w:bottom w:val="nil"/>
                <w:right w:val="nil"/>
                <w:between w:val="nil"/>
              </w:pBdr>
              <w:spacing w:after="0" w:line="240" w:lineRule="auto"/>
              <w:rPr>
                <w:noProof/>
                <w:color w:val="000000"/>
              </w:rPr>
            </w:pPr>
            <w:r>
              <w:rPr>
                <w:noProof/>
              </w:rPr>
              <w:t>Entrée en vigueur d’un acte juridique établissant un système d’incitations à entreprendre et à poursuivre des études dans certaines facultés universitaires de médecine au moyen de bourses, de financements pour des études et de mentorat</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03CB627" w14:textId="41A07D6B" w:rsidR="003C4798" w:rsidRDefault="00417595">
            <w:pPr>
              <w:pStyle w:val="P68B1DB1-Normal34"/>
              <w:pBdr>
                <w:top w:val="nil"/>
                <w:left w:val="nil"/>
                <w:bottom w:val="nil"/>
                <w:right w:val="nil"/>
                <w:between w:val="nil"/>
              </w:pBdr>
              <w:spacing w:after="0" w:line="240" w:lineRule="auto"/>
              <w:rPr>
                <w:noProof/>
                <w:color w:val="006100"/>
              </w:rPr>
            </w:pPr>
            <w:r>
              <w:rPr>
                <w:noProof/>
              </w:rPr>
              <w:t>Disposition de l’acte juridique indiquant son entrée en vigueur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424D0D5"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36C4CFA"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D1E53D"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544DDE" w14:textId="44F8506E"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T2</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C3C2F63" w14:textId="05326EA5"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2022</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BF2DEFA" w14:textId="7ACB6BE1" w:rsidR="003C4798" w:rsidRDefault="00417595">
            <w:pPr>
              <w:pStyle w:val="P68B1DB1-Normal22"/>
              <w:spacing w:after="0" w:line="240" w:lineRule="auto"/>
              <w:textAlignment w:val="baseline"/>
              <w:rPr>
                <w:noProof/>
              </w:rPr>
            </w:pPr>
            <w:r>
              <w:rPr>
                <w:noProof/>
                <w:color w:val="000000" w:themeColor="text1"/>
              </w:rPr>
              <w:t xml:space="preserve">L’acte juridique introduisant le système temporaire d’incitations visant à accroître l’attractivité des études médicales prévoit la possibilité: </w:t>
            </w:r>
            <w:r>
              <w:rPr>
                <w:noProof/>
              </w:rPr>
              <w:br/>
            </w:r>
            <w:r>
              <w:rPr>
                <w:noProof/>
                <w:color w:val="000000" w:themeColor="text1"/>
              </w:rPr>
              <w:t>- l'octroi de bourses, le cofinancement d'études rémunérées et le financement du mentorat d'étudiants en soins infirmiers, sages-femmes et services médicaux d'urgence; et</w:t>
            </w:r>
            <w:r>
              <w:rPr>
                <w:noProof/>
              </w:rPr>
              <w:br/>
              <w:t xml:space="preserve"> </w:t>
            </w:r>
            <w:r>
              <w:rPr>
                <w:noProof/>
                <w:color w:val="000000" w:themeColor="text1"/>
              </w:rPr>
              <w:t>- l'octroi de bourses à des étudiants dans les domaines de la médecine, de la médecine et de la dentisterie, de l'analyse médicale, ainsi que de la pharmacie et de la physiothérapie.</w:t>
            </w:r>
            <w:r>
              <w:rPr>
                <w:noProof/>
              </w:rPr>
              <w:br/>
            </w:r>
            <w:r>
              <w:rPr>
                <w:noProof/>
                <w:color w:val="000000" w:themeColor="text1"/>
              </w:rPr>
              <w:t>L’acte juridique introduisant le système prévoit l’obligation d’examiner les performances du système à la fin de la période couverte par la FRR et d’analyser l’incidence du régime d’incitations mis en œuvre sur le nombre d’étudiants dans l’enseignement en vue de décider de sa reprise éventuelle.</w:t>
            </w:r>
          </w:p>
        </w:tc>
      </w:tr>
      <w:tr w:rsidR="003C4798" w14:paraId="368859E4"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1A0EB9" w14:textId="68F6A2ED"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D30G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6B37C50" w14:textId="765A43B8" w:rsidR="003C4798" w:rsidRDefault="00417595">
            <w:pPr>
              <w:pStyle w:val="P68B1DB1-Normal34"/>
              <w:pBdr>
                <w:top w:val="nil"/>
                <w:left w:val="nil"/>
                <w:bottom w:val="nil"/>
                <w:right w:val="nil"/>
                <w:between w:val="nil"/>
              </w:pBdr>
              <w:spacing w:after="0" w:line="240" w:lineRule="auto"/>
              <w:rPr>
                <w:noProof/>
                <w:color w:val="006100"/>
              </w:rPr>
            </w:pPr>
            <w:r>
              <w:rPr>
                <w:noProof/>
              </w:rPr>
              <w:t>D2.1.1 Investissements liés à la modernisation et à la modernisation des établissements d'enseignement et à l'augmentation du nombre d'admissions aux études médicales</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EB4F03D" w14:textId="0BB50B7A"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Objectif</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E7132A5" w14:textId="3B8600A4" w:rsidR="003C4798" w:rsidRDefault="00417595">
            <w:pPr>
              <w:pStyle w:val="P68B1DB1-Normal34"/>
              <w:pBdr>
                <w:top w:val="nil"/>
                <w:left w:val="nil"/>
                <w:bottom w:val="nil"/>
                <w:right w:val="nil"/>
                <w:between w:val="nil"/>
              </w:pBdr>
              <w:spacing w:after="0" w:line="240" w:lineRule="auto"/>
              <w:rPr>
                <w:noProof/>
                <w:color w:val="000000"/>
              </w:rPr>
            </w:pPr>
            <w:r>
              <w:rPr>
                <w:noProof/>
              </w:rPr>
              <w:t>Bourses d'études ou cofinancement pour les étudiants en médecine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7B0BFA8" w14:textId="1ED36BB2" w:rsidR="003C4798" w:rsidRDefault="00417595">
            <w:pPr>
              <w:pStyle w:val="P68B1DB1-Normal34"/>
              <w:pBdr>
                <w:top w:val="nil"/>
                <w:left w:val="nil"/>
                <w:bottom w:val="nil"/>
                <w:right w:val="nil"/>
                <w:between w:val="nil"/>
              </w:pBdr>
              <w:spacing w:after="0" w:line="240" w:lineRule="auto"/>
              <w:rPr>
                <w:noProof/>
                <w:color w:val="006100"/>
              </w:rPr>
            </w:pPr>
            <w:r>
              <w:rPr>
                <w:noProof/>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B55019" w14:textId="2FD75685"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CE8E2C" w14:textId="731EF166"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F310594" w14:textId="051FC208"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140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AFBF34" w14:textId="2E6356A5"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T2</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F470FD3" w14:textId="33FFB216"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2026</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436D4A4" w14:textId="735FCE08" w:rsidR="003C4798" w:rsidRDefault="00417595">
            <w:pPr>
              <w:pStyle w:val="P68B1DB1-Normal34"/>
              <w:spacing w:after="0" w:line="240" w:lineRule="auto"/>
              <w:textAlignment w:val="baseline"/>
              <w:rPr>
                <w:noProof/>
              </w:rPr>
            </w:pPr>
            <w:r>
              <w:rPr>
                <w:noProof/>
              </w:rPr>
              <w:t>Nombre d’accords-cadres signés avec des facultés de médecine de l’enseignement supérieur en vue de l’octroi de bourses ou du cofinancement d’études à au moins 7 600 étudiants. Les derniers versements aux facultés de médecine de l'enseignement supérieur sont effectués.</w:t>
            </w:r>
          </w:p>
        </w:tc>
      </w:tr>
      <w:tr w:rsidR="003C4798" w14:paraId="415249C5"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174B7C7" w14:textId="3D6FF328"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D31G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BB51FE" w14:textId="0A1A5BC7" w:rsidR="003C4798" w:rsidRDefault="00417595">
            <w:pPr>
              <w:pStyle w:val="P68B1DB1-Normal34"/>
              <w:pBdr>
                <w:top w:val="nil"/>
                <w:left w:val="nil"/>
                <w:bottom w:val="nil"/>
                <w:right w:val="nil"/>
                <w:between w:val="nil"/>
              </w:pBdr>
              <w:spacing w:after="0" w:line="240" w:lineRule="auto"/>
              <w:rPr>
                <w:noProof/>
                <w:color w:val="006100"/>
              </w:rPr>
            </w:pPr>
            <w:r>
              <w:rPr>
                <w:noProof/>
              </w:rPr>
              <w:t>D2.1.1 Investissements liés à la modernisation et à la modernisation des établissements d'enseignement et à l'augmentation du nombre d'admissions aux études médicales</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454B20" w14:textId="6AD7EDA2"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Objectif</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35FD9E6" w14:textId="722463E8" w:rsidR="003C4798" w:rsidRDefault="00417595">
            <w:pPr>
              <w:pStyle w:val="P68B1DB1-Normal34"/>
              <w:pBdr>
                <w:top w:val="nil"/>
                <w:left w:val="nil"/>
                <w:bottom w:val="nil"/>
                <w:right w:val="nil"/>
                <w:between w:val="nil"/>
              </w:pBdr>
              <w:spacing w:after="0" w:line="240" w:lineRule="auto"/>
              <w:rPr>
                <w:noProof/>
                <w:color w:val="000000"/>
              </w:rPr>
            </w:pPr>
            <w:r>
              <w:rPr>
                <w:noProof/>
              </w:rPr>
              <w:t>Établissements d'enseignement médical, bibliothèques ou dortoirs d'étudiants construits ou reconstruits, rénovés ou réaménagés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F372D22" w14:textId="1E7823ED" w:rsidR="003C4798" w:rsidRDefault="00417595">
            <w:pPr>
              <w:pStyle w:val="P68B1DB1-Normal34"/>
              <w:pBdr>
                <w:top w:val="nil"/>
                <w:left w:val="nil"/>
                <w:bottom w:val="nil"/>
                <w:right w:val="nil"/>
                <w:between w:val="nil"/>
              </w:pBdr>
              <w:spacing w:after="0" w:line="240" w:lineRule="auto"/>
              <w:rPr>
                <w:noProof/>
                <w:color w:val="006100"/>
              </w:rPr>
            </w:pPr>
            <w:r>
              <w:rPr>
                <w:noProof/>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CB76BA" w14:textId="0206EF07"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2967D56" w14:textId="5F0C8E4C"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25315D3" w14:textId="7FBBE0A2"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180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879015D" w14:textId="65A5B4B0"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T2</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363218" w14:textId="2111BE4C"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2026</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0BE34D6" w14:textId="77777777" w:rsidR="003C4798" w:rsidRDefault="00417595">
            <w:pPr>
              <w:pStyle w:val="P68B1DB1-Normal75"/>
              <w:spacing w:after="0" w:line="240" w:lineRule="auto"/>
              <w:textAlignment w:val="baseline"/>
              <w:rPr>
                <w:noProof/>
              </w:rPr>
            </w:pPr>
            <w:r>
              <w:rPr>
                <w:noProof/>
              </w:rPr>
              <w:t xml:space="preserve">Nombre de projets d’investissement pour la construction, la reconstruction, la rénovation ou la modernisation: </w:t>
            </w:r>
          </w:p>
          <w:p w14:paraId="5BFDDDAB" w14:textId="77777777" w:rsidR="003C4798" w:rsidRDefault="00417595">
            <w:pPr>
              <w:spacing w:after="0" w:line="240" w:lineRule="auto"/>
              <w:textAlignment w:val="baseline"/>
              <w:rPr>
                <w:rFonts w:ascii="Times New Roman" w:eastAsia="Times New Roman" w:hAnsi="Times New Roman" w:cs="Times New Roman"/>
                <w:noProof/>
                <w:color w:val="000000"/>
                <w:sz w:val="18"/>
                <w:szCs w:val="18"/>
              </w:rPr>
            </w:pPr>
            <w:r>
              <w:rPr>
                <w:rStyle w:val="CommentReference"/>
                <w:rFonts w:ascii="Times New Roman" w:eastAsia="Times New Roman" w:hAnsi="Times New Roman" w:cs="Times New Roman"/>
                <w:noProof/>
                <w:color w:val="000000" w:themeColor="text1"/>
                <w:sz w:val="18"/>
                <w:szCs w:val="18"/>
              </w:rPr>
              <w:t>- les installations utilisées pour l'enseignement médical ou</w:t>
            </w:r>
          </w:p>
          <w:p w14:paraId="0B2C6603" w14:textId="352DC07D" w:rsidR="003C4798" w:rsidRDefault="00417595">
            <w:pPr>
              <w:pStyle w:val="P68B1DB1-Normal75"/>
              <w:spacing w:after="0" w:line="240" w:lineRule="auto"/>
              <w:textAlignment w:val="baseline"/>
              <w:rPr>
                <w:noProof/>
              </w:rPr>
            </w:pPr>
            <w:r>
              <w:rPr>
                <w:noProof/>
              </w:rPr>
              <w:t xml:space="preserve"> - bibliothèques ou dortoirs d'étudiants.</w:t>
            </w:r>
          </w:p>
        </w:tc>
      </w:tr>
      <w:tr w:rsidR="003C4798" w14:paraId="31655296"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85EAF79" w14:textId="373E4D4F"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D32G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37E9E3B" w14:textId="6C2897A1" w:rsidR="003C4798" w:rsidRDefault="00417595">
            <w:pPr>
              <w:pStyle w:val="P68B1DB1-Normal34"/>
              <w:pBdr>
                <w:top w:val="nil"/>
                <w:left w:val="nil"/>
                <w:bottom w:val="nil"/>
                <w:right w:val="nil"/>
                <w:between w:val="nil"/>
              </w:pBdr>
              <w:spacing w:after="0" w:line="240" w:lineRule="auto"/>
              <w:rPr>
                <w:noProof/>
                <w:color w:val="006100"/>
              </w:rPr>
            </w:pPr>
            <w:r>
              <w:rPr>
                <w:noProof/>
              </w:rPr>
              <w:t>D3.1 Accroître l'efficacité et la qualité du système de santé en soutenant le potentiel polonais de recherche et de développement dans le domaine des sciences médicales et des sciences de la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891F23" w14:textId="6C4DE3B6"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7C7C87" w14:textId="02ACFF20" w:rsidR="003C4798" w:rsidRDefault="00417595">
            <w:pPr>
              <w:pStyle w:val="P68B1DB1-Normal34"/>
              <w:pBdr>
                <w:top w:val="nil"/>
                <w:left w:val="nil"/>
                <w:bottom w:val="nil"/>
                <w:right w:val="nil"/>
                <w:between w:val="nil"/>
              </w:pBdr>
              <w:spacing w:after="0" w:line="240" w:lineRule="auto"/>
              <w:rPr>
                <w:noProof/>
                <w:color w:val="000000"/>
              </w:rPr>
            </w:pPr>
            <w:r>
              <w:rPr>
                <w:noProof/>
              </w:rPr>
              <w:t>Entrée en vigueur de la loi sur les essais cliniques de médicaments à usage humain</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0C1EF6D" w14:textId="41C42CD1" w:rsidR="003C4798" w:rsidRDefault="00417595">
            <w:pPr>
              <w:pStyle w:val="P68B1DB1-Normal34"/>
              <w:pBdr>
                <w:top w:val="nil"/>
                <w:left w:val="nil"/>
                <w:bottom w:val="nil"/>
                <w:right w:val="nil"/>
                <w:between w:val="nil"/>
              </w:pBdr>
              <w:spacing w:after="0" w:line="240" w:lineRule="auto"/>
              <w:rPr>
                <w:noProof/>
                <w:color w:val="006100"/>
              </w:rPr>
            </w:pPr>
            <w:r>
              <w:rPr>
                <w:noProof/>
              </w:rPr>
              <w:t>Disposition de la loi indiquant son entrée en vigueur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B0B2521"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59C38A1"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53569EE"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D2DA973" w14:textId="6E1D76EF"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T4</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CA8062" w14:textId="7B689C37"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2022</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73DF1AC" w14:textId="77777777" w:rsidR="003C4798" w:rsidRDefault="00417595">
            <w:pPr>
              <w:pStyle w:val="P68B1DB1-Normal22"/>
              <w:spacing w:after="0" w:line="240" w:lineRule="auto"/>
              <w:textAlignment w:val="baseline"/>
              <w:rPr>
                <w:noProof/>
              </w:rPr>
            </w:pPr>
            <w:r>
              <w:rPr>
                <w:noProof/>
                <w:color w:val="000000" w:themeColor="text1"/>
              </w:rPr>
              <w:t>La loi sur les essais cliniques de médicaments à usage humain entre en vigueur et comprend:</w:t>
            </w:r>
            <w:r>
              <w:rPr>
                <w:noProof/>
              </w:rPr>
              <w:br/>
            </w:r>
            <w:r>
              <w:rPr>
                <w:noProof/>
                <w:color w:val="000000" w:themeColor="text1"/>
              </w:rPr>
              <w:t>- des règles transparentes, et</w:t>
            </w:r>
            <w:r>
              <w:rPr>
                <w:noProof/>
              </w:rPr>
              <w:br/>
              <w:t xml:space="preserve"> </w:t>
            </w:r>
            <w:r>
              <w:rPr>
                <w:noProof/>
                <w:color w:val="000000" w:themeColor="text1"/>
              </w:rPr>
              <w:t>- des installations et des mécanismes supplémentaires encourageant les essais cliniques en Pologne et améliorant la qualité et la rationalisation des essais cliniques en Pologne.</w:t>
            </w:r>
          </w:p>
          <w:p w14:paraId="52AC271D" w14:textId="1E6D51E4" w:rsidR="003C4798" w:rsidRDefault="00417595">
            <w:pPr>
              <w:pStyle w:val="P68B1DB1-Normal34"/>
              <w:spacing w:after="0" w:line="240" w:lineRule="auto"/>
              <w:textAlignment w:val="baseline"/>
              <w:rPr>
                <w:noProof/>
              </w:rPr>
            </w:pPr>
            <w:r>
              <w:rPr>
                <w:noProof/>
              </w:rPr>
              <w:t>La présente loi met également à jour le cadre juridique régissant le secteur biomédical en général en Pologne, y compris la recherche et le développement, dans la mesure où une telle mise à jour est jugée nécessaire dans le plan stratégique du gouvernement pour le développement du secteur biomédical en Pologne.</w:t>
            </w:r>
          </w:p>
        </w:tc>
      </w:tr>
      <w:tr w:rsidR="003C4798" w14:paraId="45D66B70"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6B5EBAD" w14:textId="62EB5BC9"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D33G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1F01A5" w14:textId="7A2D248E" w:rsidR="003C4798" w:rsidRDefault="00417595">
            <w:pPr>
              <w:pStyle w:val="P68B1DB1-Normal34"/>
              <w:pBdr>
                <w:top w:val="nil"/>
                <w:left w:val="nil"/>
                <w:bottom w:val="nil"/>
                <w:right w:val="nil"/>
                <w:between w:val="nil"/>
              </w:pBdr>
              <w:spacing w:after="0" w:line="240" w:lineRule="auto"/>
              <w:rPr>
                <w:noProof/>
                <w:color w:val="006100"/>
              </w:rPr>
            </w:pPr>
            <w:r>
              <w:rPr>
                <w:noProof/>
              </w:rPr>
              <w:t>D3.1 Accroître l'efficacité et la qualité du système de santé en soutenant le potentiel polonais de recherche et de développement dans le domaine des sciences médicales et des sciences de la santé</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C8F00D1" w14:textId="30E04310"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1F1EA8" w14:textId="267990CF" w:rsidR="003C4798" w:rsidRDefault="00417595">
            <w:pPr>
              <w:pStyle w:val="P68B1DB1-Normal34"/>
              <w:pBdr>
                <w:top w:val="nil"/>
                <w:left w:val="nil"/>
                <w:bottom w:val="nil"/>
                <w:right w:val="nil"/>
                <w:between w:val="nil"/>
              </w:pBdr>
              <w:spacing w:after="0" w:line="240" w:lineRule="auto"/>
              <w:rPr>
                <w:noProof/>
                <w:color w:val="000000"/>
              </w:rPr>
            </w:pPr>
            <w:r>
              <w:rPr>
                <w:noProof/>
              </w:rPr>
              <w:t>Entrée en vigueur ou mise en œuvre des actions clés spécifiées dans le plan stratégique du gouvernement pour le développement du secteur biomédical conformément au calendrier fixé dans le plan stratégique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5E7C683" w14:textId="20B5206E" w:rsidR="003C4798" w:rsidRDefault="00417595">
            <w:pPr>
              <w:pStyle w:val="P68B1DB1-Normal34"/>
              <w:pBdr>
                <w:top w:val="nil"/>
                <w:left w:val="nil"/>
                <w:bottom w:val="nil"/>
                <w:right w:val="nil"/>
                <w:between w:val="nil"/>
              </w:pBdr>
              <w:spacing w:after="0" w:line="240" w:lineRule="auto"/>
              <w:rPr>
                <w:noProof/>
                <w:color w:val="006100"/>
              </w:rPr>
            </w:pPr>
            <w:r>
              <w:rPr>
                <w:noProof/>
              </w:rPr>
              <w:t>Dispositions des documents sous-jacents indiquant leur entrée en vigueur ou leur mise en œuvre, en fonction du type d’actions clés recensées dans le plan stratégique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7B73AE5"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B5B62F2"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EFAC38"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AE8CB5" w14:textId="5FA9DD86"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T4</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7589D3F" w14:textId="12A4350D"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2022</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955B24" w14:textId="16AB1928" w:rsidR="003C4798" w:rsidRDefault="00417595">
            <w:pPr>
              <w:pStyle w:val="P68B1DB1-Normal34"/>
              <w:spacing w:after="0" w:line="240" w:lineRule="auto"/>
              <w:textAlignment w:val="baseline"/>
              <w:rPr>
                <w:noProof/>
              </w:rPr>
            </w:pPr>
            <w:r>
              <w:rPr>
                <w:noProof/>
              </w:rPr>
              <w:t>Les actions identifiées comme «actions clés» dans le plan stratégique entrent en vigueur ou sont mises en œuvre conformément au calendrier figurant dans le plan stratégique et dans la mesure déterminée par le plan stratégique. L’adoption du plan stratégique lui-même sous la forme d’une résolution du Conseil des ministres a lieu en 2022. Les actions clés comprennent la conception du système de gestion du développement du secteur, les premiers concours de subventions dans les domaines prioritaires et la surveillance permanente du marché biomédical polonais.</w:t>
            </w:r>
          </w:p>
        </w:tc>
      </w:tr>
      <w:tr w:rsidR="003C4798" w14:paraId="0DF0350D"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9B8C36" w14:textId="03E8AEE9"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D34G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5ECECE" w14:textId="7788035A" w:rsidR="003C4798" w:rsidRDefault="00417595">
            <w:pPr>
              <w:pStyle w:val="P68B1DB1-Normal34"/>
              <w:pBdr>
                <w:top w:val="nil"/>
                <w:left w:val="nil"/>
                <w:bottom w:val="nil"/>
                <w:right w:val="nil"/>
                <w:between w:val="nil"/>
              </w:pBdr>
              <w:spacing w:after="0" w:line="240" w:lineRule="auto"/>
              <w:rPr>
                <w:noProof/>
                <w:color w:val="006100"/>
              </w:rPr>
            </w:pPr>
            <w:r>
              <w:rPr>
                <w:noProof/>
              </w:rPr>
              <w:t>D3.1.1 Recherche dans le secteur biomédical et création ou développement de centres de soutien aux essais cliniques</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E3090D8" w14:textId="3B20621B"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831B0C5" w14:textId="64606738" w:rsidR="003C4798" w:rsidRDefault="00417595">
            <w:pPr>
              <w:pStyle w:val="P68B1DB1-Normal34"/>
              <w:pBdr>
                <w:top w:val="nil"/>
                <w:left w:val="nil"/>
                <w:bottom w:val="nil"/>
                <w:right w:val="nil"/>
                <w:between w:val="nil"/>
              </w:pBdr>
              <w:spacing w:after="0" w:line="240" w:lineRule="auto"/>
              <w:rPr>
                <w:noProof/>
                <w:color w:val="000000"/>
              </w:rPr>
            </w:pPr>
            <w:r>
              <w:rPr>
                <w:noProof/>
              </w:rPr>
              <w:t>Mise en service d'une plateforme électronique pour le réseau polonais d'essais cliniques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574A9D" w14:textId="4CF2F59C" w:rsidR="003C4798" w:rsidRDefault="00417595">
            <w:pPr>
              <w:pStyle w:val="P68B1DB1-Normal34"/>
              <w:pBdr>
                <w:top w:val="nil"/>
                <w:left w:val="nil"/>
                <w:bottom w:val="nil"/>
                <w:right w:val="nil"/>
                <w:between w:val="nil"/>
              </w:pBdr>
              <w:spacing w:after="0" w:line="240" w:lineRule="auto"/>
              <w:rPr>
                <w:noProof/>
                <w:color w:val="006100"/>
              </w:rPr>
            </w:pPr>
            <w:r>
              <w:rPr>
                <w:noProof/>
              </w:rPr>
              <w:t>Mise en service de la plateforme du réseau polonais d'essais cliniques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0D622BC"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1FF3487"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68EFBA8"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592E7D" w14:textId="71057BDA"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T4</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595A6C" w14:textId="7A6D47BD"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2022</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CEEBDB3" w14:textId="3CF0D3E5" w:rsidR="003C4798" w:rsidRDefault="00417595">
            <w:pPr>
              <w:pStyle w:val="P68B1DB1-Normal34"/>
              <w:spacing w:after="0" w:line="240" w:lineRule="auto"/>
              <w:textAlignment w:val="baseline"/>
              <w:rPr>
                <w:noProof/>
              </w:rPr>
            </w:pPr>
            <w:r>
              <w:rPr>
                <w:noProof/>
              </w:rPr>
              <w:t>La plateforme électronique entre en service. La plateforme comprend des outils de coordination du fonctionnement du réseau, un moteur de recherche permettant d’identifier les essais cliniques, un site web utilisant le moteur de recherche susmentionné, destiné aux patients à la recherche d’une possibilité de participer à des essais cliniques, et un moteur de recherche destiné aux professionnels participant au développement ou à la conduite d’essais cliniques.</w:t>
            </w:r>
          </w:p>
        </w:tc>
      </w:tr>
      <w:tr w:rsidR="003C4798" w14:paraId="05E0B1D8"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A92EC4F" w14:textId="5F109600"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D36G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1806BA5" w14:textId="5D8F966F" w:rsidR="003C4798" w:rsidRDefault="00417595">
            <w:pPr>
              <w:pStyle w:val="P68B1DB1-Normal34"/>
              <w:pBdr>
                <w:top w:val="nil"/>
                <w:left w:val="nil"/>
                <w:bottom w:val="nil"/>
                <w:right w:val="nil"/>
                <w:between w:val="nil"/>
              </w:pBdr>
              <w:spacing w:after="0" w:line="240" w:lineRule="auto"/>
              <w:rPr>
                <w:noProof/>
                <w:color w:val="006100"/>
              </w:rPr>
            </w:pPr>
            <w:r>
              <w:rPr>
                <w:noProof/>
              </w:rPr>
              <w:t xml:space="preserve">D3.1.1 Recherche dans le secteur biomédical et création ou développement de centres de soutien aux essais cliniques </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AE3D5C" w14:textId="7F6678AB"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Objectif</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574B08A" w14:textId="0D9A6CA4" w:rsidR="003C4798" w:rsidRDefault="00417595">
            <w:pPr>
              <w:pStyle w:val="P68B1DB1-Normal34"/>
              <w:pBdr>
                <w:top w:val="nil"/>
                <w:left w:val="nil"/>
                <w:bottom w:val="nil"/>
                <w:right w:val="nil"/>
                <w:between w:val="nil"/>
              </w:pBdr>
              <w:spacing w:after="0" w:line="240" w:lineRule="auto"/>
              <w:rPr>
                <w:noProof/>
                <w:color w:val="000000"/>
              </w:rPr>
            </w:pPr>
            <w:r>
              <w:rPr>
                <w:noProof/>
              </w:rPr>
              <w:t>Projets de recherche dans le secteur biomédical pour des unités de recherche ou des entrepreneurs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8A57353" w14:textId="691EA335" w:rsidR="003C4798" w:rsidRDefault="00417595">
            <w:pPr>
              <w:pStyle w:val="P68B1DB1-Normal34"/>
              <w:pBdr>
                <w:top w:val="nil"/>
                <w:left w:val="nil"/>
                <w:bottom w:val="nil"/>
                <w:right w:val="nil"/>
                <w:between w:val="nil"/>
              </w:pBdr>
              <w:spacing w:after="0" w:line="240" w:lineRule="auto"/>
              <w:rPr>
                <w:noProof/>
                <w:color w:val="006100"/>
              </w:rPr>
            </w:pPr>
            <w:r>
              <w:rPr>
                <w:noProof/>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E462525" w14:textId="576824C9"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0BEF28" w14:textId="51580883"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8E2AEF8" w14:textId="394B6D18"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60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5F26F9" w14:textId="1DA513F4"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T2</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671837" w14:textId="60FB3023"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2026</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A18D643" w14:textId="65AA0D81" w:rsidR="003C4798" w:rsidRDefault="00417595">
            <w:pPr>
              <w:pStyle w:val="P68B1DB1-Normal75"/>
              <w:spacing w:after="0" w:line="240" w:lineRule="auto"/>
              <w:textAlignment w:val="baseline"/>
              <w:rPr>
                <w:noProof/>
              </w:rPr>
            </w:pPr>
            <w:r>
              <w:rPr>
                <w:noProof/>
              </w:rPr>
              <w:t>Rapports finaux d’au moins 60 projets de recherche dans le secteur biomédical pour des unités de recherche ou des entrepreneurs signés par le bénéficiaire et l’Agence de la recherche médicale. Les projets sont fournis dans le domaine des innovations pharmaceutiques, des dispositifs médicaux ou des solutions informatiques à des fins médicales et de santé.</w:t>
            </w:r>
          </w:p>
        </w:tc>
      </w:tr>
      <w:tr w:rsidR="003C4798" w14:paraId="689FE5F0"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F0C193F" w14:textId="07AE441B"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D37G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E3160D9" w14:textId="684A49C5" w:rsidR="003C4798" w:rsidRDefault="00417595">
            <w:pPr>
              <w:pStyle w:val="P68B1DB1-Normal34"/>
              <w:pBdr>
                <w:top w:val="nil"/>
                <w:left w:val="nil"/>
                <w:bottom w:val="nil"/>
                <w:right w:val="nil"/>
                <w:between w:val="nil"/>
              </w:pBdr>
              <w:spacing w:after="0" w:line="240" w:lineRule="auto"/>
              <w:rPr>
                <w:noProof/>
                <w:color w:val="006100"/>
              </w:rPr>
            </w:pPr>
            <w:r>
              <w:rPr>
                <w:noProof/>
              </w:rPr>
              <w:t xml:space="preserve">D3.1.1 Recherche dans le secteur biomédical et création ou développement de centres de soutien aux essais cliniques </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75D524D" w14:textId="5A93F1E9"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Objectif</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22B3C59" w14:textId="7DFDD327" w:rsidR="003C4798" w:rsidRDefault="00417595">
            <w:pPr>
              <w:pStyle w:val="P68B1DB1-Normal34"/>
              <w:pBdr>
                <w:top w:val="nil"/>
                <w:left w:val="nil"/>
                <w:bottom w:val="nil"/>
                <w:right w:val="nil"/>
                <w:between w:val="nil"/>
              </w:pBdr>
              <w:spacing w:after="0" w:line="240" w:lineRule="auto"/>
              <w:rPr>
                <w:noProof/>
                <w:color w:val="000000"/>
              </w:rPr>
            </w:pPr>
            <w:r>
              <w:rPr>
                <w:noProof/>
              </w:rPr>
              <w:t>Centres de soutien aux essais cliniques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FB6FD38" w14:textId="3C66E886" w:rsidR="003C4798" w:rsidRDefault="00417595">
            <w:pPr>
              <w:pStyle w:val="P68B1DB1-Normal34"/>
              <w:pBdr>
                <w:top w:val="nil"/>
                <w:left w:val="nil"/>
                <w:bottom w:val="nil"/>
                <w:right w:val="nil"/>
                <w:between w:val="nil"/>
              </w:pBdr>
              <w:spacing w:after="0" w:line="240" w:lineRule="auto"/>
              <w:rPr>
                <w:noProof/>
                <w:color w:val="006100"/>
              </w:rPr>
            </w:pPr>
            <w:r>
              <w:rPr>
                <w:noProof/>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1D33D9" w14:textId="52F33AB7"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D5AD1E4" w14:textId="582056BF"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032EB4C" w14:textId="6BACB62D"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28</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C79A9C8" w14:textId="5BD5BF8D"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T2</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273626D" w14:textId="322270F2"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2026</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E53BCE4" w14:textId="7952B11A" w:rsidR="003C4798" w:rsidRDefault="00417595">
            <w:pPr>
              <w:pStyle w:val="P68B1DB1-Normal75"/>
              <w:spacing w:after="0" w:line="240" w:lineRule="auto"/>
              <w:textAlignment w:val="baseline"/>
              <w:rPr>
                <w:noProof/>
                <w:color w:val="000000" w:themeColor="text1"/>
              </w:rPr>
            </w:pPr>
            <w:r>
              <w:rPr>
                <w:noProof/>
              </w:rPr>
              <w:t>Rapports finaux signés par le bénéficiaire et l’Agence de recherche médicale:</w:t>
            </w:r>
          </w:p>
          <w:p w14:paraId="1D8273E3" w14:textId="77777777" w:rsidR="003C4798" w:rsidRDefault="00417595">
            <w:pPr>
              <w:pStyle w:val="P68B1DB1-ListParagraph76"/>
              <w:numPr>
                <w:ilvl w:val="0"/>
                <w:numId w:val="23"/>
              </w:numPr>
              <w:spacing w:after="0" w:line="240" w:lineRule="auto"/>
              <w:textAlignment w:val="baseline"/>
              <w:rPr>
                <w:noProof/>
                <w:color w:val="000000"/>
              </w:rPr>
            </w:pPr>
            <w:r>
              <w:rPr>
                <w:noProof/>
              </w:rPr>
              <w:t>confirmer la création de 10 centres de soutien aux essais cliniques (CTSC);</w:t>
            </w:r>
          </w:p>
          <w:p w14:paraId="30A48516" w14:textId="74612D66" w:rsidR="003C4798" w:rsidRDefault="00417595">
            <w:pPr>
              <w:pStyle w:val="P68B1DB1-ListParagraph76"/>
              <w:numPr>
                <w:ilvl w:val="0"/>
                <w:numId w:val="23"/>
              </w:numPr>
              <w:spacing w:after="0" w:line="240" w:lineRule="auto"/>
              <w:textAlignment w:val="baseline"/>
              <w:rPr>
                <w:noProof/>
                <w:color w:val="000000"/>
              </w:rPr>
            </w:pPr>
            <w:r>
              <w:rPr>
                <w:noProof/>
              </w:rPr>
              <w:t>confirmant que les 18 CTSC existants ont mené au moins une des activités suivantes:</w:t>
            </w:r>
          </w:p>
          <w:p w14:paraId="7F93EAB4" w14:textId="32926A9E" w:rsidR="003C4798" w:rsidRDefault="00417595">
            <w:pPr>
              <w:pStyle w:val="P68B1DB1-Normal66"/>
              <w:spacing w:after="0" w:line="240" w:lineRule="auto"/>
              <w:textAlignment w:val="baseline"/>
              <w:rPr>
                <w:rFonts w:ascii="Times New Roman" w:hAnsi="Times New Roman"/>
                <w:noProof/>
              </w:rPr>
            </w:pPr>
            <w:r>
              <w:rPr>
                <w:rFonts w:ascii="Times New Roman" w:hAnsi="Times New Roman" w:cs="Times New Roman"/>
                <w:noProof/>
                <w:color w:val="000000" w:themeColor="text1"/>
              </w:rPr>
              <w:t>- l'éducation ou la formation d'au moins un groupe bénéficiaire sur trois: les équipes de gestion, les scientifiques et les patients,</w:t>
            </w:r>
            <w:r>
              <w:rPr>
                <w:rFonts w:ascii="Times New Roman" w:hAnsi="Times New Roman" w:cs="Times New Roman"/>
                <w:noProof/>
              </w:rPr>
              <w:br/>
            </w:r>
            <w:r>
              <w:rPr>
                <w:rFonts w:ascii="Times New Roman" w:eastAsia="Times New Roman" w:hAnsi="Times New Roman" w:cs="Times New Roman"/>
                <w:noProof/>
                <w:color w:val="000000" w:themeColor="text1"/>
              </w:rPr>
              <w:t>- préparer le CTSC à mener des recherches décentralisées (avec une approche centrée sur le patient),</w:t>
            </w:r>
            <w:r>
              <w:rPr>
                <w:rFonts w:ascii="Times New Roman" w:hAnsi="Times New Roman" w:cs="Times New Roman"/>
                <w:noProof/>
              </w:rPr>
              <w:br/>
              <w:t xml:space="preserve"> </w:t>
            </w:r>
            <w:r>
              <w:rPr>
                <w:rFonts w:ascii="Times New Roman" w:hAnsi="Times New Roman" w:cs="Times New Roman"/>
                <w:noProof/>
                <w:color w:val="000000" w:themeColor="text1"/>
              </w:rPr>
              <w:t>- informer sur les essais cliniques dans la société,</w:t>
            </w:r>
            <w:r>
              <w:rPr>
                <w:rFonts w:ascii="Times New Roman" w:hAnsi="Times New Roman" w:cs="Times New Roman"/>
                <w:noProof/>
              </w:rPr>
              <w:br/>
              <w:t xml:space="preserve"> </w:t>
            </w:r>
            <w:r>
              <w:rPr>
                <w:rFonts w:ascii="Times New Roman" w:hAnsi="Times New Roman" w:cs="Times New Roman"/>
                <w:noProof/>
                <w:color w:val="000000" w:themeColor="text1"/>
              </w:rPr>
              <w:t>- la modernisation des systèmes informatiques,</w:t>
            </w:r>
            <w:r>
              <w:rPr>
                <w:rFonts w:ascii="Times New Roman" w:hAnsi="Times New Roman" w:cs="Times New Roman"/>
                <w:noProof/>
              </w:rPr>
              <w:br/>
              <w:t xml:space="preserve"> </w:t>
            </w:r>
            <w:r>
              <w:rPr>
                <w:rFonts w:ascii="Times New Roman" w:eastAsia="Times New Roman" w:hAnsi="Times New Roman" w:cs="Times New Roman"/>
                <w:noProof/>
                <w:color w:val="000000" w:themeColor="text1"/>
              </w:rPr>
              <w:t>- la modernisation des infrastructures existantes,</w:t>
            </w:r>
            <w:r>
              <w:rPr>
                <w:rFonts w:ascii="Times New Roman" w:hAnsi="Times New Roman" w:cs="Times New Roman"/>
                <w:noProof/>
              </w:rPr>
              <w:br/>
              <w:t xml:space="preserve"> </w:t>
            </w:r>
            <w:r>
              <w:rPr>
                <w:rFonts w:ascii="Times New Roman" w:hAnsi="Times New Roman" w:cs="Times New Roman"/>
                <w:noProof/>
                <w:color w:val="000000" w:themeColor="text1"/>
              </w:rPr>
              <w:t>- la conception de nouveaux processus, procédures et la modification de la structure organisationnelle dans les institutions ou la rémunération des employés.</w:t>
            </w:r>
          </w:p>
        </w:tc>
      </w:tr>
      <w:tr w:rsidR="003C4798" w14:paraId="3CB9E626"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95E879" w14:textId="36111022"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D38G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044B97" w14:textId="47A4AEEF" w:rsidR="003C4798" w:rsidRDefault="00417595">
            <w:pPr>
              <w:pStyle w:val="P68B1DB1-Normal34"/>
              <w:pBdr>
                <w:top w:val="nil"/>
                <w:left w:val="nil"/>
                <w:bottom w:val="nil"/>
                <w:right w:val="nil"/>
                <w:between w:val="nil"/>
              </w:pBdr>
              <w:spacing w:after="0" w:line="240" w:lineRule="auto"/>
              <w:rPr>
                <w:noProof/>
                <w:color w:val="006100"/>
              </w:rPr>
            </w:pPr>
            <w:r>
              <w:rPr>
                <w:noProof/>
              </w:rPr>
              <w:t>D4.1.1 Accroître les soins de longue durée par la modernisation des structures médicales au niveau des districts</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FD4AD55" w14:textId="13D7E4B6"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Étape</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D0A68AD" w14:textId="78469196" w:rsidR="003C4798" w:rsidRDefault="00417595">
            <w:pPr>
              <w:pStyle w:val="P68B1DB1-Normal34"/>
              <w:pBdr>
                <w:top w:val="nil"/>
                <w:left w:val="nil"/>
                <w:bottom w:val="nil"/>
                <w:right w:val="nil"/>
                <w:between w:val="nil"/>
              </w:pBdr>
              <w:spacing w:after="0" w:line="240" w:lineRule="auto"/>
              <w:rPr>
                <w:noProof/>
                <w:color w:val="000000"/>
              </w:rPr>
            </w:pPr>
            <w:r>
              <w:rPr>
                <w:noProof/>
              </w:rPr>
              <w:t>Liste des hôpitaux de district sélectionnés pour soutenir la création de lits de longue durée et gériatriques, sur la base de critères de sélection spécifiques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35E83AD" w14:textId="7EE1CA71" w:rsidR="003C4798" w:rsidRDefault="00417595">
            <w:pPr>
              <w:pStyle w:val="P68B1DB1-Normal34"/>
              <w:pBdr>
                <w:top w:val="nil"/>
                <w:left w:val="nil"/>
                <w:bottom w:val="nil"/>
                <w:right w:val="nil"/>
                <w:between w:val="nil"/>
              </w:pBdr>
              <w:spacing w:after="0" w:line="240" w:lineRule="auto"/>
              <w:rPr>
                <w:noProof/>
                <w:color w:val="006100"/>
              </w:rPr>
            </w:pPr>
            <w:r>
              <w:rPr>
                <w:noProof/>
              </w:rPr>
              <w:t>Publication de la liste des hôpitaux sélectionnés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BEE3A9E"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4BB722"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BD773B"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B93F124" w14:textId="372059DF"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T2</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96E2B3" w14:textId="6F248D8F"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2024</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857A713" w14:textId="77777777" w:rsidR="003C4798" w:rsidRDefault="00417595">
            <w:pPr>
              <w:pStyle w:val="P68B1DB1-Normal34"/>
              <w:pBdr>
                <w:top w:val="nil"/>
                <w:left w:val="nil"/>
                <w:bottom w:val="nil"/>
                <w:right w:val="nil"/>
                <w:between w:val="nil"/>
              </w:pBdr>
              <w:spacing w:after="0" w:line="240" w:lineRule="auto"/>
              <w:rPr>
                <w:noProof/>
                <w:color w:val="000000"/>
              </w:rPr>
            </w:pPr>
            <w:r>
              <w:rPr>
                <w:noProof/>
              </w:rPr>
              <w:t xml:space="preserve">Une liste des hôpitaux de district sélectionnés pour soutenir la création de lits de longue durée et de lits gériatriques sera fournie. </w:t>
            </w:r>
          </w:p>
          <w:p w14:paraId="05B1751F" w14:textId="77777777" w:rsidR="003C4798" w:rsidRDefault="003C4798">
            <w:pPr>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03E6EB59" w14:textId="77777777" w:rsidR="003C4798" w:rsidRDefault="00417595">
            <w:pPr>
              <w:pStyle w:val="P68B1DB1-Normal22"/>
              <w:pBdr>
                <w:top w:val="nil"/>
                <w:left w:val="nil"/>
                <w:bottom w:val="nil"/>
                <w:right w:val="nil"/>
                <w:between w:val="nil"/>
              </w:pBdr>
              <w:spacing w:after="0" w:line="240" w:lineRule="auto"/>
              <w:rPr>
                <w:noProof/>
                <w:color w:val="000000" w:themeColor="text1"/>
              </w:rPr>
            </w:pPr>
            <w:r>
              <w:rPr>
                <w:noProof/>
                <w:color w:val="000000" w:themeColor="text1"/>
              </w:rPr>
              <w:t>La sélection est fondée sur un ensemble de critères comprenant des conditions locales pour:</w:t>
            </w:r>
            <w:r>
              <w:rPr>
                <w:noProof/>
              </w:rPr>
              <w:br/>
            </w:r>
            <w:r>
              <w:rPr>
                <w:noProof/>
                <w:color w:val="000000" w:themeColor="text1"/>
              </w:rPr>
              <w:t>- les tendances démographiques,</w:t>
            </w:r>
            <w:r>
              <w:rPr>
                <w:noProof/>
              </w:rPr>
              <w:br/>
              <w:t xml:space="preserve"> </w:t>
            </w:r>
            <w:r>
              <w:rPr>
                <w:noProof/>
                <w:color w:val="000000" w:themeColor="text1"/>
              </w:rPr>
              <w:t>densité de population,</w:t>
            </w:r>
            <w:r>
              <w:rPr>
                <w:noProof/>
              </w:rPr>
              <w:br/>
              <w:t xml:space="preserve"> </w:t>
            </w:r>
            <w:r>
              <w:rPr>
                <w:noProof/>
                <w:color w:val="000000" w:themeColor="text1"/>
              </w:rPr>
              <w:t xml:space="preserve">- les besoins en soins de longue durée, </w:t>
            </w:r>
          </w:p>
          <w:p w14:paraId="4CDF7AF1" w14:textId="77777777" w:rsidR="003C4798" w:rsidRDefault="00417595">
            <w:pPr>
              <w:pStyle w:val="P68B1DB1-Normal22"/>
              <w:pBdr>
                <w:top w:val="nil"/>
                <w:left w:val="nil"/>
                <w:bottom w:val="nil"/>
                <w:right w:val="nil"/>
                <w:between w:val="nil"/>
              </w:pBdr>
              <w:spacing w:after="0" w:line="240" w:lineRule="auto"/>
              <w:rPr>
                <w:noProof/>
                <w:color w:val="000000"/>
              </w:rPr>
            </w:pPr>
            <w:r>
              <w:rPr>
                <w:noProof/>
                <w:color w:val="000000" w:themeColor="text1"/>
              </w:rPr>
              <w:t>- saturation des soins de longue durée/services gériatriques,</w:t>
            </w:r>
            <w:r>
              <w:rPr>
                <w:noProof/>
              </w:rPr>
              <w:br/>
            </w:r>
            <w:r>
              <w:rPr>
                <w:noProof/>
                <w:color w:val="000000" w:themeColor="text1"/>
              </w:rPr>
              <w:t>- la qualité des soins, et</w:t>
            </w:r>
            <w:r>
              <w:rPr>
                <w:noProof/>
              </w:rPr>
              <w:br/>
              <w:t xml:space="preserve"> </w:t>
            </w:r>
            <w:r>
              <w:rPr>
                <w:noProof/>
                <w:color w:val="000000" w:themeColor="text1"/>
              </w:rPr>
              <w:t>- le respect des plans de restructuration ou des documents équivalents pour un hôpital donné.</w:t>
            </w:r>
          </w:p>
          <w:p w14:paraId="347C3F93" w14:textId="77777777" w:rsidR="003C4798" w:rsidRDefault="003C4798">
            <w:pPr>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0883A0BB" w14:textId="464C28AB" w:rsidR="003C4798" w:rsidRDefault="00417595">
            <w:pPr>
              <w:pStyle w:val="P68B1DB1-Normal34"/>
              <w:spacing w:after="0" w:line="240" w:lineRule="auto"/>
              <w:textAlignment w:val="baseline"/>
              <w:rPr>
                <w:noProof/>
              </w:rPr>
            </w:pPr>
            <w:r>
              <w:rPr>
                <w:noProof/>
              </w:rPr>
              <w:t>Un document équivalent doit contenir au moins: des informations sur les mesures visant à garantir la bonne situation financière de l’hôpital concerné, y compris des précisions sur la nature de ces mesures, leur calendrier, leur coût et les résultats financiers escomptés, l’organisme responsable de la mise en œuvre de ces mesures et les modalités de suivi.</w:t>
            </w:r>
          </w:p>
        </w:tc>
      </w:tr>
      <w:tr w:rsidR="003C4798" w14:paraId="16224A5B"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A6214AE" w14:textId="152CD0B7" w:rsidR="003C4798" w:rsidRDefault="00417595">
            <w:pPr>
              <w:pStyle w:val="P68B1DB1-Normal22"/>
              <w:pBdr>
                <w:top w:val="nil"/>
                <w:left w:val="nil"/>
                <w:bottom w:val="nil"/>
                <w:right w:val="nil"/>
                <w:between w:val="nil"/>
              </w:pBdr>
              <w:spacing w:after="0" w:line="240" w:lineRule="auto"/>
              <w:jc w:val="center"/>
              <w:rPr>
                <w:noProof/>
                <w:color w:val="006100"/>
              </w:rPr>
            </w:pPr>
            <w:r>
              <w:rPr>
                <w:noProof/>
              </w:rPr>
              <w:t>D40G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FC055D8" w14:textId="734FBFFD" w:rsidR="003C4798" w:rsidRDefault="00417595">
            <w:pPr>
              <w:pStyle w:val="P68B1DB1-Normal34"/>
              <w:pBdr>
                <w:top w:val="nil"/>
                <w:left w:val="nil"/>
                <w:bottom w:val="nil"/>
                <w:right w:val="nil"/>
                <w:between w:val="nil"/>
              </w:pBdr>
              <w:spacing w:after="0" w:line="240" w:lineRule="auto"/>
              <w:rPr>
                <w:noProof/>
                <w:color w:val="006100"/>
              </w:rPr>
            </w:pPr>
            <w:r>
              <w:rPr>
                <w:noProof/>
              </w:rPr>
              <w:t>D4.1.1 Accroître la fourniture de soins de longue durée par la modernisation des entités médicales au niveau des districts</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0A9F20C" w14:textId="55854000"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Objectif</w:t>
            </w:r>
          </w:p>
        </w:tc>
        <w:tc>
          <w:tcPr>
            <w:tcW w:w="1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2B78124" w14:textId="73F519D6" w:rsidR="003C4798" w:rsidRDefault="00417595">
            <w:pPr>
              <w:pBdr>
                <w:top w:val="nil"/>
                <w:left w:val="nil"/>
                <w:bottom w:val="nil"/>
                <w:right w:val="nil"/>
                <w:between w:val="nil"/>
              </w:pBdr>
              <w:spacing w:after="0" w:line="240" w:lineRule="auto"/>
              <w:rPr>
                <w:rFonts w:ascii="Times New Roman" w:hAnsi="Times New Roman"/>
                <w:noProof/>
                <w:color w:val="000000"/>
                <w:sz w:val="18"/>
                <w:szCs w:val="18"/>
              </w:rPr>
            </w:pPr>
            <w:r>
              <w:rPr>
                <w:rStyle w:val="CommentReference"/>
                <w:rFonts w:ascii="Times New Roman" w:hAnsi="Times New Roman" w:cs="Times New Roman"/>
                <w:noProof/>
                <w:color w:val="000000" w:themeColor="text1"/>
                <w:sz w:val="18"/>
                <w:szCs w:val="18"/>
              </w:rPr>
              <w:t xml:space="preserve">Hôpitaux ayant fait l'objet d'investissements dans la construction ou la rénovation ou d'achats de matériel médical </w:t>
            </w:r>
            <w:r>
              <w:rPr>
                <w:rStyle w:val="CommentReference"/>
                <w:rFonts w:ascii="Times New Roman" w:hAnsi="Times New Roman" w:cs="Times New Roman"/>
                <w:noProof/>
                <w:sz w:val="18"/>
                <w:szCs w:val="18"/>
              </w:rPr>
              <w:t xml:space="preserv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4E20031" w14:textId="1CED1EC8" w:rsidR="003C4798" w:rsidRDefault="00417595">
            <w:pPr>
              <w:pStyle w:val="P68B1DB1-Normal34"/>
              <w:pBdr>
                <w:top w:val="nil"/>
                <w:left w:val="nil"/>
                <w:bottom w:val="nil"/>
                <w:right w:val="nil"/>
                <w:between w:val="nil"/>
              </w:pBdr>
              <w:spacing w:after="0" w:line="240" w:lineRule="auto"/>
              <w:rPr>
                <w:noProof/>
                <w:color w:val="006100"/>
              </w:rPr>
            </w:pPr>
            <w:r>
              <w:rPr>
                <w:noProof/>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D2E47E4" w14:textId="4FC291D5"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Numéro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8902D7" w14:textId="7661748A"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A3EEC9C" w14:textId="13C0BC02"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76</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081C47" w14:textId="63F96587"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T2</w:t>
            </w:r>
          </w:p>
        </w:tc>
        <w:tc>
          <w:tcPr>
            <w:tcW w:w="7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1319015" w14:textId="71B8CCD9" w:rsidR="003C4798" w:rsidRDefault="00417595">
            <w:pPr>
              <w:pStyle w:val="P68B1DB1-Normal34"/>
              <w:pBdr>
                <w:top w:val="nil"/>
                <w:left w:val="nil"/>
                <w:bottom w:val="nil"/>
                <w:right w:val="nil"/>
                <w:between w:val="nil"/>
              </w:pBdr>
              <w:spacing w:after="0" w:line="240" w:lineRule="auto"/>
              <w:jc w:val="center"/>
              <w:rPr>
                <w:noProof/>
                <w:color w:val="006100"/>
              </w:rPr>
            </w:pPr>
            <w:r>
              <w:rPr>
                <w:noProof/>
              </w:rPr>
              <w:t>2026</w:t>
            </w:r>
          </w:p>
        </w:tc>
        <w:tc>
          <w:tcPr>
            <w:tcW w:w="3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571499F" w14:textId="6E6BCC88" w:rsidR="003C4798" w:rsidRDefault="00417595">
            <w:pPr>
              <w:pStyle w:val="P68B1DB1-Normal75"/>
              <w:spacing w:after="0" w:line="240" w:lineRule="auto"/>
              <w:textAlignment w:val="baseline"/>
              <w:rPr>
                <w:noProof/>
              </w:rPr>
            </w:pPr>
            <w:r>
              <w:rPr>
                <w:noProof/>
              </w:rPr>
              <w:t>Nombre d'hôpitaux munis d'un certificat confirmant les travaux de construction ou de rénovation ou d'une preuve de livraison du matériel médical acheté.</w:t>
            </w:r>
          </w:p>
        </w:tc>
      </w:tr>
    </w:tbl>
    <w:p w14:paraId="0C6D327B" w14:textId="77777777" w:rsidR="003C4798" w:rsidRDefault="003C4798">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ED0" w14:textId="77777777" w:rsidR="003C4798" w:rsidRDefault="003C4798">
      <w:pPr>
        <w:pBdr>
          <w:top w:val="nil"/>
          <w:left w:val="nil"/>
          <w:bottom w:val="nil"/>
          <w:right w:val="nil"/>
          <w:between w:val="nil"/>
        </w:pBdr>
        <w:spacing w:before="120" w:after="120" w:line="240" w:lineRule="auto"/>
        <w:jc w:val="both"/>
        <w:rPr>
          <w:rFonts w:ascii="Times New Roman" w:eastAsia="Times New Roman" w:hAnsi="Times New Roman" w:cs="Times New Roman"/>
          <w:i/>
          <w:noProof/>
          <w:color w:val="4F81BD"/>
        </w:rPr>
        <w:sectPr w:rsidR="003C4798" w:rsidSect="006C5441">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299"/>
        </w:sectPr>
      </w:pPr>
    </w:p>
    <w:p w14:paraId="1216BED1" w14:textId="77777777" w:rsidR="003C4798" w:rsidRDefault="00417595">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000000"/>
        </w:rPr>
      </w:pPr>
      <w:r>
        <w:rPr>
          <w:rFonts w:ascii="Times New Roman" w:hAnsi="Times New Roman"/>
          <w:b/>
          <w:noProof/>
          <w:color w:val="000000" w:themeColor="text1"/>
        </w:rPr>
        <w:t xml:space="preserve">D.3. </w:t>
      </w:r>
      <w:r>
        <w:rPr>
          <w:noProof/>
        </w:rPr>
        <w:t xml:space="preserve"> </w:t>
      </w:r>
      <w:r>
        <w:rPr>
          <w:rFonts w:ascii="Times New Roman" w:hAnsi="Times New Roman"/>
          <w:b/>
          <w:noProof/>
          <w:color w:val="000000" w:themeColor="text1"/>
        </w:rPr>
        <w:t>Description des réformes et des investissements pour le prêt</w:t>
      </w:r>
    </w:p>
    <w:p w14:paraId="1216BED2" w14:textId="77777777" w:rsidR="003C4798" w:rsidRDefault="003C4798">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000000"/>
        </w:rPr>
      </w:pPr>
    </w:p>
    <w:p w14:paraId="1216BED3" w14:textId="77777777" w:rsidR="003C4798" w:rsidRDefault="00417595">
      <w:pPr>
        <w:pStyle w:val="P68B1DB1-Normal72"/>
        <w:pBdr>
          <w:top w:val="nil"/>
          <w:left w:val="nil"/>
          <w:bottom w:val="nil"/>
          <w:right w:val="nil"/>
          <w:between w:val="nil"/>
        </w:pBdr>
        <w:spacing w:before="120" w:after="120" w:line="240" w:lineRule="auto"/>
        <w:jc w:val="both"/>
        <w:rPr>
          <w:rFonts w:eastAsia="Times New Roman" w:cs="Times New Roman"/>
          <w:bCs/>
          <w:noProof/>
          <w:color w:val="000000"/>
        </w:rPr>
      </w:pPr>
      <w:r>
        <w:rPr>
          <w:noProof/>
        </w:rPr>
        <w:t>D1.2 Accroître l'efficacité, la disponibilité et la qualité des services de soins de longue durée fournis par les prestataires de soins de santé au niveau des districts</w:t>
      </w:r>
    </w:p>
    <w:p w14:paraId="1216BED4" w14:textId="77777777" w:rsidR="003C4798" w:rsidRDefault="00417595">
      <w:pPr>
        <w:pStyle w:val="P68B1DB1-Normal71"/>
        <w:pBdr>
          <w:top w:val="nil"/>
          <w:left w:val="nil"/>
          <w:bottom w:val="nil"/>
          <w:right w:val="nil"/>
          <w:between w:val="nil"/>
        </w:pBdr>
        <w:spacing w:before="120" w:after="0" w:line="240" w:lineRule="auto"/>
        <w:jc w:val="both"/>
        <w:rPr>
          <w:noProof/>
        </w:rPr>
      </w:pPr>
      <w:r>
        <w:rPr>
          <w:noProof/>
        </w:rPr>
        <w:t>L’objectif de la réforme est de soutenir la transformation des hôpitaux de district en unités ou centres de soins de longue durée et de soins gériatriques. La réforme est juridiquement fondée sur un acte législatif spécifique s’appuyant sur les conclusions d’un examen du potentiel de création d’unités/centres de soins de longue durée et de soins gériatriques dans les hôpitaux de district en Pologne. La réforme est également conforme à la stratégie de désinstitutionnalisation élaborée par le ministère de la santé (annexe au «Cadre stratégique pour le développement du système de soins de santé en Pologne 2021-2027 – Un avenir en bonne santé»).</w:t>
      </w:r>
    </w:p>
    <w:p w14:paraId="1216BED5" w14:textId="77777777" w:rsidR="003C4798" w:rsidRDefault="00417595">
      <w:pPr>
        <w:pStyle w:val="P68B1DB1-Normal71"/>
        <w:pBdr>
          <w:top w:val="nil"/>
          <w:left w:val="nil"/>
          <w:bottom w:val="nil"/>
          <w:right w:val="nil"/>
          <w:between w:val="nil"/>
        </w:pBdr>
        <w:spacing w:before="120" w:after="120" w:line="240" w:lineRule="auto"/>
        <w:jc w:val="both"/>
        <w:rPr>
          <w:noProof/>
          <w:sz w:val="18"/>
          <w:szCs w:val="18"/>
        </w:rPr>
      </w:pPr>
      <w:r>
        <w:rPr>
          <w:noProof/>
        </w:rPr>
        <w:t>La mise en œuvre de la réforme est achevée au plus tard le 30 septembre 2022.</w:t>
      </w:r>
    </w:p>
    <w:p w14:paraId="1216BED6" w14:textId="77777777" w:rsidR="003C4798" w:rsidRDefault="003C4798">
      <w:pPr>
        <w:pBdr>
          <w:top w:val="nil"/>
          <w:left w:val="nil"/>
          <w:bottom w:val="nil"/>
          <w:right w:val="nil"/>
          <w:between w:val="nil"/>
        </w:pBdr>
        <w:spacing w:before="120" w:after="120" w:line="240" w:lineRule="auto"/>
        <w:ind w:left="284" w:hanging="284"/>
        <w:jc w:val="both"/>
        <w:rPr>
          <w:rFonts w:ascii="Times New Roman" w:eastAsia="Times New Roman" w:hAnsi="Times New Roman" w:cs="Times New Roman"/>
          <w:noProof/>
          <w:color w:val="000000"/>
          <w:u w:val="single"/>
        </w:rPr>
      </w:pPr>
    </w:p>
    <w:p w14:paraId="1216BED7" w14:textId="77777777" w:rsidR="003C4798" w:rsidRDefault="003C4798">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sectPr w:rsidR="003C4798" w:rsidSect="006C5441">
          <w:headerReference w:type="even" r:id="rId108"/>
          <w:headerReference w:type="default" r:id="rId109"/>
          <w:footerReference w:type="even" r:id="rId110"/>
          <w:footerReference w:type="default" r:id="rId111"/>
          <w:headerReference w:type="first" r:id="rId112"/>
          <w:footerReference w:type="first" r:id="rId113"/>
          <w:pgSz w:w="11907" w:h="16839"/>
          <w:pgMar w:top="1134" w:right="1134" w:bottom="1134" w:left="1134" w:header="567" w:footer="567" w:gutter="0"/>
          <w:cols w:space="720"/>
          <w:docGrid w:linePitch="299"/>
        </w:sectPr>
      </w:pPr>
    </w:p>
    <w:p w14:paraId="1216BED8" w14:textId="77777777" w:rsidR="003C4798" w:rsidRDefault="00417595">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pPr>
      <w:r>
        <w:rPr>
          <w:rFonts w:ascii="Times New Roman" w:hAnsi="Times New Roman"/>
          <w:b/>
          <w:noProof/>
          <w:color w:val="000000" w:themeColor="text1"/>
        </w:rPr>
        <w:t xml:space="preserve">D.4. </w:t>
      </w:r>
      <w:r>
        <w:rPr>
          <w:noProof/>
        </w:rPr>
        <w:t xml:space="preserve"> </w:t>
      </w:r>
      <w:r>
        <w:rPr>
          <w:rFonts w:ascii="Times New Roman" w:hAnsi="Times New Roman"/>
          <w:b/>
          <w:noProof/>
          <w:color w:val="000000" w:themeColor="text1"/>
        </w:rPr>
        <w:t>Étapes, objectifs, indicateurs et calendrier du suivi et de la mise en œuvre du prêt</w:t>
      </w:r>
    </w:p>
    <w:tbl>
      <w:tblPr>
        <w:tblW w:w="155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49"/>
        <w:gridCol w:w="1985"/>
        <w:gridCol w:w="1134"/>
        <w:gridCol w:w="1842"/>
        <w:gridCol w:w="1276"/>
        <w:gridCol w:w="992"/>
        <w:gridCol w:w="993"/>
        <w:gridCol w:w="889"/>
        <w:gridCol w:w="1134"/>
        <w:gridCol w:w="850"/>
        <w:gridCol w:w="3505"/>
      </w:tblGrid>
      <w:tr w:rsidR="003C4798" w14:paraId="1216BEE1" w14:textId="77777777" w:rsidTr="00DA6ACB">
        <w:trPr>
          <w:trHeight w:val="873"/>
          <w:tblHeader/>
          <w:jc w:val="center"/>
        </w:trPr>
        <w:tc>
          <w:tcPr>
            <w:tcW w:w="9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9"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Seq. N°</w:t>
            </w:r>
          </w:p>
        </w:tc>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A"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Mesure connexe (réforme ou investissement)</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B"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Étape/cible</w:t>
            </w:r>
          </w:p>
        </w:tc>
        <w:tc>
          <w:tcPr>
            <w:tcW w:w="184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C"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Nom</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D" w14:textId="6E9BC9CC" w:rsidR="003C4798" w:rsidRDefault="00417595">
            <w:pPr>
              <w:pStyle w:val="P68B1DB1-Normal74"/>
              <w:pBdr>
                <w:top w:val="nil"/>
                <w:left w:val="nil"/>
                <w:bottom w:val="nil"/>
                <w:right w:val="nil"/>
                <w:between w:val="nil"/>
              </w:pBdr>
              <w:spacing w:after="0" w:line="240" w:lineRule="auto"/>
              <w:jc w:val="center"/>
              <w:rPr>
                <w:rFonts w:eastAsia="Times New Roman" w:cs="Times New Roman"/>
                <w:bCs/>
                <w:noProof/>
              </w:rPr>
            </w:pPr>
            <w:r>
              <w:rPr>
                <w:noProof/>
              </w:rPr>
              <w:t>Indicateurs qualitatifs (pour les jalons)</w:t>
            </w:r>
          </w:p>
        </w:tc>
        <w:tc>
          <w:tcPr>
            <w:tcW w:w="28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E" w14:textId="38D6A3FE" w:rsidR="003C4798" w:rsidRDefault="00417595">
            <w:pPr>
              <w:pStyle w:val="P68B1DB1-Normal74"/>
              <w:pBdr>
                <w:top w:val="nil"/>
                <w:left w:val="nil"/>
                <w:bottom w:val="nil"/>
                <w:right w:val="nil"/>
                <w:between w:val="nil"/>
              </w:pBdr>
              <w:spacing w:after="0" w:line="240" w:lineRule="auto"/>
              <w:jc w:val="center"/>
              <w:rPr>
                <w:rFonts w:eastAsia="Times New Roman" w:cs="Times New Roman"/>
                <w:bCs/>
                <w:noProof/>
              </w:rPr>
            </w:pPr>
            <w:r>
              <w:rPr>
                <w:noProof/>
              </w:rPr>
              <w:t>Indicateurs quantitatifs (pour les objectifs)</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F"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Calendrier indicatif d'achèvement</w:t>
            </w:r>
          </w:p>
        </w:tc>
        <w:tc>
          <w:tcPr>
            <w:tcW w:w="350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0"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Description de chaque jalon et cible</w:t>
            </w:r>
          </w:p>
        </w:tc>
      </w:tr>
      <w:tr w:rsidR="003C4798" w14:paraId="1216BEED" w14:textId="77777777" w:rsidTr="00DA6ACB">
        <w:trPr>
          <w:trHeight w:val="687"/>
          <w:jc w:val="center"/>
        </w:trPr>
        <w:tc>
          <w:tcPr>
            <w:tcW w:w="949" w:type="dxa"/>
            <w:vMerge/>
            <w:vAlign w:val="center"/>
          </w:tcPr>
          <w:p w14:paraId="1216BEE2" w14:textId="77777777" w:rsidR="003C4798" w:rsidRDefault="003C4798">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85" w:type="dxa"/>
            <w:vMerge/>
            <w:vAlign w:val="center"/>
          </w:tcPr>
          <w:p w14:paraId="1216BEE3" w14:textId="77777777" w:rsidR="003C4798" w:rsidRDefault="003C4798">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4" w:type="dxa"/>
            <w:vMerge/>
            <w:vAlign w:val="center"/>
          </w:tcPr>
          <w:p w14:paraId="1216BEE4" w14:textId="77777777" w:rsidR="003C4798" w:rsidRDefault="003C4798">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42" w:type="dxa"/>
            <w:vMerge/>
            <w:vAlign w:val="center"/>
          </w:tcPr>
          <w:p w14:paraId="1216BEE5" w14:textId="77777777" w:rsidR="003C4798" w:rsidRDefault="003C4798">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EE6" w14:textId="77777777" w:rsidR="003C4798" w:rsidRDefault="003C4798">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7"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Unité de mesure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8"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Données de référence</w:t>
            </w:r>
          </w:p>
        </w:tc>
        <w:tc>
          <w:tcPr>
            <w:tcW w:w="8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9"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Objectif</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A"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Trimestre</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B" w14:textId="77777777" w:rsidR="003C4798" w:rsidRDefault="00417595">
            <w:pPr>
              <w:pStyle w:val="P68B1DB1-Normal74"/>
              <w:pBdr>
                <w:top w:val="nil"/>
                <w:left w:val="nil"/>
                <w:bottom w:val="nil"/>
                <w:right w:val="nil"/>
                <w:between w:val="nil"/>
              </w:pBdr>
              <w:spacing w:after="0" w:line="240" w:lineRule="auto"/>
              <w:jc w:val="center"/>
              <w:rPr>
                <w:rFonts w:eastAsia="Times New Roman" w:cs="Times New Roman"/>
                <w:noProof/>
              </w:rPr>
            </w:pPr>
            <w:r>
              <w:rPr>
                <w:noProof/>
              </w:rPr>
              <w:t>Année</w:t>
            </w:r>
          </w:p>
        </w:tc>
        <w:tc>
          <w:tcPr>
            <w:tcW w:w="3505" w:type="dxa"/>
            <w:vMerge/>
            <w:vAlign w:val="center"/>
          </w:tcPr>
          <w:p w14:paraId="1216BEEC" w14:textId="77777777" w:rsidR="003C4798" w:rsidRDefault="003C4798">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C4798" w14:paraId="1216BEF9"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EE" w14:textId="77777777" w:rsidR="003C4798" w:rsidRDefault="00417595">
            <w:pPr>
              <w:pStyle w:val="P68B1DB1-Normal45"/>
              <w:pBdr>
                <w:top w:val="nil"/>
                <w:left w:val="nil"/>
                <w:bottom w:val="nil"/>
                <w:right w:val="nil"/>
                <w:between w:val="nil"/>
              </w:pBdr>
              <w:spacing w:after="0" w:line="240" w:lineRule="auto"/>
              <w:jc w:val="center"/>
              <w:rPr>
                <w:noProof/>
                <w:color w:val="006100"/>
              </w:rPr>
            </w:pPr>
            <w:r>
              <w:rPr>
                <w:noProof/>
              </w:rPr>
              <w:t>D1L</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EF" w14:textId="77777777" w:rsidR="003C4798" w:rsidRDefault="00417595">
            <w:pPr>
              <w:pStyle w:val="P68B1DB1-Normal26"/>
              <w:pBdr>
                <w:top w:val="nil"/>
                <w:left w:val="nil"/>
                <w:bottom w:val="nil"/>
                <w:right w:val="nil"/>
                <w:between w:val="nil"/>
              </w:pBdr>
              <w:spacing w:after="0" w:line="240" w:lineRule="auto"/>
              <w:rPr>
                <w:noProof/>
                <w:color w:val="006100"/>
              </w:rPr>
            </w:pPr>
            <w:r>
              <w:rPr>
                <w:noProof/>
              </w:rPr>
              <w:t>D1.2 Accroître l'efficacité, la disponibilité et la qualité des services de soins de longue durée fournis par les prestataires de soins de santé au niveau des districts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0" w14:textId="77777777" w:rsidR="003C4798" w:rsidRDefault="00417595">
            <w:pPr>
              <w:pStyle w:val="P68B1DB1-Normal26"/>
              <w:pBdr>
                <w:top w:val="nil"/>
                <w:left w:val="nil"/>
                <w:bottom w:val="nil"/>
                <w:right w:val="nil"/>
                <w:between w:val="nil"/>
              </w:pBdr>
              <w:spacing w:after="0" w:line="240" w:lineRule="auto"/>
              <w:jc w:val="center"/>
              <w:rPr>
                <w:noProof/>
                <w:color w:val="006100"/>
              </w:rPr>
            </w:pPr>
            <w:r>
              <w:rPr>
                <w:noProof/>
              </w:rPr>
              <w:t>Étape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1" w14:textId="076D1365" w:rsidR="003C4798" w:rsidRDefault="00417595">
            <w:pPr>
              <w:pStyle w:val="P68B1DB1-Normal26"/>
              <w:pBdr>
                <w:top w:val="nil"/>
                <w:left w:val="nil"/>
                <w:bottom w:val="nil"/>
                <w:right w:val="nil"/>
                <w:between w:val="nil"/>
              </w:pBdr>
              <w:spacing w:after="0" w:line="240" w:lineRule="auto"/>
              <w:rPr>
                <w:noProof/>
                <w:color w:val="000000"/>
              </w:rPr>
            </w:pPr>
            <w:r>
              <w:rPr>
                <w:noProof/>
              </w:rPr>
              <w:t>Examen du potentiel de création d'unités/centres de soins de longue durée et de soins gériatriques dans les hôpitaux de district en Pologne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2" w14:textId="77777777" w:rsidR="003C4798" w:rsidRDefault="00417595">
            <w:pPr>
              <w:pStyle w:val="P68B1DB1-Normal26"/>
              <w:pBdr>
                <w:top w:val="nil"/>
                <w:left w:val="nil"/>
                <w:bottom w:val="nil"/>
                <w:right w:val="nil"/>
                <w:between w:val="nil"/>
              </w:pBdr>
              <w:spacing w:after="0" w:line="240" w:lineRule="auto"/>
              <w:rPr>
                <w:noProof/>
                <w:color w:val="006100"/>
              </w:rPr>
            </w:pPr>
            <w:r>
              <w:rPr>
                <w:noProof/>
              </w:rPr>
              <w:t>Publication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3"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4"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8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5"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6" w14:textId="77777777" w:rsidR="003C4798" w:rsidRDefault="00417595">
            <w:pPr>
              <w:pStyle w:val="P68B1DB1-Normal26"/>
              <w:pBdr>
                <w:top w:val="nil"/>
                <w:left w:val="nil"/>
                <w:bottom w:val="nil"/>
                <w:right w:val="nil"/>
                <w:between w:val="nil"/>
              </w:pBdr>
              <w:spacing w:after="0" w:line="240" w:lineRule="auto"/>
              <w:jc w:val="center"/>
              <w:rPr>
                <w:noProof/>
                <w:color w:val="006100"/>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7" w14:textId="77777777" w:rsidR="003C4798" w:rsidRDefault="00417595">
            <w:pPr>
              <w:pStyle w:val="P68B1DB1-Normal26"/>
              <w:pBdr>
                <w:top w:val="nil"/>
                <w:left w:val="nil"/>
                <w:bottom w:val="nil"/>
                <w:right w:val="nil"/>
                <w:between w:val="nil"/>
              </w:pBdr>
              <w:spacing w:after="0" w:line="240" w:lineRule="auto"/>
              <w:jc w:val="center"/>
              <w:rPr>
                <w:noProof/>
                <w:color w:val="006100"/>
              </w:rPr>
            </w:pPr>
            <w:r>
              <w:rPr>
                <w:noProof/>
              </w:rPr>
              <w:t>2022</w:t>
            </w:r>
          </w:p>
        </w:tc>
        <w:tc>
          <w:tcPr>
            <w:tcW w:w="35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8" w14:textId="38927B5D" w:rsidR="003C4798" w:rsidRDefault="00417595">
            <w:pPr>
              <w:pStyle w:val="P68B1DB1-Normal66"/>
              <w:spacing w:after="0" w:line="240" w:lineRule="auto"/>
              <w:textAlignment w:val="baseline"/>
              <w:rPr>
                <w:rFonts w:ascii="Times New Roman" w:hAnsi="Times New Roman"/>
                <w:noProof/>
              </w:rPr>
            </w:pPr>
            <w:r>
              <w:rPr>
                <w:rFonts w:ascii="Times New Roman" w:hAnsi="Times New Roman"/>
                <w:noProof/>
                <w:color w:val="000000" w:themeColor="text1"/>
              </w:rPr>
              <w:t>Publication d’un examen, dans le cadre de l’analyse stratégique globale des soins de longue durée en Pologne prévue au titre du volet A, sur le potentiel de création d’unités/centres de soins de longue durée et de soins gériatriques dans les hôpitaux de district (y compris la transformation de parties d’hôpitaux de district). L'examen examine en particulier les moyens possibles de:</w:t>
            </w:r>
            <w:r>
              <w:rPr>
                <w:noProof/>
              </w:rPr>
              <w:br/>
            </w:r>
            <w:r>
              <w:rPr>
                <w:rFonts w:ascii="Times New Roman" w:hAnsi="Times New Roman"/>
                <w:noProof/>
                <w:color w:val="000000" w:themeColor="text1"/>
              </w:rPr>
              <w:t>- accroître la disponibilité des services de soins de santé de longue durée en remédiant aux lacunes recensées dans la fourniture de soins de longue durée, en particulier au niveau des districts;</w:t>
            </w:r>
            <w:r>
              <w:rPr>
                <w:noProof/>
              </w:rPr>
              <w:br/>
            </w:r>
            <w:r>
              <w:rPr>
                <w:rFonts w:ascii="Times New Roman" w:hAnsi="Times New Roman"/>
                <w:noProof/>
                <w:color w:val="000000" w:themeColor="text1"/>
              </w:rPr>
              <w:t>éliminer les inégalités dans l'accès aux services de soins de santé de longue durée;</w:t>
            </w:r>
            <w:r>
              <w:rPr>
                <w:noProof/>
              </w:rPr>
              <w:br/>
            </w:r>
            <w:r>
              <w:rPr>
                <w:rFonts w:ascii="Times New Roman" w:hAnsi="Times New Roman"/>
                <w:noProof/>
                <w:color w:val="000000" w:themeColor="text1"/>
              </w:rPr>
              <w:t>- améliorer les conditions de travail du personnel médical; et</w:t>
            </w:r>
            <w:r>
              <w:rPr>
                <w:noProof/>
              </w:rPr>
              <w:br/>
              <w:t xml:space="preserve"> </w:t>
            </w:r>
            <w:r>
              <w:rPr>
                <w:rFonts w:ascii="Times New Roman" w:hAnsi="Times New Roman"/>
                <w:noProof/>
                <w:color w:val="000000" w:themeColor="text1"/>
              </w:rPr>
              <w:t>- améliorer la qualité des soins de longue durée.</w:t>
            </w:r>
          </w:p>
        </w:tc>
      </w:tr>
      <w:tr w:rsidR="003C4798" w14:paraId="1216BF06" w14:textId="77777777" w:rsidTr="00DA6ACB">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A" w14:textId="77777777" w:rsidR="003C4798" w:rsidRDefault="00417595">
            <w:pPr>
              <w:pStyle w:val="P68B1DB1-Normal45"/>
              <w:pBdr>
                <w:top w:val="nil"/>
                <w:left w:val="nil"/>
                <w:bottom w:val="nil"/>
                <w:right w:val="nil"/>
                <w:between w:val="nil"/>
              </w:pBdr>
              <w:spacing w:after="0" w:line="240" w:lineRule="auto"/>
              <w:jc w:val="center"/>
              <w:rPr>
                <w:noProof/>
                <w:color w:val="006100"/>
              </w:rPr>
            </w:pPr>
            <w:r>
              <w:rPr>
                <w:noProof/>
              </w:rPr>
              <w:t>D2L</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B" w14:textId="77777777" w:rsidR="003C4798" w:rsidRDefault="00417595">
            <w:pPr>
              <w:pStyle w:val="P68B1DB1-Normal26"/>
              <w:pBdr>
                <w:top w:val="nil"/>
                <w:left w:val="nil"/>
                <w:bottom w:val="nil"/>
                <w:right w:val="nil"/>
                <w:between w:val="nil"/>
              </w:pBdr>
              <w:spacing w:after="0" w:line="240" w:lineRule="auto"/>
              <w:rPr>
                <w:noProof/>
                <w:color w:val="006100"/>
              </w:rPr>
            </w:pPr>
            <w:r>
              <w:rPr>
                <w:noProof/>
              </w:rPr>
              <w:t>D1.2 Accroître l'efficacité, la disponibilité et la qualité des services de soins de longue durée fournis par les prestataires de soins de santé au niveau des districts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C" w14:textId="77777777" w:rsidR="003C4798" w:rsidRDefault="00417595">
            <w:pPr>
              <w:pStyle w:val="P68B1DB1-Normal26"/>
              <w:pBdr>
                <w:top w:val="nil"/>
                <w:left w:val="nil"/>
                <w:bottom w:val="nil"/>
                <w:right w:val="nil"/>
                <w:between w:val="nil"/>
              </w:pBdr>
              <w:spacing w:after="0" w:line="240" w:lineRule="auto"/>
              <w:jc w:val="center"/>
              <w:rPr>
                <w:noProof/>
                <w:color w:val="006100"/>
              </w:rPr>
            </w:pPr>
            <w:r>
              <w:rPr>
                <w:noProof/>
              </w:rPr>
              <w:t>Étape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D" w14:textId="7E8DC40F" w:rsidR="003C4798" w:rsidRDefault="00417595">
            <w:pPr>
              <w:pStyle w:val="P68B1DB1-Normal26"/>
              <w:pBdr>
                <w:top w:val="nil"/>
                <w:left w:val="nil"/>
                <w:bottom w:val="nil"/>
                <w:right w:val="nil"/>
                <w:between w:val="nil"/>
              </w:pBdr>
              <w:spacing w:after="0" w:line="240" w:lineRule="auto"/>
              <w:rPr>
                <w:noProof/>
                <w:color w:val="006100"/>
              </w:rPr>
            </w:pPr>
            <w:r>
              <w:rPr>
                <w:noProof/>
              </w:rPr>
              <w:t>Entrée en vigueur d’un acte législatif sur le soutien à la création d’unités/centres de soins de longue durée et de soins gériatriques dans les hôpitaux de district, sur la base des résultats de l’examen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E" w14:textId="4FA94A9B" w:rsidR="003C4798" w:rsidRDefault="00417595">
            <w:pPr>
              <w:pStyle w:val="P68B1DB1-Normal26"/>
              <w:pBdr>
                <w:top w:val="nil"/>
                <w:left w:val="nil"/>
                <w:bottom w:val="nil"/>
                <w:right w:val="nil"/>
                <w:between w:val="nil"/>
              </w:pBdr>
              <w:spacing w:after="0" w:line="240" w:lineRule="auto"/>
              <w:rPr>
                <w:noProof/>
                <w:color w:val="006100"/>
              </w:rPr>
            </w:pPr>
            <w:r>
              <w:rPr>
                <w:noProof/>
              </w:rPr>
              <w:t>Disposition de l’acte législatif indiquant l’entrée en vigueur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F"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0"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8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1" w14:textId="77777777" w:rsidR="003C4798" w:rsidRDefault="003C4798">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2" w14:textId="77777777" w:rsidR="003C4798" w:rsidRDefault="00417595">
            <w:pPr>
              <w:pStyle w:val="P68B1DB1-Normal26"/>
              <w:pBdr>
                <w:top w:val="nil"/>
                <w:left w:val="nil"/>
                <w:bottom w:val="nil"/>
                <w:right w:val="nil"/>
                <w:between w:val="nil"/>
              </w:pBdr>
              <w:spacing w:after="0" w:line="240" w:lineRule="auto"/>
              <w:jc w:val="center"/>
              <w:rPr>
                <w:noProof/>
                <w:color w:val="006100"/>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3" w14:textId="77777777" w:rsidR="003C4798" w:rsidRDefault="00417595">
            <w:pPr>
              <w:pStyle w:val="P68B1DB1-Normal26"/>
              <w:pBdr>
                <w:top w:val="nil"/>
                <w:left w:val="nil"/>
                <w:bottom w:val="nil"/>
                <w:right w:val="nil"/>
                <w:between w:val="nil"/>
              </w:pBdr>
              <w:spacing w:after="0" w:line="240" w:lineRule="auto"/>
              <w:jc w:val="center"/>
              <w:rPr>
                <w:noProof/>
                <w:color w:val="000000"/>
              </w:rPr>
            </w:pPr>
            <w:r>
              <w:rPr>
                <w:noProof/>
              </w:rPr>
              <w:t>2022</w:t>
            </w:r>
          </w:p>
        </w:tc>
        <w:tc>
          <w:tcPr>
            <w:tcW w:w="35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4" w14:textId="77777777" w:rsidR="003C4798" w:rsidRDefault="00417595">
            <w:pPr>
              <w:pStyle w:val="P68B1DB1-Normal26"/>
              <w:pBdr>
                <w:top w:val="nil"/>
                <w:left w:val="nil"/>
                <w:bottom w:val="nil"/>
                <w:right w:val="nil"/>
                <w:between w:val="nil"/>
              </w:pBdr>
              <w:spacing w:after="0" w:line="240" w:lineRule="auto"/>
              <w:rPr>
                <w:noProof/>
                <w:color w:val="000000"/>
              </w:rPr>
            </w:pPr>
            <w:r>
              <w:rPr>
                <w:noProof/>
              </w:rPr>
              <w:t>Entrée en vigueur d’un acte législatif, sur la base des résultats de l’examen du potentiel de création d’unités/centres de soins de longue durée et de soins gériatriques dans les hôpitaux de district en Pologne. La loi précise comment le soutien à la création d’unités de soins de longue durée et d’unités et/ou de centres gériatriques dans les hôpitaux de district doit améliorer la fourniture de soins, entre autres, aux personnes âgées au niveau local.</w:t>
            </w:r>
          </w:p>
          <w:p w14:paraId="1216BF05" w14:textId="77777777" w:rsidR="003C4798" w:rsidRDefault="00417595">
            <w:pPr>
              <w:pStyle w:val="P68B1DB1-Normal26"/>
              <w:pBdr>
                <w:top w:val="nil"/>
                <w:left w:val="nil"/>
                <w:bottom w:val="nil"/>
                <w:right w:val="nil"/>
                <w:between w:val="nil"/>
              </w:pBdr>
              <w:spacing w:after="0" w:line="240" w:lineRule="auto"/>
              <w:rPr>
                <w:noProof/>
                <w:color w:val="000000"/>
              </w:rPr>
            </w:pPr>
            <w:r>
              <w:rPr>
                <w:noProof/>
              </w:rPr>
              <w:t>L’acte législatif est conforme au «cadre stratégique pour le développement du système de soins de santé en Pologne 2021-2027 – Un avenir en bonne santé».</w:t>
            </w:r>
          </w:p>
        </w:tc>
      </w:tr>
    </w:tbl>
    <w:p w14:paraId="1216BF07" w14:textId="77777777" w:rsidR="003C4798" w:rsidRDefault="003C4798">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4F81BD"/>
        </w:rPr>
        <w:sectPr w:rsidR="003C4798" w:rsidSect="006C5441">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299"/>
        </w:sectPr>
      </w:pPr>
    </w:p>
    <w:p w14:paraId="1216BF08" w14:textId="77777777" w:rsidR="003C4798" w:rsidRDefault="00417595">
      <w:pPr>
        <w:pStyle w:val="P68B1DB1-Normal058"/>
        <w:keepNext/>
        <w:pBdr>
          <w:top w:val="nil"/>
          <w:left w:val="nil"/>
          <w:bottom w:val="nil"/>
          <w:right w:val="nil"/>
          <w:between w:val="nil"/>
        </w:pBdr>
        <w:tabs>
          <w:tab w:val="left" w:pos="850"/>
        </w:tabs>
        <w:spacing w:before="360" w:after="120" w:line="240" w:lineRule="auto"/>
        <w:ind w:left="850" w:hanging="850"/>
        <w:jc w:val="both"/>
        <w:rPr>
          <w:rFonts w:eastAsia="Times New Roman" w:cs="Times New Roman"/>
          <w:noProof/>
          <w:szCs w:val="24"/>
        </w:rPr>
      </w:pPr>
      <w:r>
        <w:rPr>
          <w:noProof/>
        </w:rPr>
        <w:t>E. Élément E: MOBILITÉ VERTE ET INTELLIGENTE</w:t>
      </w:r>
    </w:p>
    <w:p w14:paraId="1216BF09" w14:textId="77777777" w:rsidR="003C4798" w:rsidRDefault="00417595">
      <w:pPr>
        <w:pStyle w:val="P68B1DB1-Normal047"/>
        <w:pBdr>
          <w:top w:val="nil"/>
          <w:left w:val="nil"/>
          <w:bottom w:val="nil"/>
          <w:right w:val="nil"/>
          <w:between w:val="nil"/>
        </w:pBdr>
        <w:spacing w:after="120" w:line="240" w:lineRule="auto"/>
        <w:jc w:val="both"/>
        <w:rPr>
          <w:rFonts w:eastAsia="Times New Roman" w:cs="Times New Roman"/>
          <w:noProof/>
          <w:color w:val="000000"/>
          <w:szCs w:val="24"/>
        </w:rPr>
      </w:pPr>
      <w:r>
        <w:rPr>
          <w:noProof/>
        </w:rPr>
        <w:t>Le volet du plan polonais pour la reprise et la résilience aborde principalement les défis du secteur polonais des transports en ce qui concerne la décarbonation et la pollution atmosphérique. Depuis 1990, les émissions du secteur des transports ont augmenté de 214 %, principalement en raison d'une augmentation significative du transport routier. Entre 2005 et 2019, le trafic routier a presque triplé, tandis que dans le secteur ferroviaire, l’augmentation correspondante n’a été que de 9 %. Le volet recherche des synergies entre la décarbonation et le programme industriel. Compte tenu du nombre élevé et persistant de victimes de la route dans le pays, la sécurité routière constitue un autre défi abordé par la composante. Le volet traite également de l’exclusion de certaines zones d’une offre viable de transport public.</w:t>
      </w:r>
    </w:p>
    <w:p w14:paraId="1216BF0A" w14:textId="66935F4C" w:rsidR="003C4798" w:rsidRDefault="00417595">
      <w:pPr>
        <w:pStyle w:val="P68B1DB1-Normal037"/>
        <w:pBdr>
          <w:top w:val="nil"/>
          <w:left w:val="nil"/>
          <w:bottom w:val="nil"/>
          <w:right w:val="nil"/>
          <w:between w:val="nil"/>
        </w:pBdr>
        <w:spacing w:before="120" w:after="120" w:line="257" w:lineRule="auto"/>
        <w:jc w:val="both"/>
        <w:rPr>
          <w:rFonts w:eastAsia="Times New Roman" w:cs="Times New Roman"/>
          <w:noProof/>
          <w:color w:val="000000"/>
        </w:rPr>
      </w:pPr>
      <w:r>
        <w:rPr>
          <w:noProof/>
        </w:rPr>
        <w:t>L’objectif principal du volet est donc d’introduire des réformes et des investissements pour promouvoir les transports durables, par l’intermédiaire des transports urbains publics, des véhicules propres et des infrastructures correspondantes, du transfert modal de la route vers le rail et du transport intermodal. La sécurité routière est ciblée au moyen d’un ensemble complet de réformes et d’investissements visant à accroître la sécurité de tronçons routiers spécifiques. Les investissements dans les transports publics ruraux visent à faire de ces transports une alternative viable aux voitures et à renforcer la cohésion et l’inclusion économiques et sociales.</w:t>
      </w:r>
    </w:p>
    <w:p w14:paraId="1216BF0B" w14:textId="77777777" w:rsidR="003C4798" w:rsidRDefault="00417595">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Ce volet contribue à donner suite à la recommandation par pays visant à axer la politique économique liée aux investissements sur l’innovation, les transports, notamment sur leur durabilité, les infrastructures numériques et énergétiques, les soins de santé et l’énergie propre, en tenant compte des disparités régionales (recommandation par pays no 3 de 2019) et à concentrer les investissements sur les transitions écologique et numérique, en particulier les infrastructures numériques, la production et l’utilisation d’énergie propre et efficace et les transports durables, qui contribuent à la décarbonation progressive de l’économie, y compris dans les régions charbonnières (recommandation par pays no 3 de 2020).</w:t>
      </w:r>
    </w:p>
    <w:p w14:paraId="1216BF0C" w14:textId="61F80252" w:rsidR="003C4798" w:rsidRDefault="00417595">
      <w:pPr>
        <w:pStyle w:val="P68B1DB1-Normal047"/>
        <w:pBdr>
          <w:top w:val="nil"/>
          <w:left w:val="nil"/>
          <w:bottom w:val="nil"/>
          <w:right w:val="nil"/>
          <w:between w:val="nil"/>
        </w:pBdr>
        <w:spacing w:before="120" w:after="120" w:line="257" w:lineRule="auto"/>
        <w:jc w:val="both"/>
        <w:rPr>
          <w:rFonts w:eastAsia="Times New Roman" w:cs="Times New Roman"/>
          <w:noProof/>
          <w:color w:val="000000"/>
          <w:szCs w:val="24"/>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 58/01). Tous les projets d’investissement financés au titre de ce volet qui nécessitent une décision d’évaluation des incidences sur l’environnement (EIE) sont conformes à la directive 2011/92/UE telle que modifiée par la directive 2014/52/UE. Plus précisément, tous les nouveaux projets nécessitant une EIE sont autorisés en vertu de la</w:t>
      </w:r>
      <w:r>
        <w:rPr>
          <w:i/>
          <w:noProof/>
        </w:rPr>
        <w:t xml:space="preserve"> loi sur la communication d’informations sur l’environnement et sa protection, la participation du public à la protection de l’environnement et les évaluations des incidences sur l’environnement, telle que modifiée par la loi du 30 mars 2021 modifiant cette loi et certains autres actes.</w:t>
      </w:r>
      <w:r>
        <w:rPr>
          <w:noProof/>
        </w:rPr>
        <w:t xml:space="preserve"> Les dispositions des «Lignes directrices relatives aux actions correctives pour les projets cofinancés par des fonds de l’UE affectés par l’infraction 2016/2046», telles que communiquées à la Pologne le 23 février 2021 [réf. Ares(2021)1423319), sont prises en compte pour la mise en œuvre de tous les projets d’investissement pour lesquels une décision environnementale ou un permis de construire ou de développement a été demandé ou délivré avant l’entrée en vigueur de la loi du 30 mars 2021.</w:t>
      </w:r>
    </w:p>
    <w:p w14:paraId="1216BF0D" w14:textId="77777777" w:rsidR="003C4798" w:rsidRDefault="00417595">
      <w:pPr>
        <w:pStyle w:val="Normal0"/>
        <w:pageBreakBefore/>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themeColor="text1"/>
          <w:sz w:val="24"/>
          <w:szCs w:val="24"/>
        </w:rPr>
      </w:pPr>
      <w:r>
        <w:rPr>
          <w:rFonts w:ascii="Times New Roman" w:hAnsi="Times New Roman"/>
          <w:b/>
          <w:noProof/>
          <w:color w:val="000000" w:themeColor="text1"/>
          <w:sz w:val="24"/>
          <w:szCs w:val="24"/>
        </w:rPr>
        <w:t xml:space="preserve">E.1. </w:t>
      </w:r>
      <w:r>
        <w:rPr>
          <w:noProof/>
        </w:rPr>
        <w:t xml:space="preserve"> </w:t>
      </w:r>
      <w:r>
        <w:rPr>
          <w:rFonts w:ascii="Times New Roman" w:hAnsi="Times New Roman"/>
          <w:b/>
          <w:noProof/>
          <w:color w:val="000000" w:themeColor="text1"/>
          <w:sz w:val="24"/>
          <w:szCs w:val="24"/>
        </w:rPr>
        <w:t>Description des réformes et des investissements pour le soutien financier non remboursable</w:t>
      </w:r>
    </w:p>
    <w:p w14:paraId="1216BF0E"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E1.1 Augmentation de l ' utilisation de moyens de transport respectueux de l ' environnement</w:t>
      </w:r>
    </w:p>
    <w:p w14:paraId="1216BF0F" w14:textId="77777777" w:rsidR="003C4798" w:rsidRDefault="00417595">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L’objectif de la mesure est de réduire les émissions de gaz à effet de serre et de polluants atmosphériques provenant des transports et d’augmenter la part des carburants de substitution.</w:t>
      </w:r>
    </w:p>
    <w:p w14:paraId="1216BF10" w14:textId="5AF14BAD" w:rsidR="003C4798" w:rsidRDefault="00417595">
      <w:pPr>
        <w:pStyle w:val="Normal0"/>
        <w:jc w:val="both"/>
        <w:rPr>
          <w:rFonts w:ascii="Times" w:eastAsia="Times New Roman" w:hAnsi="Times" w:cs="Times"/>
          <w:noProof/>
          <w:sz w:val="24"/>
          <w:szCs w:val="24"/>
        </w:rPr>
      </w:pPr>
      <w:r>
        <w:rPr>
          <w:rFonts w:ascii="Times New Roman" w:hAnsi="Times New Roman"/>
          <w:noProof/>
          <w:color w:val="000000" w:themeColor="text1"/>
          <w:sz w:val="24"/>
          <w:szCs w:val="24"/>
        </w:rPr>
        <w:t xml:space="preserve">Cette mesure consiste en i) une loi sur l’achat d’autobus à émissions nulles, ii) un soutien à l’élaboration de plans de mobilité urbaine durable («PMUD»), iii) </w:t>
      </w:r>
      <w:r>
        <w:rPr>
          <w:rStyle w:val="normaltextrun"/>
          <w:rFonts w:ascii="Times New Roman" w:eastAsia="Times New Roman" w:hAnsi="Times New Roman" w:cs="Times New Roman"/>
          <w:noProof/>
          <w:sz w:val="24"/>
          <w:szCs w:val="24"/>
        </w:rPr>
        <w:t xml:space="preserve">un régime de subventions pour l’aide aux véhicules électriques, iv) un ou plusieurs décaissements de </w:t>
      </w:r>
      <w:r>
        <w:rPr>
          <w:rFonts w:ascii="Times New Roman" w:hAnsi="Times New Roman"/>
          <w:noProof/>
          <w:color w:val="000000" w:themeColor="text1"/>
          <w:sz w:val="24"/>
          <w:szCs w:val="24"/>
        </w:rPr>
        <w:t>fonds</w:t>
      </w:r>
      <w:r>
        <w:rPr>
          <w:rStyle w:val="normaltextrun"/>
          <w:rFonts w:ascii="Times New Roman" w:eastAsia="Times New Roman" w:hAnsi="Times New Roman" w:cs="Times New Roman"/>
          <w:noProof/>
          <w:sz w:val="24"/>
          <w:szCs w:val="24"/>
        </w:rPr>
        <w:t xml:space="preserve"> et iv) de nouvelles immatriculations de véhicules électriques.</w:t>
      </w:r>
    </w:p>
    <w:p w14:paraId="1216BF11" w14:textId="77777777" w:rsidR="003C4798" w:rsidRDefault="00417595">
      <w:pPr>
        <w:pStyle w:val="P68B1DB1-Normal077"/>
        <w:pBdr>
          <w:top w:val="nil"/>
          <w:left w:val="nil"/>
          <w:bottom w:val="nil"/>
          <w:right w:val="nil"/>
          <w:between w:val="nil"/>
        </w:pBdr>
        <w:spacing w:before="120" w:after="120" w:line="240" w:lineRule="auto"/>
        <w:jc w:val="both"/>
        <w:rPr>
          <w:noProof/>
        </w:rPr>
      </w:pPr>
      <w:r>
        <w:rPr>
          <w:noProof/>
        </w:rPr>
        <w:t>E1.1.1 Soutien à une économie sobre en carbone</w:t>
      </w:r>
    </w:p>
    <w:p w14:paraId="1216BF12" w14:textId="77777777" w:rsidR="003C4798" w:rsidRDefault="00417595">
      <w:pPr>
        <w:pStyle w:val="P68B1DB1-Normal037"/>
        <w:pBdr>
          <w:top w:val="nil"/>
          <w:left w:val="nil"/>
          <w:bottom w:val="nil"/>
          <w:right w:val="nil"/>
          <w:between w:val="nil"/>
        </w:pBdr>
        <w:spacing w:before="120" w:after="120" w:line="240" w:lineRule="auto"/>
        <w:jc w:val="both"/>
        <w:rPr>
          <w:noProof/>
        </w:rPr>
      </w:pPr>
      <w:r>
        <w:rPr>
          <w:noProof/>
        </w:rPr>
        <w:t xml:space="preserve">L’objectif général de l’investissement est de contribuer au développement d’une économie à émissions de carbone faibles ou nulles en soutenant l’industrie dans les secteurs de la mobilité propre et de l’énergie. L’objectif spécifique de l’investissement est d’accroître le potentiel de certains secteurs pour développer des solutions de produits à émissions de carbone nulles et faibles. </w:t>
      </w:r>
    </w:p>
    <w:p w14:paraId="1216BF13" w14:textId="77777777" w:rsidR="003C4798" w:rsidRDefault="00417595">
      <w:pPr>
        <w:pStyle w:val="P68B1DB1-Normal037"/>
        <w:pBdr>
          <w:top w:val="nil"/>
          <w:left w:val="nil"/>
          <w:bottom w:val="nil"/>
          <w:right w:val="nil"/>
          <w:between w:val="nil"/>
        </w:pBdr>
        <w:spacing w:before="120" w:after="120" w:line="240" w:lineRule="auto"/>
        <w:jc w:val="both"/>
        <w:rPr>
          <w:noProof/>
        </w:rPr>
      </w:pPr>
      <w:r>
        <w:rPr>
          <w:noProof/>
        </w:rPr>
        <w:t xml:space="preserve">Ces objectifs sont poursuivis par la mise en place d'un instrument financier spécifique (Fonds) pour les projets industriels susmentionnés. Les produits et technologies soutenus peuvent notamment inclure des processus de recherche et d’innovation, des transferts de technologies et une coopération entre entreprises axée sur l’économie à faible intensité de carbone, l’accent étant mis sur des solutions innovantes à émissions faibles et nulles dans le domaine de la mobilité durable et des sources d’énergie à émissions nulles et à faibles émissions. </w:t>
      </w:r>
    </w:p>
    <w:p w14:paraId="1216BF14" w14:textId="77777777" w:rsidR="003C4798" w:rsidRDefault="00417595">
      <w:pPr>
        <w:pStyle w:val="P68B1DB1-Normal037"/>
        <w:pBdr>
          <w:top w:val="nil"/>
          <w:left w:val="nil"/>
          <w:bottom w:val="nil"/>
          <w:right w:val="nil"/>
          <w:between w:val="nil"/>
        </w:pBdr>
        <w:spacing w:before="120" w:after="120" w:line="240" w:lineRule="auto"/>
        <w:jc w:val="both"/>
        <w:rPr>
          <w:noProof/>
        </w:rPr>
      </w:pPr>
      <w:r>
        <w:rPr>
          <w:noProof/>
        </w:rPr>
        <w:t xml:space="preserve">Ce fonds, ainsi que sa stratégie d’investissement, sont mis en place au plus tard le 30 juin 2022. </w:t>
      </w:r>
    </w:p>
    <w:p w14:paraId="1216BF15" w14:textId="027E01D3" w:rsidR="003C4798" w:rsidRDefault="00417595">
      <w:pPr>
        <w:pStyle w:val="P68B1DB1-Normal037"/>
        <w:pBdr>
          <w:top w:val="nil"/>
          <w:left w:val="nil"/>
          <w:bottom w:val="nil"/>
          <w:right w:val="nil"/>
          <w:between w:val="nil"/>
        </w:pBdr>
        <w:spacing w:before="120" w:after="120" w:line="240" w:lineRule="auto"/>
        <w:jc w:val="both"/>
        <w:rPr>
          <w:noProof/>
        </w:rPr>
      </w:pPr>
      <w:r>
        <w:rPr>
          <w:noProof/>
        </w:rPr>
        <w:t>Afin de garantir que la mesure est conforme aux orientations techniques «Ne pas causer de préjudice important» (2021/C 58/01), les critères de sélection de l’instrument financier excluent la liste d’activités suivante: i) les activités liées aux combustibles fossiles, y compris leur utilisation en aval; ii) les activités menées dans le cadre du système d’échange de quotas d’émission de l’UE (SEQE) pour atteindre des émissions de gaz à effet de serre prévues qui ne sont pas inférieures aux référentiels pertinents; iii) les activités liées aux décharges de déchets, aux incinérateurs et aux usines de traitement biologique mécanique; et iv) les activités dans lesquelles l’élimination à long terme des déchets peut nuire à l’environnement. Le mandat exige en outre que seules les activités conformes à la législation environnementale pertinente de l’Union et des États membres puissent être sélectionnées.</w:t>
      </w:r>
    </w:p>
    <w:p w14:paraId="1216BF16" w14:textId="77777777" w:rsidR="003C4798" w:rsidRDefault="00417595">
      <w:pPr>
        <w:pStyle w:val="P68B1DB1-Normal037"/>
        <w:pBdr>
          <w:top w:val="nil"/>
          <w:left w:val="nil"/>
          <w:bottom w:val="nil"/>
          <w:right w:val="nil"/>
          <w:between w:val="nil"/>
        </w:pBdr>
        <w:spacing w:before="120" w:after="120" w:line="240" w:lineRule="auto"/>
        <w:jc w:val="both"/>
        <w:rPr>
          <w:noProof/>
        </w:rPr>
      </w:pPr>
      <w:r>
        <w:rPr>
          <w:noProof/>
        </w:rPr>
        <w:t>Cette mesure est complétée par la mesure E3.1.1 «Facilité de soutien à une économie à faible intensité de carbone».</w:t>
      </w:r>
    </w:p>
    <w:p w14:paraId="1216BF17" w14:textId="0B37B9B5" w:rsidR="003C4798" w:rsidRDefault="00417595">
      <w:pPr>
        <w:pStyle w:val="P68B1DB1-Normal036"/>
        <w:spacing w:before="120" w:after="120" w:line="240" w:lineRule="auto"/>
        <w:jc w:val="both"/>
        <w:rPr>
          <w:rFonts w:eastAsia="Times New Roman" w:cs="Times New Roman"/>
          <w:noProof/>
        </w:rPr>
      </w:pPr>
      <w:r>
        <w:rPr>
          <w:noProof/>
        </w:rPr>
        <w:t>E1.1.2 Autobus et tramways à émissions nulles et faibles</w:t>
      </w:r>
    </w:p>
    <w:p w14:paraId="1216BF19" w14:textId="67FEB6F2" w:rsidR="003C4798" w:rsidRDefault="00417595">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L'objectif de cet investissement est de rendre les transports publics plus propres et d'accroître leur attractivité vis-à-vis des voitures particulières. Cette mesure consiste en l’acceptation ou la livraison d’autobus à émissions nulles (c’est-à-dire électriques ou à hydrogène) ou à faibles émissions (c’est-à-dire hybrides, tels que VHE/VHEH ou VHE rechargeables, ou alimentés au gaz, tels que GNL, GPL ou GNC) et en l’acceptation, la livraison ou la déclaration de préparation à l’acceptation des tramways.</w:t>
      </w:r>
    </w:p>
    <w:p w14:paraId="1216BF1A" w14:textId="77777777" w:rsidR="003C4798" w:rsidRDefault="00417595">
      <w:pPr>
        <w:pStyle w:val="P68B1DB1-Normal048"/>
        <w:pBdr>
          <w:top w:val="nil"/>
          <w:left w:val="nil"/>
          <w:bottom w:val="nil"/>
          <w:right w:val="nil"/>
          <w:between w:val="nil"/>
        </w:pBdr>
        <w:spacing w:before="120" w:after="120" w:line="240" w:lineRule="auto"/>
        <w:jc w:val="both"/>
        <w:rPr>
          <w:noProof/>
        </w:rPr>
      </w:pPr>
      <w:r>
        <w:rPr>
          <w:noProof/>
        </w:rPr>
        <w:t>E2.1 Renforcer la compétitivité du secteur ferroviaire</w:t>
      </w:r>
    </w:p>
    <w:p w14:paraId="1216BF1B" w14:textId="77777777" w:rsidR="003C4798" w:rsidRDefault="00417595">
      <w:pPr>
        <w:pStyle w:val="P68B1DB1-Normal047"/>
        <w:pBdr>
          <w:top w:val="nil"/>
          <w:left w:val="nil"/>
          <w:bottom w:val="nil"/>
          <w:right w:val="nil"/>
          <w:between w:val="nil"/>
        </w:pBdr>
        <w:spacing w:before="120" w:after="120" w:line="240" w:lineRule="auto"/>
        <w:jc w:val="both"/>
        <w:rPr>
          <w:noProof/>
          <w:color w:val="000000"/>
        </w:rPr>
      </w:pPr>
      <w:r>
        <w:rPr>
          <w:noProof/>
        </w:rPr>
        <w:t>L’objectif de la réforme est de renforcer la résilience des opérateurs ferroviaires et d’accroître la compétitivité et l’efficacité du secteur ferroviaire dans le secteur des transports en Pologne.</w:t>
      </w:r>
    </w:p>
    <w:p w14:paraId="1216BF1C" w14:textId="77777777" w:rsidR="003C4798" w:rsidRDefault="00417595">
      <w:pPr>
        <w:pStyle w:val="P68B1DB1-Normal047"/>
        <w:pBdr>
          <w:top w:val="nil"/>
          <w:left w:val="nil"/>
          <w:bottom w:val="nil"/>
          <w:right w:val="nil"/>
          <w:between w:val="nil"/>
        </w:pBdr>
        <w:spacing w:before="120" w:after="120" w:line="240" w:lineRule="auto"/>
        <w:jc w:val="both"/>
        <w:rPr>
          <w:noProof/>
          <w:color w:val="000000"/>
        </w:rPr>
      </w:pPr>
      <w:r>
        <w:rPr>
          <w:noProof/>
        </w:rPr>
        <w:t>Cet objectif est atteint en établissant des priorités pour le transport intermodal et en améliorant la capacité à planifier et à déployer des projets de transport ferroviaire. Cet objectif est également atteint en permettant aux gestionnaires de l'infrastructure de réduire les redevances d'accès à l'infrastructure et d'indemniser les gestionnaires de l'infrastructure pour les réductions de ces redevances.</w:t>
      </w:r>
    </w:p>
    <w:p w14:paraId="1216BF1D" w14:textId="77777777" w:rsidR="003C4798" w:rsidRDefault="00417595">
      <w:pPr>
        <w:pStyle w:val="P68B1DB1-Normal047"/>
        <w:spacing w:before="120" w:after="120" w:line="240" w:lineRule="auto"/>
        <w:jc w:val="both"/>
        <w:rPr>
          <w:noProof/>
        </w:rPr>
      </w:pPr>
      <w:r>
        <w:rPr>
          <w:noProof/>
        </w:rPr>
        <w:t>La réforme est achevée au plus tard le 31 décembre 2022.</w:t>
      </w:r>
    </w:p>
    <w:p w14:paraId="1216BF1E" w14:textId="6ECAD5A9" w:rsidR="003C4798" w:rsidRDefault="00417595">
      <w:pPr>
        <w:pStyle w:val="P68B1DB1-Normal047"/>
        <w:spacing w:before="120" w:after="120" w:line="240" w:lineRule="auto"/>
        <w:jc w:val="both"/>
        <w:rPr>
          <w:noProof/>
          <w:color w:val="000000"/>
        </w:rPr>
      </w:pPr>
      <w:r>
        <w:rPr>
          <w:noProof/>
        </w:rPr>
        <w:t>La réforme vise également à améliorer la viabilité du rail par rapport à d'autres modes de transport en étendant le système de péage routier à 1 400 km supplémentaires d'autoroutes et d'autoroutes.</w:t>
      </w:r>
    </w:p>
    <w:p w14:paraId="1216BF20"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E2.1.1 Lignes de chemin de fer</w:t>
      </w:r>
    </w:p>
    <w:p w14:paraId="1216BF21" w14:textId="4B8035D2" w:rsidR="003C4798" w:rsidRDefault="00417595">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L'objectif de cet investissement est d'accroître la capacité et la vitesse du transport ferroviaire. Cette mesure consiste en des travaux sur au moins 500 km de lignes ferroviaires et 180 passages à niveau ou autres goulets d'étranglement.</w:t>
      </w:r>
    </w:p>
    <w:p w14:paraId="1216BF22" w14:textId="77777777" w:rsidR="003C4798" w:rsidRDefault="003C4798">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rPr>
      </w:pPr>
    </w:p>
    <w:p w14:paraId="1216BF23"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E2.1.2 Matériel roulant ferroviaire destiné au transport de voyageurs</w:t>
      </w:r>
    </w:p>
    <w:p w14:paraId="1216BF24" w14:textId="0185A441" w:rsidR="003C4798" w:rsidRDefault="00417595">
      <w:pPr>
        <w:pStyle w:val="P68B1DB1-Normal037"/>
        <w:pBdr>
          <w:top w:val="nil"/>
          <w:left w:val="nil"/>
          <w:bottom w:val="nil"/>
          <w:right w:val="nil"/>
          <w:between w:val="nil"/>
        </w:pBdr>
        <w:spacing w:before="120" w:after="120" w:line="240" w:lineRule="auto"/>
        <w:jc w:val="both"/>
        <w:rPr>
          <w:rFonts w:eastAsia="Times New Roman" w:cs="Times New Roman"/>
          <w:noProof/>
          <w:color w:val="000000"/>
        </w:rPr>
      </w:pPr>
      <w:r>
        <w:rPr>
          <w:noProof/>
        </w:rPr>
        <w:t>L'objectif de cet investissement est d'accroître l'attractivité et la viabilité du transport ferroviaire. Cette mesure consiste en la réception (technique) ou la livraison de matériel roulant.</w:t>
      </w:r>
    </w:p>
    <w:p w14:paraId="1216BF25" w14:textId="77777777" w:rsidR="003C4798" w:rsidRDefault="003C4798">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rPr>
      </w:pPr>
    </w:p>
    <w:p w14:paraId="1216BF26" w14:textId="77777777" w:rsidR="003C4798" w:rsidRDefault="00417595">
      <w:pPr>
        <w:pStyle w:val="P68B1DB1-Normal036"/>
        <w:pBdr>
          <w:top w:val="nil"/>
          <w:left w:val="nil"/>
          <w:bottom w:val="nil"/>
          <w:right w:val="nil"/>
          <w:between w:val="nil"/>
        </w:pBdr>
        <w:spacing w:before="120" w:after="120" w:line="240" w:lineRule="auto"/>
        <w:jc w:val="both"/>
        <w:rPr>
          <w:rFonts w:eastAsia="Times New Roman" w:cs="Times New Roman"/>
          <w:bCs/>
          <w:noProof/>
          <w:color w:val="000000"/>
        </w:rPr>
      </w:pPr>
      <w:r>
        <w:rPr>
          <w:noProof/>
        </w:rPr>
        <w:t>E2.1.3 Projets intermodaux</w:t>
      </w:r>
    </w:p>
    <w:p w14:paraId="1216BF27" w14:textId="77777777" w:rsidR="003C4798" w:rsidRDefault="00417595">
      <w:pPr>
        <w:pStyle w:val="P68B1DB1-Normal047"/>
        <w:pBdr>
          <w:top w:val="nil"/>
          <w:left w:val="nil"/>
          <w:bottom w:val="nil"/>
          <w:right w:val="nil"/>
          <w:between w:val="nil"/>
        </w:pBdr>
        <w:spacing w:before="120" w:after="120" w:line="240" w:lineRule="auto"/>
        <w:jc w:val="both"/>
        <w:rPr>
          <w:noProof/>
          <w:szCs w:val="24"/>
        </w:rPr>
      </w:pPr>
      <w:r>
        <w:rPr>
          <w:noProof/>
        </w:rPr>
        <w:t xml:space="preserve">L’objectif de cet investissement est de soutenir le transport intermodal. </w:t>
      </w:r>
      <w:r>
        <w:rPr>
          <w:noProof/>
          <w:szCs w:val="24"/>
        </w:rPr>
        <w:t>Cette mesure consiste en des investissements dans les terminaux intermodaux et le matériel roulant.</w:t>
      </w:r>
    </w:p>
    <w:p w14:paraId="1216BF28"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noProof/>
          <w:color w:val="000000"/>
          <w:sz w:val="24"/>
        </w:rPr>
      </w:pPr>
    </w:p>
    <w:p w14:paraId="1216BF29" w14:textId="77777777" w:rsidR="003C4798" w:rsidRDefault="00417595">
      <w:pPr>
        <w:pStyle w:val="P68B1DB1-Normal048"/>
        <w:pBdr>
          <w:top w:val="nil"/>
          <w:left w:val="nil"/>
          <w:bottom w:val="nil"/>
          <w:right w:val="nil"/>
          <w:between w:val="nil"/>
        </w:pBdr>
        <w:spacing w:before="120" w:after="120" w:line="240" w:lineRule="auto"/>
        <w:jc w:val="both"/>
        <w:rPr>
          <w:noProof/>
        </w:rPr>
      </w:pPr>
      <w:r>
        <w:rPr>
          <w:noProof/>
        </w:rPr>
        <w:t>E2.2 Améliorer la sécurité des transports</w:t>
      </w:r>
    </w:p>
    <w:p w14:paraId="1216BF2A" w14:textId="77777777" w:rsidR="003C4798" w:rsidRDefault="00417595">
      <w:pPr>
        <w:pStyle w:val="P68B1DB1-Normal047"/>
        <w:pBdr>
          <w:top w:val="nil"/>
          <w:left w:val="nil"/>
          <w:bottom w:val="nil"/>
          <w:right w:val="nil"/>
          <w:between w:val="nil"/>
        </w:pBdr>
        <w:spacing w:before="120" w:after="120" w:line="240" w:lineRule="auto"/>
        <w:jc w:val="both"/>
        <w:rPr>
          <w:noProof/>
          <w:color w:val="000000"/>
        </w:rPr>
      </w:pPr>
      <w:r>
        <w:rPr>
          <w:noProof/>
        </w:rPr>
        <w:t>La réforme vise à accroître la sécurité des transports, en mettant l’accent sur la sécurité des usagers vulnérables des transports.</w:t>
      </w:r>
    </w:p>
    <w:p w14:paraId="1216BF2B" w14:textId="0734A270" w:rsidR="003C4798" w:rsidRDefault="00417595">
      <w:pPr>
        <w:pStyle w:val="P68B1DB1-Normal047"/>
        <w:jc w:val="both"/>
        <w:rPr>
          <w:noProof/>
          <w:u w:val="single"/>
        </w:rPr>
      </w:pPr>
      <w:r>
        <w:rPr>
          <w:noProof/>
        </w:rPr>
        <w:t>La réforme consistera en un ensemble de modifications législatives introduisant une priorité pour les piétons aux passages à niveau, une vitesse uniforme dans les zones bâties et une distance minimale entre les véhicules. Ces modifications législatives devaient entrer en vigueur au plus tard le 31 décembre 2021. L'état d'avancement de la réforme doit être évalué au regard d'un objectif de sécurité routière relatif à une diminution relative du nombre de tués et de blessés graves, conformément aux objectifs de l'UE en matière de sécurité routière.</w:t>
      </w:r>
    </w:p>
    <w:p w14:paraId="1216BF2C" w14:textId="77777777" w:rsidR="003C4798" w:rsidRDefault="00417595">
      <w:pPr>
        <w:pStyle w:val="P68B1DB1-Normal036"/>
        <w:rPr>
          <w:bCs/>
          <w:noProof/>
        </w:rPr>
      </w:pPr>
      <w:r>
        <w:rPr>
          <w:noProof/>
        </w:rPr>
        <w:t>E2.2.1 Investissements dans la sécurité des transports</w:t>
      </w:r>
    </w:p>
    <w:p w14:paraId="1216BF2D" w14:textId="4833E87D" w:rsidR="003C4798" w:rsidRDefault="00417595">
      <w:pPr>
        <w:pStyle w:val="P68B1DB1-Normal037"/>
        <w:jc w:val="both"/>
        <w:rPr>
          <w:noProof/>
        </w:rPr>
      </w:pPr>
      <w:r>
        <w:rPr>
          <w:noProof/>
        </w:rPr>
        <w:t>L’objectif de cet investissement est d’accroître la sécurité du transport routier, notamment en encourageant l’utilisation de tachygraphes. Cette mesure consiste à: i) les travaux sur les points d’accès pour la sécurité routière, ii) la construction ou la reconstruction de routes nationales, y compris les contournements, et iii) l’installation de dispositifs de surveillance routière.</w:t>
      </w:r>
    </w:p>
    <w:p w14:paraId="1216BF2E" w14:textId="77777777" w:rsidR="003C4798" w:rsidRDefault="00417595">
      <w:pPr>
        <w:pStyle w:val="P68B1DB1-Normal036"/>
        <w:jc w:val="both"/>
        <w:rPr>
          <w:bCs/>
          <w:noProof/>
        </w:rPr>
      </w:pPr>
      <w:r>
        <w:rPr>
          <w:noProof/>
        </w:rPr>
        <w:t>E2.2.2 Numérisation des transports</w:t>
      </w:r>
    </w:p>
    <w:p w14:paraId="1216BF2F" w14:textId="77777777" w:rsidR="003C4798" w:rsidRDefault="00417595">
      <w:pPr>
        <w:pStyle w:val="P68B1DB1-Normal047"/>
        <w:jc w:val="both"/>
        <w:rPr>
          <w:noProof/>
        </w:rPr>
      </w:pPr>
      <w:r>
        <w:rPr>
          <w:noProof/>
        </w:rPr>
        <w:t>L’objectif de cet investissement est d’introduire des solutions numériques pour rendre les chemins de fer et les transports publics plus attrayants et plus efficaces. Cette mesure consiste en l’installation ou la mise à jour d’unités embarquées du système européen de gestion du trafic ferroviaire (ERTMS), en l’installation de systèmes dynamiques d’information des voyageurs (SDIP), en des travaux sur les systèmes de passage à niveau et en l’introduction d’un contrôle automatique des points de contrôle ferroviaires.</w:t>
      </w:r>
    </w:p>
    <w:p w14:paraId="1216BF30"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noProof/>
          <w:color w:val="000000"/>
          <w:sz w:val="24"/>
        </w:rPr>
      </w:pPr>
    </w:p>
    <w:p w14:paraId="1216BF31" w14:textId="77777777" w:rsidR="003C4798" w:rsidRDefault="003C4798">
      <w:pPr>
        <w:pStyle w:val="Normal0"/>
        <w:pBdr>
          <w:top w:val="nil"/>
          <w:left w:val="nil"/>
          <w:bottom w:val="nil"/>
          <w:right w:val="nil"/>
          <w:between w:val="nil"/>
        </w:pBdr>
        <w:spacing w:before="120" w:after="0" w:line="240" w:lineRule="auto"/>
        <w:jc w:val="both"/>
        <w:rPr>
          <w:rFonts w:ascii="Times New Roman" w:hAnsi="Times New Roman"/>
          <w:noProof/>
          <w:color w:val="000000"/>
          <w:sz w:val="24"/>
        </w:rPr>
      </w:pPr>
    </w:p>
    <w:p w14:paraId="1216BF32"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rPr>
      </w:pPr>
    </w:p>
    <w:p w14:paraId="1216BF33"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sectPr w:rsidR="003C4798" w:rsidSect="006C5441">
          <w:headerReference w:type="even" r:id="rId120"/>
          <w:headerReference w:type="default" r:id="rId121"/>
          <w:footerReference w:type="even" r:id="rId122"/>
          <w:footerReference w:type="default" r:id="rId123"/>
          <w:headerReference w:type="first" r:id="rId124"/>
          <w:footerReference w:type="first" r:id="rId125"/>
          <w:pgSz w:w="11907" w:h="16839"/>
          <w:pgMar w:top="1134" w:right="1134" w:bottom="1134" w:left="1134" w:header="567" w:footer="567" w:gutter="0"/>
          <w:cols w:space="720"/>
          <w:docGrid w:linePitch="299"/>
        </w:sectPr>
      </w:pPr>
    </w:p>
    <w:p w14:paraId="1216BF34" w14:textId="77777777" w:rsidR="003C4798" w:rsidRDefault="00417595">
      <w:pPr>
        <w:pStyle w:val="Normal0"/>
        <w:pBdr>
          <w:top w:val="nil"/>
          <w:left w:val="nil"/>
          <w:bottom w:val="nil"/>
          <w:right w:val="nil"/>
          <w:between w:val="nil"/>
        </w:pBdr>
        <w:spacing w:after="0" w:line="240" w:lineRule="auto"/>
        <w:jc w:val="both"/>
        <w:rPr>
          <w:rFonts w:ascii="Times New Roman" w:hAnsi="Times New Roman"/>
          <w:b/>
          <w:noProof/>
          <w:color w:val="000000"/>
          <w:sz w:val="24"/>
        </w:rPr>
      </w:pPr>
      <w:r>
        <w:rPr>
          <w:rFonts w:ascii="Times New Roman" w:hAnsi="Times New Roman"/>
          <w:b/>
          <w:noProof/>
          <w:color w:val="000000"/>
          <w:sz w:val="24"/>
        </w:rPr>
        <w:t xml:space="preserve">E.2. </w:t>
      </w:r>
      <w:r>
        <w:rPr>
          <w:noProof/>
        </w:rPr>
        <w:t xml:space="preserve"> </w:t>
      </w:r>
      <w:r>
        <w:rPr>
          <w:rFonts w:ascii="Times New Roman" w:hAnsi="Times New Roman"/>
          <w:b/>
          <w:noProof/>
          <w:color w:val="000000"/>
          <w:sz w:val="24"/>
        </w:rPr>
        <w:t>Étapes, cibles, indicateurs et calendrier pour le suivi et la mise en œuvre du soutien financier non remboursable</w:t>
      </w:r>
    </w:p>
    <w:p w14:paraId="6E82E653" w14:textId="77777777" w:rsidR="003C4798" w:rsidRDefault="003C4798">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rPr>
      </w:pPr>
    </w:p>
    <w:tbl>
      <w:tblPr>
        <w:tblW w:w="1579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51"/>
        <w:gridCol w:w="1432"/>
        <w:gridCol w:w="1114"/>
        <w:gridCol w:w="1785"/>
        <w:gridCol w:w="1436"/>
        <w:gridCol w:w="1221"/>
        <w:gridCol w:w="1228"/>
        <w:gridCol w:w="1204"/>
        <w:gridCol w:w="1064"/>
        <w:gridCol w:w="851"/>
        <w:gridCol w:w="3613"/>
      </w:tblGrid>
      <w:tr w:rsidR="003C4798" w14:paraId="1216BF3F" w14:textId="77777777" w:rsidTr="00DA6ACB">
        <w:trPr>
          <w:trHeight w:val="705"/>
          <w:tblHeader/>
          <w:jc w:val="center"/>
        </w:trPr>
        <w:tc>
          <w:tcPr>
            <w:tcW w:w="851" w:type="dxa"/>
            <w:vMerge w:val="restart"/>
            <w:shd w:val="clear" w:color="auto" w:fill="BDD7EE"/>
            <w:vAlign w:val="center"/>
          </w:tcPr>
          <w:p w14:paraId="1216BF36"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Seq. N°</w:t>
            </w:r>
          </w:p>
        </w:tc>
        <w:tc>
          <w:tcPr>
            <w:tcW w:w="1432" w:type="dxa"/>
            <w:vMerge w:val="restart"/>
            <w:shd w:val="clear" w:color="auto" w:fill="BDD7EE"/>
            <w:vAlign w:val="center"/>
          </w:tcPr>
          <w:p w14:paraId="1216BF37"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Mesure connexe (réforme ou investissement)</w:t>
            </w:r>
          </w:p>
        </w:tc>
        <w:tc>
          <w:tcPr>
            <w:tcW w:w="1114" w:type="dxa"/>
            <w:vMerge w:val="restart"/>
            <w:shd w:val="clear" w:color="auto" w:fill="BDD7EE"/>
            <w:vAlign w:val="center"/>
          </w:tcPr>
          <w:p w14:paraId="1216BF38"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Étape/cible</w:t>
            </w:r>
          </w:p>
        </w:tc>
        <w:tc>
          <w:tcPr>
            <w:tcW w:w="1785" w:type="dxa"/>
            <w:vMerge w:val="restart"/>
            <w:shd w:val="clear" w:color="auto" w:fill="BDD7EE"/>
            <w:vAlign w:val="center"/>
          </w:tcPr>
          <w:p w14:paraId="1216BF39"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Nom</w:t>
            </w:r>
          </w:p>
        </w:tc>
        <w:tc>
          <w:tcPr>
            <w:tcW w:w="1436" w:type="dxa"/>
            <w:vMerge w:val="restart"/>
            <w:shd w:val="clear" w:color="auto" w:fill="BDD7EE"/>
            <w:vAlign w:val="center"/>
          </w:tcPr>
          <w:p w14:paraId="1216BF3A" w14:textId="0AC60CFC" w:rsidR="003C4798" w:rsidRDefault="00417595">
            <w:pPr>
              <w:pStyle w:val="P68B1DB1-Normal061"/>
              <w:pBdr>
                <w:top w:val="nil"/>
                <w:left w:val="nil"/>
                <w:bottom w:val="nil"/>
                <w:right w:val="nil"/>
                <w:between w:val="nil"/>
              </w:pBdr>
              <w:spacing w:after="0" w:line="240" w:lineRule="auto"/>
              <w:jc w:val="center"/>
              <w:rPr>
                <w:rFonts w:eastAsia="Times New Roman"/>
                <w:bCs/>
                <w:noProof/>
              </w:rPr>
            </w:pPr>
            <w:r>
              <w:rPr>
                <w:noProof/>
              </w:rPr>
              <w:t>Indicateurs qualitatifs (pour les jalons)</w:t>
            </w:r>
          </w:p>
        </w:tc>
        <w:tc>
          <w:tcPr>
            <w:tcW w:w="3653" w:type="dxa"/>
            <w:gridSpan w:val="3"/>
            <w:shd w:val="clear" w:color="auto" w:fill="BDD7EE"/>
            <w:vAlign w:val="center"/>
          </w:tcPr>
          <w:p w14:paraId="1216BF3B" w14:textId="1A851D90" w:rsidR="003C4798" w:rsidRDefault="00417595">
            <w:pPr>
              <w:pStyle w:val="P68B1DB1-Normal061"/>
              <w:pBdr>
                <w:top w:val="nil"/>
                <w:left w:val="nil"/>
                <w:bottom w:val="nil"/>
                <w:right w:val="nil"/>
                <w:between w:val="nil"/>
              </w:pBdr>
              <w:spacing w:after="0" w:line="240" w:lineRule="auto"/>
              <w:jc w:val="center"/>
              <w:rPr>
                <w:rFonts w:eastAsia="Times New Roman"/>
                <w:bCs/>
                <w:noProof/>
              </w:rPr>
            </w:pPr>
            <w:r>
              <w:rPr>
                <w:noProof/>
              </w:rPr>
              <w:t>Indicateurs quantitatifs (pour les objectifs)</w:t>
            </w:r>
          </w:p>
        </w:tc>
        <w:tc>
          <w:tcPr>
            <w:tcW w:w="1915" w:type="dxa"/>
            <w:gridSpan w:val="2"/>
            <w:shd w:val="clear" w:color="auto" w:fill="BDD7EE"/>
            <w:vAlign w:val="center"/>
          </w:tcPr>
          <w:p w14:paraId="1216BF3C"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Calendrier indicatif d'achèvement</w:t>
            </w:r>
          </w:p>
        </w:tc>
        <w:tc>
          <w:tcPr>
            <w:tcW w:w="3613" w:type="dxa"/>
            <w:vMerge w:val="restart"/>
            <w:shd w:val="clear" w:color="auto" w:fill="BDD7EE"/>
            <w:vAlign w:val="center"/>
          </w:tcPr>
          <w:p w14:paraId="1216BF3D"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Description de chaque jalon et cible</w:t>
            </w:r>
          </w:p>
          <w:p w14:paraId="1216BF3E"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r>
      <w:tr w:rsidR="003C4798" w14:paraId="1216BF4B" w14:textId="77777777" w:rsidTr="00DA6ACB">
        <w:trPr>
          <w:trHeight w:val="559"/>
          <w:jc w:val="center"/>
        </w:trPr>
        <w:tc>
          <w:tcPr>
            <w:tcW w:w="851" w:type="dxa"/>
            <w:vMerge/>
            <w:vAlign w:val="center"/>
          </w:tcPr>
          <w:p w14:paraId="1216BF40"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432" w:type="dxa"/>
            <w:vMerge/>
            <w:vAlign w:val="center"/>
          </w:tcPr>
          <w:p w14:paraId="1216BF41"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114" w:type="dxa"/>
            <w:vMerge/>
            <w:vAlign w:val="center"/>
          </w:tcPr>
          <w:p w14:paraId="1216BF42"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785" w:type="dxa"/>
            <w:vMerge/>
            <w:vAlign w:val="center"/>
          </w:tcPr>
          <w:p w14:paraId="1216BF43"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c>
          <w:tcPr>
            <w:tcW w:w="1436" w:type="dxa"/>
            <w:vMerge/>
            <w:vAlign w:val="center"/>
          </w:tcPr>
          <w:p w14:paraId="1216BF44"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rPr>
            </w:pPr>
          </w:p>
        </w:tc>
        <w:tc>
          <w:tcPr>
            <w:tcW w:w="1221" w:type="dxa"/>
            <w:shd w:val="clear" w:color="auto" w:fill="BDD7EE"/>
            <w:vAlign w:val="center"/>
          </w:tcPr>
          <w:p w14:paraId="1216BF45" w14:textId="77777777" w:rsidR="003C4798" w:rsidRDefault="00417595">
            <w:pPr>
              <w:pStyle w:val="P68B1DB1-Normal061"/>
              <w:pBdr>
                <w:top w:val="nil"/>
                <w:left w:val="nil"/>
                <w:bottom w:val="nil"/>
                <w:right w:val="nil"/>
                <w:between w:val="nil"/>
              </w:pBdr>
              <w:spacing w:after="0" w:line="240" w:lineRule="auto"/>
              <w:jc w:val="center"/>
              <w:rPr>
                <w:rFonts w:eastAsia="Times New Roman"/>
                <w:bCs/>
                <w:noProof/>
                <w:color w:val="000000" w:themeColor="text1"/>
              </w:rPr>
            </w:pPr>
            <w:r>
              <w:rPr>
                <w:noProof/>
              </w:rPr>
              <w:t>Unité de mesure</w:t>
            </w:r>
          </w:p>
        </w:tc>
        <w:tc>
          <w:tcPr>
            <w:tcW w:w="1228" w:type="dxa"/>
            <w:shd w:val="clear" w:color="auto" w:fill="BDD7EE"/>
            <w:vAlign w:val="center"/>
          </w:tcPr>
          <w:p w14:paraId="1216BF46" w14:textId="77777777" w:rsidR="003C4798" w:rsidRDefault="00417595">
            <w:pPr>
              <w:pStyle w:val="P68B1DB1-Normal061"/>
              <w:pBdr>
                <w:top w:val="nil"/>
                <w:left w:val="nil"/>
                <w:bottom w:val="nil"/>
                <w:right w:val="nil"/>
                <w:between w:val="nil"/>
              </w:pBdr>
              <w:spacing w:after="0" w:line="240" w:lineRule="auto"/>
              <w:jc w:val="center"/>
              <w:rPr>
                <w:rFonts w:eastAsia="Times New Roman"/>
                <w:bCs/>
                <w:noProof/>
                <w:color w:val="000000" w:themeColor="text1"/>
              </w:rPr>
            </w:pPr>
            <w:r>
              <w:rPr>
                <w:noProof/>
              </w:rPr>
              <w:t>Données de référence</w:t>
            </w:r>
          </w:p>
        </w:tc>
        <w:tc>
          <w:tcPr>
            <w:tcW w:w="1204" w:type="dxa"/>
            <w:shd w:val="clear" w:color="auto" w:fill="BDD7EE"/>
            <w:vAlign w:val="center"/>
          </w:tcPr>
          <w:p w14:paraId="1216BF47" w14:textId="77777777" w:rsidR="003C4798" w:rsidRDefault="00417595">
            <w:pPr>
              <w:pStyle w:val="P68B1DB1-Normal061"/>
              <w:pBdr>
                <w:top w:val="nil"/>
                <w:left w:val="nil"/>
                <w:bottom w:val="nil"/>
                <w:right w:val="nil"/>
                <w:between w:val="nil"/>
              </w:pBdr>
              <w:spacing w:after="0" w:line="240" w:lineRule="auto"/>
              <w:jc w:val="center"/>
              <w:rPr>
                <w:rFonts w:eastAsia="Times New Roman"/>
                <w:bCs/>
                <w:noProof/>
                <w:color w:val="000000" w:themeColor="text1"/>
              </w:rPr>
            </w:pPr>
            <w:r>
              <w:rPr>
                <w:noProof/>
              </w:rPr>
              <w:t>Objectif</w:t>
            </w:r>
          </w:p>
        </w:tc>
        <w:tc>
          <w:tcPr>
            <w:tcW w:w="1064" w:type="dxa"/>
            <w:shd w:val="clear" w:color="auto" w:fill="BDD7EE"/>
            <w:vAlign w:val="center"/>
          </w:tcPr>
          <w:p w14:paraId="1216BF48"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Trimestre</w:t>
            </w:r>
          </w:p>
        </w:tc>
        <w:tc>
          <w:tcPr>
            <w:tcW w:w="851" w:type="dxa"/>
            <w:shd w:val="clear" w:color="auto" w:fill="BDD7EE"/>
            <w:vAlign w:val="center"/>
          </w:tcPr>
          <w:p w14:paraId="1216BF49"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Année</w:t>
            </w:r>
          </w:p>
        </w:tc>
        <w:tc>
          <w:tcPr>
            <w:tcW w:w="3613" w:type="dxa"/>
            <w:vMerge/>
            <w:vAlign w:val="center"/>
          </w:tcPr>
          <w:p w14:paraId="1216BF4A"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p>
        </w:tc>
      </w:tr>
      <w:tr w:rsidR="003C4798" w14:paraId="1216BF57" w14:textId="77777777" w:rsidTr="00DA6ACB">
        <w:trPr>
          <w:trHeight w:val="312"/>
          <w:jc w:val="center"/>
        </w:trPr>
        <w:tc>
          <w:tcPr>
            <w:tcW w:w="851" w:type="dxa"/>
            <w:shd w:val="clear" w:color="auto" w:fill="C6EFCE"/>
          </w:tcPr>
          <w:p w14:paraId="1216BF4C" w14:textId="77777777" w:rsidR="003C4798" w:rsidRDefault="00417595">
            <w:pPr>
              <w:pStyle w:val="P68B1DB1-Normal021"/>
              <w:spacing w:after="0" w:line="240" w:lineRule="auto"/>
              <w:jc w:val="center"/>
              <w:rPr>
                <w:noProof/>
              </w:rPr>
            </w:pPr>
            <w:r>
              <w:rPr>
                <w:noProof/>
              </w:rPr>
              <w:t>E1G</w:t>
            </w:r>
          </w:p>
        </w:tc>
        <w:tc>
          <w:tcPr>
            <w:tcW w:w="1432" w:type="dxa"/>
            <w:shd w:val="clear" w:color="auto" w:fill="C6EFCE"/>
          </w:tcPr>
          <w:p w14:paraId="1216BF4D"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E1.1 Augmentation de l ' utilisation de moyens de transport respectueux de l ' environnement</w:t>
            </w:r>
          </w:p>
        </w:tc>
        <w:tc>
          <w:tcPr>
            <w:tcW w:w="1114" w:type="dxa"/>
            <w:shd w:val="clear" w:color="auto" w:fill="C6EFCE"/>
          </w:tcPr>
          <w:p w14:paraId="1216BF4E"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785" w:type="dxa"/>
            <w:shd w:val="clear" w:color="auto" w:fill="C6EFCE"/>
          </w:tcPr>
          <w:p w14:paraId="1216BF4F" w14:textId="229335DA" w:rsidR="003C4798" w:rsidRDefault="00417595">
            <w:pPr>
              <w:pStyle w:val="P68B1DB1-Normal062"/>
              <w:spacing w:after="0" w:line="240" w:lineRule="auto"/>
              <w:rPr>
                <w:rFonts w:eastAsia="Times New Roman"/>
                <w:noProof/>
                <w:color w:val="006100"/>
              </w:rPr>
            </w:pPr>
            <w:r>
              <w:rPr>
                <w:noProof/>
              </w:rPr>
              <w:t>Entrée en vigueur d’une loi sur l’achat d’autobus à émissions nulles</w:t>
            </w:r>
          </w:p>
        </w:tc>
        <w:tc>
          <w:tcPr>
            <w:tcW w:w="1436" w:type="dxa"/>
            <w:shd w:val="clear" w:color="auto" w:fill="C6EFCE"/>
          </w:tcPr>
          <w:p w14:paraId="1216BF50"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Disposition d'une loi indiquant son entrée en vigueur</w:t>
            </w:r>
          </w:p>
        </w:tc>
        <w:tc>
          <w:tcPr>
            <w:tcW w:w="1221" w:type="dxa"/>
            <w:shd w:val="clear" w:color="auto" w:fill="C6EFCE"/>
          </w:tcPr>
          <w:p w14:paraId="1216BF51"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28" w:type="dxa"/>
            <w:shd w:val="clear" w:color="auto" w:fill="C6EFCE"/>
          </w:tcPr>
          <w:p w14:paraId="1216BF52"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04" w:type="dxa"/>
            <w:shd w:val="clear" w:color="auto" w:fill="C6EFCE"/>
          </w:tcPr>
          <w:p w14:paraId="1216BF53"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64" w:type="dxa"/>
            <w:shd w:val="clear" w:color="auto" w:fill="C6EFCE"/>
          </w:tcPr>
          <w:p w14:paraId="1216BF54" w14:textId="77777777" w:rsidR="003C4798" w:rsidRDefault="00417595">
            <w:pPr>
              <w:pStyle w:val="P68B1DB1-Normal062"/>
              <w:spacing w:after="0" w:line="240" w:lineRule="auto"/>
              <w:jc w:val="center"/>
              <w:rPr>
                <w:noProof/>
                <w:color w:val="000000" w:themeColor="text1"/>
              </w:rPr>
            </w:pPr>
            <w:r>
              <w:rPr>
                <w:noProof/>
              </w:rPr>
              <w:t>T1</w:t>
            </w:r>
          </w:p>
        </w:tc>
        <w:tc>
          <w:tcPr>
            <w:tcW w:w="851" w:type="dxa"/>
            <w:shd w:val="clear" w:color="auto" w:fill="C6EFCE"/>
          </w:tcPr>
          <w:p w14:paraId="1216BF55" w14:textId="77777777" w:rsidR="003C4798" w:rsidRDefault="00417595">
            <w:pPr>
              <w:pStyle w:val="P68B1DB1-Normal062"/>
              <w:spacing w:after="0" w:line="240" w:lineRule="auto"/>
              <w:jc w:val="center"/>
              <w:rPr>
                <w:noProof/>
                <w:color w:val="000000" w:themeColor="text1"/>
              </w:rPr>
            </w:pPr>
            <w:r>
              <w:rPr>
                <w:noProof/>
              </w:rPr>
              <w:t>2025</w:t>
            </w:r>
          </w:p>
        </w:tc>
        <w:tc>
          <w:tcPr>
            <w:tcW w:w="3613" w:type="dxa"/>
            <w:shd w:val="clear" w:color="auto" w:fill="C6EFCE"/>
          </w:tcPr>
          <w:p w14:paraId="1216BF56" w14:textId="371E5AEE" w:rsidR="003C4798" w:rsidRDefault="00417595">
            <w:pPr>
              <w:pStyle w:val="P68B1DB1-Normal021"/>
              <w:spacing w:after="0" w:line="240" w:lineRule="auto"/>
              <w:jc w:val="both"/>
              <w:rPr>
                <w:noProof/>
                <w:color w:val="000000" w:themeColor="text1"/>
              </w:rPr>
            </w:pPr>
            <w:r>
              <w:rPr>
                <w:noProof/>
                <w:color w:val="000000" w:themeColor="text1"/>
              </w:rPr>
              <w:t xml:space="preserve">Entrée en vigueur d’une loi qui impose une obligation légale (sous réserve d’exceptions spécifiques) aux municipalités de plus de 100 000 habitants et aux entités sous-traitées ou chargées par ces municipalités de fournir des services collectifs de transport urbain de voyageurs par route d’acheter des autobus à émissions nulles lorsqu’elles effectuent leurs services dans des municipalités de plus de 100 000 habitants. </w:t>
            </w:r>
          </w:p>
        </w:tc>
      </w:tr>
      <w:tr w:rsidR="003C4798" w14:paraId="1216BF68" w14:textId="77777777" w:rsidTr="00DA6ACB">
        <w:trPr>
          <w:trHeight w:val="300"/>
          <w:jc w:val="center"/>
        </w:trPr>
        <w:tc>
          <w:tcPr>
            <w:tcW w:w="851" w:type="dxa"/>
            <w:shd w:val="clear" w:color="auto" w:fill="C6EFCE"/>
          </w:tcPr>
          <w:p w14:paraId="1216BF58" w14:textId="77777777" w:rsidR="003C4798" w:rsidRDefault="00417595">
            <w:pPr>
              <w:pStyle w:val="P68B1DB1-Normal021"/>
              <w:pBdr>
                <w:top w:val="nil"/>
                <w:left w:val="nil"/>
                <w:bottom w:val="nil"/>
                <w:right w:val="nil"/>
                <w:between w:val="nil"/>
              </w:pBdr>
              <w:spacing w:after="0" w:line="240" w:lineRule="auto"/>
              <w:jc w:val="center"/>
              <w:rPr>
                <w:rFonts w:eastAsia="Times New Roman"/>
                <w:b/>
                <w:noProof/>
                <w:color w:val="000000"/>
              </w:rPr>
            </w:pPr>
            <w:r>
              <w:rPr>
                <w:noProof/>
              </w:rPr>
              <w:t>E2G</w:t>
            </w:r>
          </w:p>
        </w:tc>
        <w:tc>
          <w:tcPr>
            <w:tcW w:w="1432" w:type="dxa"/>
            <w:shd w:val="clear" w:color="auto" w:fill="C6EFCE"/>
          </w:tcPr>
          <w:p w14:paraId="1216BF59" w14:textId="77777777" w:rsidR="003C4798" w:rsidRDefault="00417595">
            <w:pPr>
              <w:pStyle w:val="P68B1DB1-Normal062"/>
              <w:pBdr>
                <w:top w:val="nil"/>
                <w:left w:val="nil"/>
                <w:bottom w:val="nil"/>
                <w:right w:val="nil"/>
                <w:between w:val="nil"/>
              </w:pBdr>
              <w:spacing w:after="0" w:line="240" w:lineRule="auto"/>
              <w:rPr>
                <w:rFonts w:eastAsia="Times New Roman"/>
                <w:noProof/>
              </w:rPr>
            </w:pPr>
            <w:bookmarkStart w:id="15" w:name="_Hlk200615890"/>
            <w:r>
              <w:rPr>
                <w:noProof/>
              </w:rPr>
              <w:t>E1.1 Augmentation de l ' utilisation de moyens de transport respectueux de l ' environnement</w:t>
            </w:r>
            <w:bookmarkEnd w:id="15"/>
          </w:p>
        </w:tc>
        <w:tc>
          <w:tcPr>
            <w:tcW w:w="1114" w:type="dxa"/>
            <w:shd w:val="clear" w:color="auto" w:fill="C6EFCE"/>
          </w:tcPr>
          <w:p w14:paraId="1216BF5A"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Étape</w:t>
            </w:r>
          </w:p>
        </w:tc>
        <w:tc>
          <w:tcPr>
            <w:tcW w:w="1785" w:type="dxa"/>
            <w:shd w:val="clear" w:color="auto" w:fill="C6EFCE"/>
          </w:tcPr>
          <w:p w14:paraId="1216BF5B" w14:textId="77777777" w:rsidR="003C4798" w:rsidRDefault="00417595">
            <w:pPr>
              <w:pStyle w:val="P68B1DB1-Normal062"/>
              <w:pBdr>
                <w:top w:val="nil"/>
                <w:left w:val="nil"/>
                <w:bottom w:val="nil"/>
                <w:right w:val="nil"/>
                <w:between w:val="nil"/>
              </w:pBdr>
              <w:spacing w:after="0" w:line="240" w:lineRule="auto"/>
              <w:rPr>
                <w:rFonts w:eastAsia="Times New Roman"/>
                <w:noProof/>
              </w:rPr>
            </w:pPr>
            <w:r>
              <w:rPr>
                <w:noProof/>
              </w:rPr>
              <w:t>Mesures visant à soutenir l’élaboration de plans de mobilité urbaine durable (PMUD) et l’adoption d’incitations à la mise en œuvre des PMUD fournissant un soutien technique et financier à toutes les zones urbaines fonctionnelles par le ministère des infrastructures</w:t>
            </w:r>
          </w:p>
        </w:tc>
        <w:tc>
          <w:tcPr>
            <w:tcW w:w="1436" w:type="dxa"/>
            <w:shd w:val="clear" w:color="auto" w:fill="C6EFCE"/>
          </w:tcPr>
          <w:p w14:paraId="1216BF5C" w14:textId="6C16143D"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Disposition indiquant l'entrée en vigueur</w:t>
            </w:r>
          </w:p>
        </w:tc>
        <w:tc>
          <w:tcPr>
            <w:tcW w:w="1221" w:type="dxa"/>
            <w:shd w:val="clear" w:color="auto" w:fill="C6EFCE"/>
          </w:tcPr>
          <w:p w14:paraId="1216BF5D"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228" w:type="dxa"/>
            <w:shd w:val="clear" w:color="auto" w:fill="C6EFCE"/>
          </w:tcPr>
          <w:p w14:paraId="1216BF5E"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204" w:type="dxa"/>
            <w:shd w:val="clear" w:color="auto" w:fill="C6EFCE"/>
          </w:tcPr>
          <w:p w14:paraId="1216BF5F"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64" w:type="dxa"/>
            <w:shd w:val="clear" w:color="auto" w:fill="C6EFCE"/>
          </w:tcPr>
          <w:p w14:paraId="1216BF60"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T1</w:t>
            </w:r>
          </w:p>
        </w:tc>
        <w:tc>
          <w:tcPr>
            <w:tcW w:w="851" w:type="dxa"/>
            <w:shd w:val="clear" w:color="auto" w:fill="C6EFCE"/>
          </w:tcPr>
          <w:p w14:paraId="1216BF61"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2023</w:t>
            </w:r>
          </w:p>
        </w:tc>
        <w:tc>
          <w:tcPr>
            <w:tcW w:w="3613" w:type="dxa"/>
            <w:shd w:val="clear" w:color="auto" w:fill="C6EFCE"/>
          </w:tcPr>
          <w:p w14:paraId="1216BF62" w14:textId="77777777" w:rsidR="003C4798" w:rsidRDefault="00417595">
            <w:pPr>
              <w:pStyle w:val="P68B1DB1-Normal062"/>
              <w:pBdr>
                <w:top w:val="nil"/>
                <w:left w:val="nil"/>
                <w:bottom w:val="nil"/>
                <w:right w:val="nil"/>
                <w:between w:val="nil"/>
              </w:pBdr>
              <w:spacing w:after="0" w:line="240" w:lineRule="auto"/>
              <w:rPr>
                <w:rFonts w:eastAsia="Times New Roman"/>
                <w:noProof/>
                <w:color w:val="000000" w:themeColor="text1"/>
              </w:rPr>
            </w:pPr>
            <w:r>
              <w:rPr>
                <w:noProof/>
              </w:rPr>
              <w:t>Introduire des mesures de soutien à l’élaboration et à la mise en œuvre de plans de mobilité urbaine durable (PMUD).</w:t>
            </w:r>
          </w:p>
          <w:p w14:paraId="1216BF63" w14:textId="77777777" w:rsidR="003C4798" w:rsidRDefault="00417595">
            <w:pPr>
              <w:pStyle w:val="P68B1DB1-Normal062"/>
              <w:pBdr>
                <w:top w:val="nil"/>
                <w:left w:val="nil"/>
                <w:bottom w:val="nil"/>
                <w:right w:val="nil"/>
                <w:between w:val="nil"/>
              </w:pBdr>
              <w:spacing w:after="120" w:line="240" w:lineRule="auto"/>
              <w:rPr>
                <w:noProof/>
              </w:rPr>
            </w:pPr>
            <w:r>
              <w:rPr>
                <w:noProof/>
              </w:rPr>
              <w:t>Ces mesures comprennent:</w:t>
            </w:r>
          </w:p>
          <w:p w14:paraId="1216BF64" w14:textId="77777777" w:rsidR="003C4798" w:rsidRDefault="00417595">
            <w:pPr>
              <w:pStyle w:val="P68B1DB1-Normal062"/>
              <w:numPr>
                <w:ilvl w:val="0"/>
                <w:numId w:val="22"/>
              </w:numPr>
              <w:pBdr>
                <w:top w:val="nil"/>
                <w:left w:val="nil"/>
                <w:bottom w:val="nil"/>
                <w:right w:val="nil"/>
                <w:between w:val="nil"/>
              </w:pBdr>
              <w:spacing w:after="120" w:line="240" w:lineRule="auto"/>
              <w:ind w:left="357" w:hanging="357"/>
              <w:rPr>
                <w:rFonts w:eastAsia="Times New Roman"/>
                <w:noProof/>
                <w:color w:val="000000" w:themeColor="text1"/>
              </w:rPr>
            </w:pPr>
            <w:r>
              <w:rPr>
                <w:noProof/>
              </w:rPr>
              <w:t xml:space="preserve">une nouvelle structure pour le soutien à la mise en œuvre des PMUD, dotée d’un comité directeur des PMUD, afin de stimuler l’élaboration et la mise en œuvre des PMUD; </w:t>
            </w:r>
          </w:p>
          <w:p w14:paraId="1216BF65" w14:textId="77777777" w:rsidR="003C4798" w:rsidRDefault="00417595">
            <w:pPr>
              <w:pStyle w:val="P68B1DB1-Normal062"/>
              <w:numPr>
                <w:ilvl w:val="0"/>
                <w:numId w:val="22"/>
              </w:numPr>
              <w:pBdr>
                <w:top w:val="nil"/>
                <w:left w:val="nil"/>
                <w:bottom w:val="nil"/>
                <w:right w:val="nil"/>
                <w:between w:val="nil"/>
              </w:pBdr>
              <w:spacing w:after="120" w:line="240" w:lineRule="auto"/>
              <w:ind w:left="357" w:hanging="357"/>
              <w:rPr>
                <w:rFonts w:eastAsia="Times New Roman"/>
                <w:noProof/>
                <w:color w:val="000000" w:themeColor="text1"/>
              </w:rPr>
            </w:pPr>
            <w:r>
              <w:rPr>
                <w:noProof/>
              </w:rPr>
              <w:t xml:space="preserve">un centre de compétence pour les PMUD au sein du ministère des infrastructures, qui fournit un soutien consultatif et financier aux collectivités locales; </w:t>
            </w:r>
          </w:p>
          <w:p w14:paraId="1216BF66" w14:textId="77777777" w:rsidR="003C4798" w:rsidRDefault="00417595">
            <w:pPr>
              <w:pStyle w:val="P68B1DB1-Normal062"/>
              <w:numPr>
                <w:ilvl w:val="0"/>
                <w:numId w:val="22"/>
              </w:numPr>
              <w:spacing w:after="120" w:line="240" w:lineRule="auto"/>
              <w:ind w:left="357" w:hanging="357"/>
              <w:rPr>
                <w:rFonts w:eastAsia="Times New Roman"/>
                <w:noProof/>
                <w:color w:val="000000" w:themeColor="text1"/>
              </w:rPr>
            </w:pPr>
            <w:r>
              <w:rPr>
                <w:noProof/>
              </w:rPr>
              <w:t xml:space="preserve">le plénipotentiaire pour les PMUD au ministère des infrastructures. </w:t>
            </w:r>
          </w:p>
          <w:p w14:paraId="1216BF67" w14:textId="77777777" w:rsidR="003C4798" w:rsidRDefault="00417595">
            <w:pPr>
              <w:pStyle w:val="P68B1DB1-Normal062"/>
              <w:pBdr>
                <w:top w:val="nil"/>
                <w:left w:val="nil"/>
                <w:bottom w:val="nil"/>
                <w:right w:val="nil"/>
                <w:between w:val="nil"/>
              </w:pBdr>
              <w:spacing w:after="0" w:line="240" w:lineRule="auto"/>
              <w:rPr>
                <w:rFonts w:eastAsia="Times New Roman"/>
                <w:noProof/>
              </w:rPr>
            </w:pPr>
            <w:r>
              <w:rPr>
                <w:noProof/>
              </w:rPr>
              <w:t>Le nouveau cadre permet de fournir un soutien technique et financier adéquat aux entités intéressées par l’élaboration des PMUD et améliore les activités entreprises dans ce domaine par l’administration centrale.</w:t>
            </w:r>
          </w:p>
        </w:tc>
      </w:tr>
      <w:tr w:rsidR="003C4798" w14:paraId="1216BF93" w14:textId="77777777" w:rsidTr="00DA6ACB">
        <w:trPr>
          <w:trHeight w:val="4656"/>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1" w14:textId="77777777" w:rsidR="003C4798" w:rsidRDefault="00417595">
            <w:pPr>
              <w:pStyle w:val="P68B1DB1-Normal021"/>
              <w:spacing w:line="240" w:lineRule="auto"/>
              <w:jc w:val="center"/>
              <w:rPr>
                <w:noProof/>
              </w:rPr>
            </w:pPr>
            <w:r>
              <w:rPr>
                <w:noProof/>
              </w:rPr>
              <w:t>E4aG</w:t>
            </w:r>
          </w:p>
        </w:tc>
        <w:tc>
          <w:tcPr>
            <w:tcW w:w="14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2" w14:textId="77777777" w:rsidR="003C4798" w:rsidRDefault="00417595">
            <w:pPr>
              <w:pStyle w:val="P68B1DB1-Normal062"/>
              <w:spacing w:after="0" w:line="240" w:lineRule="auto"/>
              <w:rPr>
                <w:noProof/>
                <w:color w:val="000000" w:themeColor="text1"/>
              </w:rPr>
            </w:pPr>
            <w:r>
              <w:rPr>
                <w:noProof/>
              </w:rPr>
              <w:t>E1.1 Augmentation de l ' utilisation de moyens de transport respectueux de l ' environnement</w:t>
            </w:r>
          </w:p>
        </w:tc>
        <w:tc>
          <w:tcPr>
            <w:tcW w:w="1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3" w14:textId="77777777" w:rsidR="003C4798" w:rsidRDefault="00417595">
            <w:pPr>
              <w:pStyle w:val="P68B1DB1-Normal062"/>
              <w:spacing w:after="0" w:line="240" w:lineRule="auto"/>
              <w:jc w:val="center"/>
              <w:rPr>
                <w:noProof/>
                <w:color w:val="000000" w:themeColor="text1"/>
              </w:rPr>
            </w:pPr>
            <w:r>
              <w:rPr>
                <w:noProof/>
              </w:rPr>
              <w:t>Étape</w:t>
            </w:r>
          </w:p>
        </w:tc>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4" w14:textId="77777777" w:rsidR="003C4798" w:rsidRDefault="00417595">
            <w:pPr>
              <w:pStyle w:val="P68B1DB1-Normal062"/>
              <w:spacing w:line="240" w:lineRule="auto"/>
              <w:rPr>
                <w:noProof/>
                <w:color w:val="000000" w:themeColor="text1"/>
              </w:rPr>
            </w:pPr>
            <w:r>
              <w:rPr>
                <w:noProof/>
              </w:rPr>
              <w:t>Régime de subventions pour l’aide aux véhicules électriques</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5" w14:textId="77777777" w:rsidR="003C4798" w:rsidRDefault="00417595">
            <w:pPr>
              <w:pStyle w:val="P68B1DB1-Normal062"/>
              <w:spacing w:line="240" w:lineRule="auto"/>
              <w:rPr>
                <w:noProof/>
                <w:color w:val="000000" w:themeColor="text1"/>
              </w:rPr>
            </w:pPr>
            <w:r>
              <w:rPr>
                <w:noProof/>
              </w:rPr>
              <w:t>Publication du ou des régimes de subvention</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6" w14:textId="77777777" w:rsidR="003C4798" w:rsidRDefault="003C4798">
            <w:pPr>
              <w:pStyle w:val="Normal0"/>
              <w:spacing w:line="240" w:lineRule="auto"/>
              <w:jc w:val="center"/>
              <w:rPr>
                <w:rFonts w:ascii="Times New Roman" w:eastAsia="Times New Roman" w:hAnsi="Times New Roman" w:cs="Times New Roman"/>
                <w:noProof/>
                <w:color w:val="000000" w:themeColor="text1"/>
                <w:sz w:val="18"/>
                <w:szCs w:val="18"/>
              </w:rPr>
            </w:pP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7" w14:textId="77777777" w:rsidR="003C4798" w:rsidRDefault="003C4798">
            <w:pPr>
              <w:pStyle w:val="Normal0"/>
              <w:spacing w:line="240" w:lineRule="auto"/>
              <w:jc w:val="center"/>
              <w:rPr>
                <w:rFonts w:ascii="Times New Roman" w:eastAsia="Times New Roman" w:hAnsi="Times New Roman" w:cs="Times New Roman"/>
                <w:noProof/>
                <w:color w:val="000000" w:themeColor="text1"/>
                <w:sz w:val="18"/>
                <w:szCs w:val="18"/>
              </w:rPr>
            </w:pP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8" w14:textId="77777777" w:rsidR="003C4798" w:rsidRDefault="003C4798">
            <w:pPr>
              <w:pStyle w:val="Normal0"/>
              <w:spacing w:line="240" w:lineRule="auto"/>
              <w:jc w:val="center"/>
              <w:rPr>
                <w:rFonts w:ascii="Times New Roman" w:eastAsia="Times New Roman" w:hAnsi="Times New Roman" w:cs="Times New Roman"/>
                <w:noProof/>
                <w:color w:val="000000" w:themeColor="text1"/>
                <w:sz w:val="18"/>
                <w:szCs w:val="18"/>
              </w:rPr>
            </w:pPr>
          </w:p>
        </w:tc>
        <w:tc>
          <w:tcPr>
            <w:tcW w:w="10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9" w14:textId="77777777" w:rsidR="003C4798" w:rsidRDefault="00417595">
            <w:pPr>
              <w:pStyle w:val="P68B1DB1-Normal062"/>
              <w:spacing w:line="240" w:lineRule="auto"/>
              <w:jc w:val="center"/>
              <w:rPr>
                <w:noProof/>
                <w:color w:val="000000" w:themeColor="text1"/>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A" w14:textId="77777777" w:rsidR="003C4798" w:rsidRDefault="00417595">
            <w:pPr>
              <w:pStyle w:val="P68B1DB1-Normal062"/>
              <w:spacing w:line="240" w:lineRule="auto"/>
              <w:jc w:val="center"/>
              <w:rPr>
                <w:noProof/>
                <w:color w:val="000000" w:themeColor="text1"/>
              </w:rPr>
            </w:pPr>
            <w:r>
              <w:rPr>
                <w:noProof/>
              </w:rPr>
              <w:t>2025</w:t>
            </w:r>
          </w:p>
        </w:tc>
        <w:tc>
          <w:tcPr>
            <w:tcW w:w="36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B" w14:textId="77777777" w:rsidR="003C4798" w:rsidRDefault="00417595">
            <w:pPr>
              <w:pStyle w:val="P68B1DB1-paragraph78"/>
              <w:spacing w:before="0" w:beforeAutospacing="0" w:after="0" w:afterAutospacing="0"/>
              <w:jc w:val="both"/>
              <w:rPr>
                <w:noProof/>
                <w:color w:val="000000" w:themeColor="text1"/>
              </w:rPr>
            </w:pPr>
            <w:r>
              <w:rPr>
                <w:noProof/>
                <w:color w:val="000000" w:themeColor="text1"/>
              </w:rPr>
              <w:t xml:space="preserve">Un appel à candidatures est publié pour le ou les régimes de subventions visant à soutenir l’achat, la location ou le crédit-bail de véhicules électriques à émissions nulles des catégories M1, </w:t>
            </w:r>
            <w:r>
              <w:rPr>
                <w:rFonts w:eastAsia="Calibri"/>
                <w:noProof/>
              </w:rPr>
              <w:t>M2 et N1.</w:t>
            </w:r>
            <w:r>
              <w:rPr>
                <w:noProof/>
                <w:color w:val="000000" w:themeColor="text1"/>
              </w:rPr>
              <w:t xml:space="preserve"> </w:t>
            </w:r>
          </w:p>
          <w:p w14:paraId="1216BF8C" w14:textId="77777777" w:rsidR="003C4798" w:rsidRDefault="003C4798">
            <w:pPr>
              <w:pStyle w:val="Default"/>
              <w:rPr>
                <w:noProof/>
                <w:color w:val="000000" w:themeColor="text1"/>
                <w:sz w:val="18"/>
                <w:szCs w:val="18"/>
              </w:rPr>
            </w:pPr>
          </w:p>
          <w:p w14:paraId="1216BF8D" w14:textId="77777777" w:rsidR="003C4798" w:rsidRDefault="00417595">
            <w:pPr>
              <w:pStyle w:val="P68B1DB1-P68B1DB1-Normalny279"/>
              <w:spacing w:line="240" w:lineRule="auto"/>
              <w:jc w:val="left"/>
              <w:rPr>
                <w:noProof/>
              </w:rPr>
            </w:pPr>
            <w:r>
              <w:rPr>
                <w:noProof/>
              </w:rPr>
              <w:t>Pour les véhicules M1, le support:</w:t>
            </w:r>
          </w:p>
          <w:p w14:paraId="1216BF8E" w14:textId="77777777" w:rsidR="003C4798" w:rsidRDefault="00417595">
            <w:pPr>
              <w:pStyle w:val="P68B1DB1-P68B1DB1-Normalny279"/>
              <w:numPr>
                <w:ilvl w:val="0"/>
                <w:numId w:val="24"/>
              </w:numPr>
              <w:tabs>
                <w:tab w:val="clear" w:pos="720"/>
              </w:tabs>
              <w:spacing w:after="0" w:line="240" w:lineRule="auto"/>
              <w:ind w:left="521" w:hanging="357"/>
              <w:jc w:val="left"/>
              <w:rPr>
                <w:noProof/>
              </w:rPr>
            </w:pPr>
            <w:r>
              <w:rPr>
                <w:noProof/>
              </w:rPr>
              <w:t xml:space="preserve">ne dépasse pas </w:t>
            </w:r>
            <w:r>
              <w:rPr>
                <w:rFonts w:eastAsia="Calibri"/>
                <w:noProof/>
                <w:color w:val="000000" w:themeColor="text1"/>
              </w:rPr>
              <w:t>40 000 PLN</w:t>
            </w:r>
            <w:r>
              <w:rPr>
                <w:noProof/>
              </w:rPr>
              <w:t xml:space="preserve"> par bénéficiaire final pour les personnes physiques et les entreprises individuelles. </w:t>
            </w:r>
          </w:p>
          <w:p w14:paraId="1216BF8F" w14:textId="77777777" w:rsidR="003C4798" w:rsidRDefault="00417595">
            <w:pPr>
              <w:pStyle w:val="P68B1DB1-P68B1DB1-Normalny279"/>
              <w:numPr>
                <w:ilvl w:val="0"/>
                <w:numId w:val="24"/>
              </w:numPr>
              <w:tabs>
                <w:tab w:val="clear" w:pos="720"/>
              </w:tabs>
              <w:spacing w:line="240" w:lineRule="auto"/>
              <w:ind w:left="526"/>
              <w:jc w:val="left"/>
              <w:rPr>
                <w:noProof/>
              </w:rPr>
            </w:pPr>
            <w:r>
              <w:rPr>
                <w:noProof/>
              </w:rPr>
              <w:t xml:space="preserve">ne doit pas dépasser </w:t>
            </w:r>
            <w:r>
              <w:rPr>
                <w:rFonts w:eastAsia="Calibri"/>
                <w:noProof/>
                <w:color w:val="000000" w:themeColor="text1"/>
              </w:rPr>
              <w:t>40 000 PLN</w:t>
            </w:r>
            <w:r>
              <w:rPr>
                <w:noProof/>
              </w:rPr>
              <w:t xml:space="preserve"> par véhicule dans le cas des parcs nationaux. </w:t>
            </w:r>
          </w:p>
          <w:p w14:paraId="1216BF90" w14:textId="77777777" w:rsidR="003C4798" w:rsidRDefault="00417595">
            <w:pPr>
              <w:pStyle w:val="P68B1DB1-P68B1DB1-Normalny279"/>
              <w:spacing w:line="240" w:lineRule="auto"/>
              <w:jc w:val="left"/>
              <w:rPr>
                <w:noProof/>
              </w:rPr>
            </w:pPr>
            <w:r>
              <w:rPr>
                <w:noProof/>
              </w:rPr>
              <w:t>Pour les véhicules des catégories M2 et N1, le soutien:</w:t>
            </w:r>
          </w:p>
          <w:p w14:paraId="1216BF91" w14:textId="77777777" w:rsidR="003C4798" w:rsidRDefault="00417595">
            <w:pPr>
              <w:pStyle w:val="P68B1DB1-P68B1DB1-Normalny279"/>
              <w:numPr>
                <w:ilvl w:val="0"/>
                <w:numId w:val="24"/>
              </w:numPr>
              <w:tabs>
                <w:tab w:val="clear" w:pos="720"/>
              </w:tabs>
              <w:spacing w:after="0" w:line="240" w:lineRule="auto"/>
              <w:ind w:left="521" w:hanging="357"/>
              <w:jc w:val="left"/>
              <w:rPr>
                <w:noProof/>
              </w:rPr>
            </w:pPr>
            <w:r>
              <w:rPr>
                <w:noProof/>
              </w:rPr>
              <w:t>sont accordées sous forme de subventions aux entreprises individuelles, aux organisations non gouvernementales, aux établissements et centres de soins et d'enseignement, aux établissements médicaux et éducatifs et aux parcs nationaux.</w:t>
            </w:r>
          </w:p>
          <w:p w14:paraId="1216BF92" w14:textId="77777777" w:rsidR="003C4798" w:rsidRDefault="00417595">
            <w:pPr>
              <w:pStyle w:val="P68B1DB1-P68B1DB1-Normalny279"/>
              <w:numPr>
                <w:ilvl w:val="0"/>
                <w:numId w:val="24"/>
              </w:numPr>
              <w:tabs>
                <w:tab w:val="clear" w:pos="720"/>
              </w:tabs>
              <w:spacing w:line="240" w:lineRule="auto"/>
              <w:ind w:left="526"/>
              <w:jc w:val="left"/>
              <w:rPr>
                <w:noProof/>
              </w:rPr>
            </w:pPr>
            <w:r>
              <w:rPr>
                <w:noProof/>
              </w:rPr>
              <w:t xml:space="preserve">ne </w:t>
            </w:r>
            <w:r>
              <w:rPr>
                <w:rFonts w:eastAsia="Calibri"/>
                <w:noProof/>
                <w:color w:val="000000" w:themeColor="text1"/>
              </w:rPr>
              <w:t>doit pas dépasser 600 000 PLN</w:t>
            </w:r>
            <w:r>
              <w:rPr>
                <w:noProof/>
              </w:rPr>
              <w:t xml:space="preserve"> par véhicule M2 </w:t>
            </w:r>
            <w:r>
              <w:rPr>
                <w:rFonts w:eastAsia="Calibri"/>
                <w:noProof/>
                <w:color w:val="000000" w:themeColor="text1"/>
              </w:rPr>
              <w:t>et 70 000 PLN par véhicule N1.</w:t>
            </w:r>
          </w:p>
        </w:tc>
      </w:tr>
      <w:tr w:rsidR="003C4798" w14:paraId="1216BF9F" w14:textId="77777777" w:rsidTr="00DA6ACB">
        <w:trPr>
          <w:trHeight w:val="545"/>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4" w14:textId="39F6FD29" w:rsidR="003C4798" w:rsidRDefault="00417595">
            <w:pPr>
              <w:pStyle w:val="P68B1DB1-Normal021"/>
              <w:spacing w:line="240" w:lineRule="auto"/>
              <w:jc w:val="center"/>
              <w:rPr>
                <w:noProof/>
              </w:rPr>
            </w:pPr>
            <w:r>
              <w:rPr>
                <w:noProof/>
              </w:rPr>
              <w:t>E4cG</w:t>
            </w:r>
          </w:p>
        </w:tc>
        <w:tc>
          <w:tcPr>
            <w:tcW w:w="14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5" w14:textId="77777777" w:rsidR="003C4798" w:rsidRDefault="00417595">
            <w:pPr>
              <w:pStyle w:val="P68B1DB1-Normal021"/>
              <w:spacing w:after="0" w:line="240" w:lineRule="auto"/>
              <w:rPr>
                <w:noProof/>
              </w:rPr>
            </w:pPr>
            <w:r>
              <w:rPr>
                <w:noProof/>
              </w:rPr>
              <w:t xml:space="preserve">E1.1. Accroissement de l'utilisation de transports respectueux de l'environnement </w:t>
            </w:r>
          </w:p>
        </w:tc>
        <w:tc>
          <w:tcPr>
            <w:tcW w:w="1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6" w14:textId="77777777" w:rsidR="003C4798" w:rsidRDefault="00417595">
            <w:pPr>
              <w:pStyle w:val="Normal0"/>
              <w:spacing w:line="240" w:lineRule="auto"/>
              <w:jc w:val="center"/>
              <w:rPr>
                <w:rFonts w:ascii="Times New Roman" w:hAnsi="Times New Roman" w:cs="Times New Roman"/>
                <w:noProof/>
                <w:sz w:val="18"/>
                <w:szCs w:val="18"/>
              </w:rPr>
            </w:pPr>
            <w:r>
              <w:rPr>
                <w:rStyle w:val="normaltextrun"/>
                <w:rFonts w:ascii="Times New Roman" w:hAnsi="Times New Roman" w:cs="Times New Roman"/>
                <w:noProof/>
                <w:sz w:val="18"/>
                <w:szCs w:val="18"/>
              </w:rPr>
              <w:t>Étape</w:t>
            </w:r>
          </w:p>
        </w:tc>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7" w14:textId="19E2446A" w:rsidR="003C4798" w:rsidRDefault="00417595">
            <w:pPr>
              <w:pStyle w:val="P68B1DB1-Normal021"/>
              <w:spacing w:line="240" w:lineRule="auto"/>
              <w:rPr>
                <w:noProof/>
              </w:rPr>
            </w:pPr>
            <w:r>
              <w:rPr>
                <w:noProof/>
              </w:rPr>
              <w:t xml:space="preserve">Décaissement(s) de fonds </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8" w14:textId="08D5C3B2" w:rsidR="003C4798" w:rsidRDefault="00417595">
            <w:pPr>
              <w:pStyle w:val="P68B1DB1-Normal021"/>
              <w:spacing w:line="240" w:lineRule="auto"/>
              <w:rPr>
                <w:noProof/>
              </w:rPr>
            </w:pPr>
            <w:r>
              <w:rPr>
                <w:noProof/>
              </w:rPr>
              <w:t>Décaissement(s) de fonds</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9" w14:textId="77777777" w:rsidR="003C4798" w:rsidRDefault="003C4798">
            <w:pPr>
              <w:pStyle w:val="Normal0"/>
              <w:spacing w:line="240" w:lineRule="auto"/>
              <w:jc w:val="center"/>
              <w:rPr>
                <w:rFonts w:ascii="Times New Roman" w:eastAsia="Times New Roman" w:hAnsi="Times New Roman" w:cs="Times New Roman"/>
                <w:noProof/>
                <w:sz w:val="18"/>
                <w:szCs w:val="18"/>
              </w:rPr>
            </w:pP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A" w14:textId="77777777" w:rsidR="003C4798" w:rsidRDefault="003C4798">
            <w:pPr>
              <w:pStyle w:val="Normal0"/>
              <w:spacing w:line="240" w:lineRule="auto"/>
              <w:jc w:val="center"/>
              <w:rPr>
                <w:rFonts w:ascii="Times New Roman" w:eastAsia="Times New Roman" w:hAnsi="Times New Roman" w:cs="Times New Roman"/>
                <w:noProof/>
                <w:sz w:val="18"/>
                <w:szCs w:val="18"/>
              </w:rPr>
            </w:pP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B" w14:textId="77777777" w:rsidR="003C4798" w:rsidRDefault="003C4798">
            <w:pPr>
              <w:pStyle w:val="Normal0"/>
              <w:spacing w:line="240" w:lineRule="auto"/>
              <w:jc w:val="center"/>
              <w:rPr>
                <w:rFonts w:ascii="Times New Roman" w:eastAsia="Times New Roman" w:hAnsi="Times New Roman" w:cs="Times New Roman"/>
                <w:noProof/>
                <w:sz w:val="18"/>
                <w:szCs w:val="18"/>
              </w:rPr>
            </w:pPr>
          </w:p>
        </w:tc>
        <w:tc>
          <w:tcPr>
            <w:tcW w:w="10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C" w14:textId="77777777" w:rsidR="003C4798" w:rsidRDefault="00417595">
            <w:pPr>
              <w:pStyle w:val="Normal0"/>
              <w:spacing w:line="240" w:lineRule="auto"/>
              <w:jc w:val="center"/>
              <w:rPr>
                <w:rFonts w:ascii="Times New Roman" w:hAnsi="Times New Roman" w:cs="Times New Roman"/>
                <w:noProof/>
                <w:sz w:val="18"/>
                <w:szCs w:val="18"/>
              </w:rPr>
            </w:pPr>
            <w:r>
              <w:rPr>
                <w:rStyle w:val="normaltextrun"/>
                <w:rFonts w:ascii="Times New Roman" w:hAnsi="Times New Roman" w:cs="Times New Roman"/>
                <w:noProof/>
                <w:sz w:val="18"/>
                <w:szCs w:val="18"/>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D" w14:textId="77777777" w:rsidR="003C4798" w:rsidRDefault="00417595">
            <w:pPr>
              <w:pStyle w:val="Normal0"/>
              <w:spacing w:line="240" w:lineRule="auto"/>
              <w:jc w:val="center"/>
              <w:rPr>
                <w:rFonts w:ascii="Times New Roman" w:hAnsi="Times New Roman" w:cs="Times New Roman"/>
                <w:noProof/>
                <w:sz w:val="18"/>
                <w:szCs w:val="18"/>
              </w:rPr>
            </w:pPr>
            <w:r>
              <w:rPr>
                <w:rStyle w:val="normaltextrun"/>
                <w:rFonts w:ascii="Times New Roman" w:hAnsi="Times New Roman" w:cs="Times New Roman"/>
                <w:noProof/>
                <w:sz w:val="18"/>
                <w:szCs w:val="18"/>
              </w:rPr>
              <w:t>2026</w:t>
            </w:r>
          </w:p>
        </w:tc>
        <w:tc>
          <w:tcPr>
            <w:tcW w:w="36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E" w14:textId="3B408FB1" w:rsidR="003C4798" w:rsidRDefault="00417595">
            <w:pPr>
              <w:pStyle w:val="P68B1DB1-Normal021"/>
              <w:spacing w:after="0" w:line="240" w:lineRule="auto"/>
              <w:rPr>
                <w:noProof/>
              </w:rPr>
            </w:pPr>
            <w:r>
              <w:rPr>
                <w:noProof/>
              </w:rPr>
              <w:t>Un montant de 246 375 000 EUR est versé au titre de l’aide aux véhicules électriques.</w:t>
            </w:r>
          </w:p>
        </w:tc>
      </w:tr>
      <w:tr w:rsidR="003C4798" w14:paraId="1216BFAB" w14:textId="77777777" w:rsidTr="00DA6ACB">
        <w:trPr>
          <w:trHeight w:val="300"/>
          <w:jc w:val="center"/>
        </w:trPr>
        <w:tc>
          <w:tcPr>
            <w:tcW w:w="851" w:type="dxa"/>
            <w:shd w:val="clear" w:color="auto" w:fill="C6EFCE"/>
          </w:tcPr>
          <w:p w14:paraId="1216BFA0"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E5G</w:t>
            </w:r>
          </w:p>
        </w:tc>
        <w:tc>
          <w:tcPr>
            <w:tcW w:w="1432" w:type="dxa"/>
            <w:shd w:val="clear" w:color="auto" w:fill="C6EFCE"/>
          </w:tcPr>
          <w:p w14:paraId="1216BFA1"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E1.1 Augmentation de l ' utilisation de moyens de transport respectueux de l ' environnement</w:t>
            </w:r>
          </w:p>
        </w:tc>
        <w:tc>
          <w:tcPr>
            <w:tcW w:w="1114" w:type="dxa"/>
            <w:shd w:val="clear" w:color="auto" w:fill="C6EFCE"/>
          </w:tcPr>
          <w:p w14:paraId="1216BFA2"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785" w:type="dxa"/>
            <w:shd w:val="clear" w:color="auto" w:fill="C6EFCE"/>
          </w:tcPr>
          <w:p w14:paraId="1216BFA3"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Villes ayant adopté des PMUD</w:t>
            </w:r>
          </w:p>
        </w:tc>
        <w:tc>
          <w:tcPr>
            <w:tcW w:w="1436" w:type="dxa"/>
            <w:shd w:val="clear" w:color="auto" w:fill="C6EFCE"/>
          </w:tcPr>
          <w:p w14:paraId="1216BFA4"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A5"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228" w:type="dxa"/>
            <w:shd w:val="clear" w:color="auto" w:fill="C6EFCE"/>
          </w:tcPr>
          <w:p w14:paraId="1216BFA6"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204" w:type="dxa"/>
            <w:shd w:val="clear" w:color="auto" w:fill="C6EFCE"/>
          </w:tcPr>
          <w:p w14:paraId="1216BFA7"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30</w:t>
            </w:r>
          </w:p>
        </w:tc>
        <w:tc>
          <w:tcPr>
            <w:tcW w:w="1064" w:type="dxa"/>
            <w:shd w:val="clear" w:color="auto" w:fill="C6EFCE"/>
          </w:tcPr>
          <w:p w14:paraId="1216BFA8"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shd w:val="clear" w:color="auto" w:fill="C6EFCE"/>
          </w:tcPr>
          <w:p w14:paraId="1216BFA9"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3613" w:type="dxa"/>
            <w:shd w:val="clear" w:color="auto" w:fill="C6EFCE"/>
          </w:tcPr>
          <w:p w14:paraId="1216BFAA" w14:textId="77777777" w:rsidR="003C4798" w:rsidRDefault="00417595">
            <w:pPr>
              <w:pStyle w:val="P68B1DB1-Normal062"/>
              <w:pBdr>
                <w:top w:val="nil"/>
                <w:left w:val="nil"/>
                <w:bottom w:val="nil"/>
                <w:right w:val="nil"/>
                <w:between w:val="nil"/>
              </w:pBdr>
              <w:spacing w:after="0" w:line="240" w:lineRule="auto"/>
              <w:rPr>
                <w:rFonts w:eastAsia="Times New Roman"/>
                <w:noProof/>
                <w:color w:val="000000" w:themeColor="text1"/>
              </w:rPr>
            </w:pPr>
            <w:r>
              <w:rPr>
                <w:noProof/>
              </w:rPr>
              <w:t xml:space="preserve">Nombre de villes ayant adopté un plan de mobilité urbaine durable. </w:t>
            </w:r>
          </w:p>
        </w:tc>
      </w:tr>
      <w:tr w:rsidR="003C4798" w14:paraId="1216BFB7" w14:textId="77777777" w:rsidTr="00DA6ACB">
        <w:trPr>
          <w:trHeight w:val="300"/>
          <w:jc w:val="center"/>
        </w:trPr>
        <w:tc>
          <w:tcPr>
            <w:tcW w:w="851" w:type="dxa"/>
            <w:shd w:val="clear" w:color="auto" w:fill="C6EFCE"/>
          </w:tcPr>
          <w:p w14:paraId="1216BFAC"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E7G</w:t>
            </w:r>
          </w:p>
        </w:tc>
        <w:tc>
          <w:tcPr>
            <w:tcW w:w="1432" w:type="dxa"/>
            <w:shd w:val="clear" w:color="auto" w:fill="C6EFCE"/>
          </w:tcPr>
          <w:p w14:paraId="1216BFAD"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E1.1 Augmentation de l ' utilisation de moyens de transport respectueux de l ' environnement</w:t>
            </w:r>
          </w:p>
        </w:tc>
        <w:tc>
          <w:tcPr>
            <w:tcW w:w="1114" w:type="dxa"/>
            <w:shd w:val="clear" w:color="auto" w:fill="C6EFCE"/>
          </w:tcPr>
          <w:p w14:paraId="1216BFAE"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785" w:type="dxa"/>
            <w:shd w:val="clear" w:color="auto" w:fill="C6EFCE"/>
          </w:tcPr>
          <w:p w14:paraId="1216BFAF"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Véhicules électriques</w:t>
            </w:r>
          </w:p>
        </w:tc>
        <w:tc>
          <w:tcPr>
            <w:tcW w:w="1436" w:type="dxa"/>
            <w:shd w:val="clear" w:color="auto" w:fill="C6EFCE"/>
          </w:tcPr>
          <w:p w14:paraId="1216BFB0"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B1"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228" w:type="dxa"/>
            <w:shd w:val="clear" w:color="auto" w:fill="C6EFCE"/>
          </w:tcPr>
          <w:p w14:paraId="1216BFB2"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204" w:type="dxa"/>
            <w:shd w:val="clear" w:color="auto" w:fill="C6EFCE"/>
          </w:tcPr>
          <w:p w14:paraId="1216BFB3"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10 041</w:t>
            </w:r>
          </w:p>
        </w:tc>
        <w:tc>
          <w:tcPr>
            <w:tcW w:w="1064" w:type="dxa"/>
            <w:shd w:val="clear" w:color="auto" w:fill="C6EFCE"/>
          </w:tcPr>
          <w:p w14:paraId="1216BFB4"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shd w:val="clear" w:color="auto" w:fill="C6EFCE"/>
          </w:tcPr>
          <w:p w14:paraId="1216BFB5"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13" w:type="dxa"/>
            <w:shd w:val="clear" w:color="auto" w:fill="C6EFCE"/>
          </w:tcPr>
          <w:p w14:paraId="1216BFB6" w14:textId="047A4FBB"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Le nombre minimal de véhicules électriques nouvellement immatriculés en Pologne (voitures, autobus ou véhicules utilitaires lourds) après le 1er février 2020. </w:t>
            </w:r>
          </w:p>
        </w:tc>
      </w:tr>
      <w:tr w:rsidR="003C4798" w14:paraId="1216BFC3" w14:textId="77777777" w:rsidTr="00DA6ACB">
        <w:trPr>
          <w:trHeight w:val="300"/>
          <w:jc w:val="center"/>
        </w:trPr>
        <w:tc>
          <w:tcPr>
            <w:tcW w:w="851" w:type="dxa"/>
            <w:shd w:val="clear" w:color="auto" w:fill="C6EFCE"/>
          </w:tcPr>
          <w:p w14:paraId="1216BFB8" w14:textId="77777777" w:rsidR="003C4798" w:rsidRDefault="00417595">
            <w:pPr>
              <w:pStyle w:val="P68B1DB1-Normal021"/>
              <w:spacing w:after="0" w:line="240" w:lineRule="auto"/>
              <w:jc w:val="center"/>
              <w:rPr>
                <w:rFonts w:eastAsia="Times New Roman"/>
                <w:noProof/>
                <w:color w:val="006100"/>
              </w:rPr>
            </w:pPr>
            <w:r>
              <w:rPr>
                <w:noProof/>
              </w:rPr>
              <w:t>E8G</w:t>
            </w:r>
          </w:p>
        </w:tc>
        <w:tc>
          <w:tcPr>
            <w:tcW w:w="1432" w:type="dxa"/>
            <w:shd w:val="clear" w:color="auto" w:fill="C6EFCE"/>
          </w:tcPr>
          <w:p w14:paraId="1216BFB9" w14:textId="77777777" w:rsidR="003C4798" w:rsidRDefault="00417595">
            <w:pPr>
              <w:pStyle w:val="P68B1DB1-Normal062"/>
              <w:spacing w:after="0" w:line="240" w:lineRule="auto"/>
              <w:rPr>
                <w:rFonts w:eastAsia="Times New Roman"/>
                <w:noProof/>
                <w:color w:val="006100"/>
              </w:rPr>
            </w:pPr>
            <w:r>
              <w:rPr>
                <w:noProof/>
              </w:rPr>
              <w:t>E1.1.1 Soutien à une économie sobre en carbone</w:t>
            </w:r>
          </w:p>
        </w:tc>
        <w:tc>
          <w:tcPr>
            <w:tcW w:w="1114" w:type="dxa"/>
            <w:shd w:val="clear" w:color="auto" w:fill="C6EFCE"/>
          </w:tcPr>
          <w:p w14:paraId="1216BFBA" w14:textId="77777777" w:rsidR="003C4798" w:rsidRDefault="00417595">
            <w:pPr>
              <w:pStyle w:val="P68B1DB1-Normal062"/>
              <w:spacing w:after="0" w:line="240" w:lineRule="auto"/>
              <w:jc w:val="center"/>
              <w:rPr>
                <w:rFonts w:eastAsia="Times New Roman"/>
                <w:noProof/>
                <w:color w:val="006100"/>
              </w:rPr>
            </w:pPr>
            <w:r>
              <w:rPr>
                <w:noProof/>
              </w:rPr>
              <w:t>Étape</w:t>
            </w:r>
          </w:p>
        </w:tc>
        <w:tc>
          <w:tcPr>
            <w:tcW w:w="1785" w:type="dxa"/>
            <w:shd w:val="clear" w:color="auto" w:fill="C6EFCE"/>
          </w:tcPr>
          <w:p w14:paraId="1216BFBB" w14:textId="77777777" w:rsidR="003C4798" w:rsidRDefault="00417595">
            <w:pPr>
              <w:pStyle w:val="P68B1DB1-Normal062"/>
              <w:spacing w:after="0" w:line="240" w:lineRule="auto"/>
              <w:rPr>
                <w:rFonts w:eastAsia="Times New Roman"/>
                <w:noProof/>
                <w:color w:val="006100"/>
              </w:rPr>
            </w:pPr>
            <w:r>
              <w:rPr>
                <w:noProof/>
              </w:rPr>
              <w:t>Mise en place d’un instrument financier (Fonds) pour la mobilité et l’énergie à émissions nulles/faibles</w:t>
            </w:r>
          </w:p>
        </w:tc>
        <w:tc>
          <w:tcPr>
            <w:tcW w:w="1436" w:type="dxa"/>
            <w:shd w:val="clear" w:color="auto" w:fill="C6EFCE"/>
          </w:tcPr>
          <w:p w14:paraId="1216BFBC" w14:textId="77777777" w:rsidR="003C4798" w:rsidRDefault="00417595">
            <w:pPr>
              <w:pStyle w:val="P68B1DB1-Normal062"/>
              <w:spacing w:after="0" w:line="240" w:lineRule="auto"/>
              <w:rPr>
                <w:rFonts w:eastAsia="Times New Roman"/>
                <w:noProof/>
                <w:color w:val="006100"/>
              </w:rPr>
            </w:pPr>
            <w:r>
              <w:rPr>
                <w:noProof/>
              </w:rPr>
              <w:t>Approbation et enregistrement du Fonds, approbation de la stratégie d'investissement par les organes directeurs du Fonds</w:t>
            </w:r>
          </w:p>
        </w:tc>
        <w:tc>
          <w:tcPr>
            <w:tcW w:w="1221" w:type="dxa"/>
            <w:shd w:val="clear" w:color="auto" w:fill="C6EFCE"/>
          </w:tcPr>
          <w:p w14:paraId="1216BFBD" w14:textId="77777777" w:rsidR="003C4798" w:rsidRDefault="003C4798">
            <w:pPr>
              <w:pStyle w:val="Normal0"/>
              <w:spacing w:after="0" w:line="240" w:lineRule="auto"/>
              <w:jc w:val="center"/>
              <w:rPr>
                <w:rFonts w:ascii="Times New Roman" w:eastAsia="Times New Roman" w:hAnsi="Times New Roman" w:cs="Times New Roman"/>
                <w:noProof/>
                <w:color w:val="006100"/>
                <w:sz w:val="18"/>
                <w:szCs w:val="18"/>
              </w:rPr>
            </w:pPr>
          </w:p>
        </w:tc>
        <w:tc>
          <w:tcPr>
            <w:tcW w:w="1228" w:type="dxa"/>
            <w:shd w:val="clear" w:color="auto" w:fill="C6EFCE"/>
          </w:tcPr>
          <w:p w14:paraId="1216BFBE" w14:textId="77777777" w:rsidR="003C4798" w:rsidRDefault="003C4798">
            <w:pPr>
              <w:pStyle w:val="Normal0"/>
              <w:spacing w:after="0" w:line="240" w:lineRule="auto"/>
              <w:jc w:val="center"/>
              <w:rPr>
                <w:rFonts w:ascii="Times New Roman" w:eastAsia="Times New Roman" w:hAnsi="Times New Roman" w:cs="Times New Roman"/>
                <w:noProof/>
                <w:color w:val="006100"/>
                <w:sz w:val="18"/>
                <w:szCs w:val="18"/>
              </w:rPr>
            </w:pPr>
          </w:p>
        </w:tc>
        <w:tc>
          <w:tcPr>
            <w:tcW w:w="1204" w:type="dxa"/>
            <w:shd w:val="clear" w:color="auto" w:fill="C6EFCE"/>
          </w:tcPr>
          <w:p w14:paraId="1216BFBF" w14:textId="77777777" w:rsidR="003C4798" w:rsidRDefault="003C4798">
            <w:pPr>
              <w:pStyle w:val="Normal0"/>
              <w:spacing w:after="0" w:line="240" w:lineRule="auto"/>
              <w:jc w:val="center"/>
              <w:rPr>
                <w:rFonts w:ascii="Times New Roman" w:eastAsia="Times New Roman" w:hAnsi="Times New Roman" w:cs="Times New Roman"/>
                <w:noProof/>
                <w:color w:val="006100"/>
                <w:sz w:val="18"/>
                <w:szCs w:val="18"/>
              </w:rPr>
            </w:pPr>
          </w:p>
        </w:tc>
        <w:tc>
          <w:tcPr>
            <w:tcW w:w="1064" w:type="dxa"/>
            <w:shd w:val="clear" w:color="auto" w:fill="C6EFCE"/>
          </w:tcPr>
          <w:p w14:paraId="1216BFC0" w14:textId="77777777" w:rsidR="003C4798" w:rsidRDefault="00417595">
            <w:pPr>
              <w:pStyle w:val="P68B1DB1-Normal062"/>
              <w:spacing w:after="0" w:line="240" w:lineRule="auto"/>
              <w:jc w:val="center"/>
              <w:rPr>
                <w:rFonts w:eastAsia="Times New Roman"/>
                <w:noProof/>
                <w:color w:val="006100"/>
              </w:rPr>
            </w:pPr>
            <w:r>
              <w:rPr>
                <w:noProof/>
              </w:rPr>
              <w:t>T2</w:t>
            </w:r>
          </w:p>
        </w:tc>
        <w:tc>
          <w:tcPr>
            <w:tcW w:w="851" w:type="dxa"/>
            <w:shd w:val="clear" w:color="auto" w:fill="C6EFCE"/>
          </w:tcPr>
          <w:p w14:paraId="1216BFC1" w14:textId="77777777" w:rsidR="003C4798" w:rsidRDefault="00417595">
            <w:pPr>
              <w:pStyle w:val="P68B1DB1-Normal062"/>
              <w:spacing w:after="0" w:line="240" w:lineRule="auto"/>
              <w:jc w:val="center"/>
              <w:rPr>
                <w:rFonts w:eastAsia="Times New Roman"/>
                <w:noProof/>
                <w:color w:val="006100"/>
              </w:rPr>
            </w:pPr>
            <w:r>
              <w:rPr>
                <w:noProof/>
              </w:rPr>
              <w:t>2022</w:t>
            </w:r>
          </w:p>
        </w:tc>
        <w:tc>
          <w:tcPr>
            <w:tcW w:w="3613" w:type="dxa"/>
            <w:shd w:val="clear" w:color="auto" w:fill="C6EFCE"/>
          </w:tcPr>
          <w:p w14:paraId="1216BFC2" w14:textId="072597E7" w:rsidR="003C4798" w:rsidRDefault="00417595">
            <w:pPr>
              <w:pStyle w:val="P68B1DB1-Normal34"/>
              <w:spacing w:after="0" w:line="240" w:lineRule="auto"/>
              <w:rPr>
                <w:noProof/>
              </w:rPr>
            </w:pPr>
            <w:r>
              <w:rPr>
                <w:noProof/>
              </w:rPr>
              <w:t>Mise en place de l’instrument financier («Fonds») pour soutenir l’économie à faibles émissions en Pologne, y compris la stratégie/politique d’investissement connexe. Ces dernières sont adoptées par les organes directeurs du Fonds, sont conformes à la note d’orientation de la Commission du 22 janvier 2021 relative aux instruments financiers et comprennent des critères de sélection visant à garantir la conformité avec les orientations techniques «Ne pas causer de préjudice important» (2021/C 58/01) des opérations bénéficiant d’un soutien au titre de la présente mesure grâce à l’utilisation d’une évaluation de la durabilité, d’une liste d’exclusion et de l’exigence de conformité avec la législation environnementale pertinente de l’Union et nationale. En particulier, la conformité des investissements bénéficiant d’un soutien avec l’article 6, paragraphe 3, et l’article 12 de la directive «Habitats», ainsi qu’avec l’article 5 de la directive «Oiseaux», est assurée et, si nécessaire, une évaluation des incidences sur l’environnement (EIE) ou un examen préalable est effectué, conformément à la directive EIE. Le Fonds fournit des instruments financiers (fonds propres ou dette) pour soutenir des projets d’investissement liés aux processus de recherche et d’innovation, au transfert de technologies et à la coopération entre entreprises axées sur l’économie à faible intensité de carbone, la résilience et l’adaptation au changement climatique, en mettant l’accent sur des solutions innovantes à émissions faibles ou nulles dans le domaine de la mobilité durable et des sources d’énergie à émissions nulles ou faibles (à l’exclusion du gaz naturel comprimé et du gaz naturel liquéfié), principalement mises en œuvre par des PME et des entreprises à moyenne capitalisation. La gestion du Fonds est confiée à un gestionnaire du Fonds sélectionné au moyen d'un appel d'offres ouvert. Le comité d'investissement du Fonds est institué et chargé d'approuver les projets des bénéficiaires finaux (investisseurs) proposés par le gestionnaire du Fonds sur la base des besoins du marché et d'une manière ouverte et conforme au marché. La structure du Fonds permet de mobiliser des fonds privés. Les actes juridiques sous-jacents garantissent que tout remboursement (c’est-à-dire les intérêts sur le prêt, le rendement des fonds propres ou le principal remboursé, moins les coûts associés) lié à ces instruments est utilisé pour les mêmes objectifs stratégiques, y compris au-delà de 2026, ou pour rembourser les prêts au titre de la FRR.</w:t>
            </w:r>
          </w:p>
        </w:tc>
      </w:tr>
      <w:tr w:rsidR="003C4798" w14:paraId="1216BFD0" w14:textId="77777777" w:rsidTr="00DA6ACB">
        <w:trPr>
          <w:trHeight w:val="1507"/>
          <w:jc w:val="center"/>
        </w:trPr>
        <w:tc>
          <w:tcPr>
            <w:tcW w:w="851" w:type="dxa"/>
            <w:shd w:val="clear" w:color="auto" w:fill="C6EFCE"/>
          </w:tcPr>
          <w:p w14:paraId="1216BFC4"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E14G</w:t>
            </w:r>
          </w:p>
        </w:tc>
        <w:tc>
          <w:tcPr>
            <w:tcW w:w="1432" w:type="dxa"/>
            <w:shd w:val="clear" w:color="auto" w:fill="C6EFCE"/>
          </w:tcPr>
          <w:p w14:paraId="1216BFC5" w14:textId="4841378F"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E1.1.2 Autobus et tramways à émissions nulles et faibles</w:t>
            </w:r>
          </w:p>
        </w:tc>
        <w:tc>
          <w:tcPr>
            <w:tcW w:w="1114" w:type="dxa"/>
            <w:shd w:val="clear" w:color="auto" w:fill="C6EFCE"/>
          </w:tcPr>
          <w:p w14:paraId="1216BFC6"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785" w:type="dxa"/>
            <w:shd w:val="clear" w:color="auto" w:fill="C6EFCE"/>
          </w:tcPr>
          <w:p w14:paraId="1216BFC7" w14:textId="08FD3D19"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Bus et tramways à émissions nulles et faibles</w:t>
            </w:r>
          </w:p>
        </w:tc>
        <w:tc>
          <w:tcPr>
            <w:tcW w:w="1436" w:type="dxa"/>
            <w:shd w:val="clear" w:color="auto" w:fill="C6EFCE"/>
          </w:tcPr>
          <w:p w14:paraId="1216BFC8"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C9"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228" w:type="dxa"/>
            <w:shd w:val="clear" w:color="auto" w:fill="C6EFCE"/>
          </w:tcPr>
          <w:p w14:paraId="1216BFCA"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204" w:type="dxa"/>
            <w:shd w:val="clear" w:color="auto" w:fill="C6EFCE"/>
          </w:tcPr>
          <w:p w14:paraId="1216BFCB"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388</w:t>
            </w:r>
          </w:p>
        </w:tc>
        <w:tc>
          <w:tcPr>
            <w:tcW w:w="1064" w:type="dxa"/>
            <w:shd w:val="clear" w:color="auto" w:fill="C6EFCE"/>
          </w:tcPr>
          <w:p w14:paraId="1216BFCC" w14:textId="77777777" w:rsidR="003C4798" w:rsidRDefault="00417595">
            <w:pPr>
              <w:pStyle w:val="P68B1DB1-Normal062"/>
              <w:spacing w:after="0" w:line="240" w:lineRule="auto"/>
              <w:jc w:val="center"/>
              <w:rPr>
                <w:rFonts w:eastAsia="Times New Roman"/>
                <w:noProof/>
                <w:color w:val="006100"/>
              </w:rPr>
            </w:pPr>
            <w:r>
              <w:rPr>
                <w:noProof/>
              </w:rPr>
              <w:t>T3</w:t>
            </w:r>
          </w:p>
        </w:tc>
        <w:tc>
          <w:tcPr>
            <w:tcW w:w="851" w:type="dxa"/>
            <w:shd w:val="clear" w:color="auto" w:fill="C6EFCE"/>
          </w:tcPr>
          <w:p w14:paraId="1216BFCD"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13" w:type="dxa"/>
            <w:shd w:val="clear" w:color="auto" w:fill="C6EFCE"/>
          </w:tcPr>
          <w:p w14:paraId="23C8C412" w14:textId="09909849" w:rsidR="003C4798" w:rsidRDefault="00417595">
            <w:pPr>
              <w:pStyle w:val="P68B1DB1-Normal75"/>
              <w:spacing w:after="0" w:line="240" w:lineRule="auto"/>
              <w:rPr>
                <w:noProof/>
                <w:color w:val="000000" w:themeColor="text1"/>
              </w:rPr>
            </w:pPr>
            <w:r>
              <w:rPr>
                <w:noProof/>
              </w:rPr>
              <w:t>Acceptation et/ou livraison d’au moins 356 bus à émission nulle (c’est-à-dire électriques ou à hydrogène) ou à faibles émissions (c’est-à-dire hybrides, tels que VHE/VHEH ou VHE rechargeables, ou alimentés au gaz, tels que NLG, PLG ou CNG).</w:t>
            </w:r>
          </w:p>
          <w:p w14:paraId="28BA75C3" w14:textId="144485AC" w:rsidR="003C4798" w:rsidRDefault="00417595">
            <w:pPr>
              <w:pStyle w:val="P68B1DB1-Normal75"/>
              <w:spacing w:after="0" w:line="240" w:lineRule="auto"/>
              <w:rPr>
                <w:noProof/>
                <w:color w:val="000000" w:themeColor="text1"/>
              </w:rPr>
            </w:pPr>
            <w:r>
              <w:rPr>
                <w:noProof/>
              </w:rPr>
              <w:t xml:space="preserve"> </w:t>
            </w:r>
          </w:p>
          <w:p w14:paraId="1216BFCF" w14:textId="4E658C0C" w:rsidR="003C4798" w:rsidRDefault="00417595">
            <w:pPr>
              <w:pStyle w:val="P68B1DB1-Normal75"/>
              <w:spacing w:after="0" w:line="240" w:lineRule="auto"/>
              <w:rPr>
                <w:noProof/>
                <w:color w:val="000000" w:themeColor="text1"/>
              </w:rPr>
            </w:pPr>
            <w:r>
              <w:rPr>
                <w:noProof/>
              </w:rPr>
              <w:t>Au moins 32 tramways acceptés et/ou livrés ou déclarés prêts à être réceptionnés.</w:t>
            </w:r>
          </w:p>
        </w:tc>
      </w:tr>
      <w:tr w:rsidR="003C4798" w14:paraId="1216BFDC" w14:textId="77777777" w:rsidTr="00DA6ACB">
        <w:trPr>
          <w:trHeight w:val="300"/>
          <w:jc w:val="center"/>
        </w:trPr>
        <w:tc>
          <w:tcPr>
            <w:tcW w:w="851" w:type="dxa"/>
            <w:shd w:val="clear" w:color="auto" w:fill="C6EFCE"/>
          </w:tcPr>
          <w:p w14:paraId="1216BFD1"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E15G</w:t>
            </w:r>
          </w:p>
        </w:tc>
        <w:tc>
          <w:tcPr>
            <w:tcW w:w="1432" w:type="dxa"/>
            <w:shd w:val="clear" w:color="auto" w:fill="C6EFCE"/>
          </w:tcPr>
          <w:p w14:paraId="1216BFD2"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E2.1 Renforcer la compétitivité du secteur ferroviaire</w:t>
            </w:r>
          </w:p>
        </w:tc>
        <w:tc>
          <w:tcPr>
            <w:tcW w:w="1114" w:type="dxa"/>
            <w:shd w:val="clear" w:color="auto" w:fill="C6EFCE"/>
          </w:tcPr>
          <w:p w14:paraId="1216BFD3"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785" w:type="dxa"/>
            <w:shd w:val="clear" w:color="auto" w:fill="C6EFCE"/>
          </w:tcPr>
          <w:p w14:paraId="1216BFD4"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Entrée en vigueur d’un acte modifiant la loi sur le transport ferroviaire afin de garantir la résilience des opérateurs ferroviaires. Décision ministérielle sur l’établissement de priorités pour le transport intermodal et sur la suppression des goulets d’étranglement afin de renforcer la capacité des chemins de fer</w:t>
            </w:r>
          </w:p>
        </w:tc>
        <w:tc>
          <w:tcPr>
            <w:tcW w:w="1436" w:type="dxa"/>
            <w:shd w:val="clear" w:color="auto" w:fill="C6EFCE"/>
          </w:tcPr>
          <w:p w14:paraId="1216BFD5" w14:textId="4C15AF03" w:rsidR="003C4798" w:rsidRDefault="00417595">
            <w:pPr>
              <w:pStyle w:val="P68B1DB1-Normal062"/>
              <w:pBdr>
                <w:top w:val="nil"/>
                <w:left w:val="nil"/>
                <w:bottom w:val="nil"/>
                <w:right w:val="nil"/>
                <w:between w:val="nil"/>
              </w:pBdr>
              <w:spacing w:after="0" w:line="240" w:lineRule="auto"/>
              <w:rPr>
                <w:noProof/>
                <w:color w:val="006100"/>
              </w:rPr>
            </w:pPr>
            <w:r>
              <w:rPr>
                <w:noProof/>
              </w:rPr>
              <w:t>Disposition de la loi modifiant la loi sur le transport ferroviaire indiquant son entrée en vigueur et adoption d’une décision du ministre des infrastructures sur les goulets d’étranglement</w:t>
            </w:r>
          </w:p>
        </w:tc>
        <w:tc>
          <w:tcPr>
            <w:tcW w:w="1221" w:type="dxa"/>
            <w:shd w:val="clear" w:color="auto" w:fill="C6EFCE"/>
          </w:tcPr>
          <w:p w14:paraId="1216BFD6"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28" w:type="dxa"/>
            <w:shd w:val="clear" w:color="auto" w:fill="C6EFCE"/>
          </w:tcPr>
          <w:p w14:paraId="1216BFD7"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204" w:type="dxa"/>
            <w:shd w:val="clear" w:color="auto" w:fill="C6EFCE"/>
          </w:tcPr>
          <w:p w14:paraId="1216BFD8"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064" w:type="dxa"/>
            <w:shd w:val="clear" w:color="auto" w:fill="C6EFCE"/>
          </w:tcPr>
          <w:p w14:paraId="1216BFD9"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T4</w:t>
            </w:r>
          </w:p>
        </w:tc>
        <w:tc>
          <w:tcPr>
            <w:tcW w:w="851" w:type="dxa"/>
            <w:shd w:val="clear" w:color="auto" w:fill="C6EFCE"/>
          </w:tcPr>
          <w:p w14:paraId="1216BFDA"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2022</w:t>
            </w:r>
          </w:p>
        </w:tc>
        <w:tc>
          <w:tcPr>
            <w:tcW w:w="3613" w:type="dxa"/>
            <w:shd w:val="clear" w:color="auto" w:fill="C6EFCE"/>
          </w:tcPr>
          <w:p w14:paraId="1216BFDB" w14:textId="77777777" w:rsidR="003C4798" w:rsidRDefault="00417595">
            <w:pPr>
              <w:pStyle w:val="P68B1DB1-Normal062"/>
              <w:spacing w:after="0" w:line="240" w:lineRule="auto"/>
              <w:rPr>
                <w:noProof/>
                <w:color w:val="006100"/>
              </w:rPr>
            </w:pPr>
            <w:r>
              <w:rPr>
                <w:noProof/>
              </w:rPr>
              <w:t>Un acte législatif modifiant la loi sur le transport ferroviaire permet aux gestionnaires de l'infrastructure de réduire les redevances d'accès à l'infrastructure et d'indemniser les gestionnaires de l'infrastructure pour les réductions de redevances. Le développement du transport intermodal est encouragé par les mesures suivantes: la planification, la coordination des programmes, l'innovation, les investissements, conduisant à une capacité intermodale accrue, ainsi que la mise en place d'une unité intermodale au sein du ministère des infrastructures. L'état du réseau sera analysé en mettant l'accent sur les goulets d'étranglement et une décision sera prise par le ministre des infrastructures sur les priorités pour la suppression des goulets d'étranglement, conduisant à l'augmentation de la capacité ferroviaire.</w:t>
            </w:r>
          </w:p>
        </w:tc>
      </w:tr>
      <w:tr w:rsidR="003C4798" w14:paraId="1216BFE8" w14:textId="77777777" w:rsidTr="00DA6ACB">
        <w:trPr>
          <w:trHeight w:val="300"/>
          <w:jc w:val="center"/>
        </w:trPr>
        <w:tc>
          <w:tcPr>
            <w:tcW w:w="851" w:type="dxa"/>
            <w:shd w:val="clear" w:color="auto" w:fill="C6EFCE"/>
          </w:tcPr>
          <w:p w14:paraId="1216BFDD"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E16G</w:t>
            </w:r>
          </w:p>
        </w:tc>
        <w:tc>
          <w:tcPr>
            <w:tcW w:w="1432" w:type="dxa"/>
            <w:shd w:val="clear" w:color="auto" w:fill="C6EFCE"/>
          </w:tcPr>
          <w:p w14:paraId="1216BFDE"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E2.1 Renforcer la compétitivité du secteur ferroviaire</w:t>
            </w:r>
          </w:p>
        </w:tc>
        <w:tc>
          <w:tcPr>
            <w:tcW w:w="1114" w:type="dxa"/>
            <w:shd w:val="clear" w:color="auto" w:fill="C6EFCE"/>
          </w:tcPr>
          <w:p w14:paraId="1216BFDF"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785" w:type="dxa"/>
            <w:shd w:val="clear" w:color="auto" w:fill="C6EFCE"/>
          </w:tcPr>
          <w:p w14:paraId="1216BFE0" w14:textId="29B12E06" w:rsidR="003C4798" w:rsidRDefault="00417595">
            <w:pPr>
              <w:pStyle w:val="P68B1DB1-Normal062"/>
              <w:pBdr>
                <w:top w:val="nil"/>
                <w:left w:val="nil"/>
                <w:bottom w:val="nil"/>
                <w:right w:val="nil"/>
                <w:between w:val="nil"/>
              </w:pBdr>
              <w:spacing w:after="0" w:line="240" w:lineRule="auto"/>
              <w:rPr>
                <w:rFonts w:eastAsia="Times New Roman"/>
                <w:noProof/>
              </w:rPr>
            </w:pPr>
            <w:r>
              <w:rPr>
                <w:noProof/>
              </w:rPr>
              <w:t xml:space="preserve">Mise en place d'un système de péage sur les nouvelles routes </w:t>
            </w:r>
          </w:p>
        </w:tc>
        <w:tc>
          <w:tcPr>
            <w:tcW w:w="1436" w:type="dxa"/>
            <w:shd w:val="clear" w:color="auto" w:fill="C6EFCE"/>
          </w:tcPr>
          <w:p w14:paraId="1216BFE1"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E2"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kilomètres</w:t>
            </w:r>
          </w:p>
        </w:tc>
        <w:tc>
          <w:tcPr>
            <w:tcW w:w="1228" w:type="dxa"/>
            <w:shd w:val="clear" w:color="auto" w:fill="C6EFCE"/>
          </w:tcPr>
          <w:p w14:paraId="1216BFE3"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204" w:type="dxa"/>
            <w:shd w:val="clear" w:color="auto" w:fill="C6EFCE"/>
          </w:tcPr>
          <w:p w14:paraId="1216BFE4"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1 400</w:t>
            </w:r>
          </w:p>
        </w:tc>
        <w:tc>
          <w:tcPr>
            <w:tcW w:w="1064" w:type="dxa"/>
            <w:shd w:val="clear" w:color="auto" w:fill="C6EFCE"/>
          </w:tcPr>
          <w:p w14:paraId="1216BFE5"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shd w:val="clear" w:color="auto" w:fill="C6EFCE"/>
          </w:tcPr>
          <w:p w14:paraId="1216BFE6" w14:textId="77777777" w:rsidR="003C4798" w:rsidRDefault="00417595">
            <w:pPr>
              <w:pStyle w:val="P68B1DB1-Normal062"/>
              <w:spacing w:after="0" w:line="240" w:lineRule="auto"/>
              <w:jc w:val="center"/>
              <w:rPr>
                <w:rFonts w:eastAsia="Times New Roman"/>
                <w:noProof/>
                <w:color w:val="006100"/>
              </w:rPr>
            </w:pPr>
            <w:r>
              <w:rPr>
                <w:noProof/>
              </w:rPr>
              <w:t>2024</w:t>
            </w:r>
          </w:p>
        </w:tc>
        <w:tc>
          <w:tcPr>
            <w:tcW w:w="3613" w:type="dxa"/>
            <w:shd w:val="clear" w:color="auto" w:fill="C6EFCE"/>
          </w:tcPr>
          <w:p w14:paraId="1216BFE7"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Longueur des nouvelles routes soumises au système de péage, couvrant à la fois les autoroutes et les voies rapides.</w:t>
            </w:r>
          </w:p>
        </w:tc>
      </w:tr>
      <w:tr w:rsidR="003C4798" w14:paraId="1216BFF4" w14:textId="77777777" w:rsidTr="00DA6ACB">
        <w:trPr>
          <w:trHeight w:val="300"/>
          <w:jc w:val="center"/>
        </w:trPr>
        <w:tc>
          <w:tcPr>
            <w:tcW w:w="851" w:type="dxa"/>
            <w:shd w:val="clear" w:color="auto" w:fill="C6EFCE"/>
          </w:tcPr>
          <w:p w14:paraId="1216BFE9"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E17G</w:t>
            </w:r>
          </w:p>
        </w:tc>
        <w:tc>
          <w:tcPr>
            <w:tcW w:w="1432" w:type="dxa"/>
            <w:shd w:val="clear" w:color="auto" w:fill="C6EFCE"/>
          </w:tcPr>
          <w:p w14:paraId="1216BFEA"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E2.1.1 Lignes de chemin de fer</w:t>
            </w:r>
          </w:p>
        </w:tc>
        <w:tc>
          <w:tcPr>
            <w:tcW w:w="1114" w:type="dxa"/>
            <w:shd w:val="clear" w:color="auto" w:fill="C6EFCE"/>
          </w:tcPr>
          <w:p w14:paraId="1216BFEB"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785" w:type="dxa"/>
            <w:shd w:val="clear" w:color="auto" w:fill="C6EFCE"/>
          </w:tcPr>
          <w:p w14:paraId="1216BFEC" w14:textId="77777777"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Signature des contrats</w:t>
            </w:r>
          </w:p>
        </w:tc>
        <w:tc>
          <w:tcPr>
            <w:tcW w:w="1436" w:type="dxa"/>
            <w:shd w:val="clear" w:color="auto" w:fill="C6EFCE"/>
          </w:tcPr>
          <w:p w14:paraId="1216BFED"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Contrats signés </w:t>
            </w:r>
          </w:p>
        </w:tc>
        <w:tc>
          <w:tcPr>
            <w:tcW w:w="1221" w:type="dxa"/>
            <w:shd w:val="clear" w:color="auto" w:fill="C6EFCE"/>
          </w:tcPr>
          <w:p w14:paraId="1216BFEE"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28" w:type="dxa"/>
            <w:shd w:val="clear" w:color="auto" w:fill="C6EFCE"/>
          </w:tcPr>
          <w:p w14:paraId="1216BFEF"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04" w:type="dxa"/>
            <w:shd w:val="clear" w:color="auto" w:fill="C6EFCE"/>
          </w:tcPr>
          <w:p w14:paraId="1216BFF0"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64" w:type="dxa"/>
            <w:shd w:val="clear" w:color="auto" w:fill="C6EFCE"/>
          </w:tcPr>
          <w:p w14:paraId="1216BFF1"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shd w:val="clear" w:color="auto" w:fill="C6EFCE"/>
          </w:tcPr>
          <w:p w14:paraId="1216BFF2"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2024</w:t>
            </w:r>
          </w:p>
        </w:tc>
        <w:tc>
          <w:tcPr>
            <w:tcW w:w="3613" w:type="dxa"/>
            <w:shd w:val="clear" w:color="auto" w:fill="C6EFCE"/>
          </w:tcPr>
          <w:p w14:paraId="1216BFF3" w14:textId="77777777" w:rsidR="003C4798" w:rsidRDefault="00417595">
            <w:pPr>
              <w:pStyle w:val="P68B1DB1-Normal062"/>
              <w:spacing w:after="0" w:line="240" w:lineRule="auto"/>
              <w:rPr>
                <w:rFonts w:eastAsia="Times New Roman"/>
                <w:noProof/>
                <w:color w:val="006100"/>
              </w:rPr>
            </w:pPr>
            <w:r>
              <w:rPr>
                <w:noProof/>
              </w:rPr>
              <w:t>Contrats signés pour des travaux sur au moins 500 km de lignes ferroviaires.</w:t>
            </w:r>
          </w:p>
        </w:tc>
      </w:tr>
      <w:tr w:rsidR="003C4798" w14:paraId="1216C000" w14:textId="77777777" w:rsidTr="00DA6ACB">
        <w:trPr>
          <w:trHeight w:val="300"/>
          <w:jc w:val="center"/>
        </w:trPr>
        <w:tc>
          <w:tcPr>
            <w:tcW w:w="851" w:type="dxa"/>
            <w:shd w:val="clear" w:color="auto" w:fill="C6EFCE"/>
          </w:tcPr>
          <w:p w14:paraId="1216BFF5"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E18G</w:t>
            </w:r>
          </w:p>
        </w:tc>
        <w:tc>
          <w:tcPr>
            <w:tcW w:w="1432" w:type="dxa"/>
            <w:shd w:val="clear" w:color="auto" w:fill="C6EFCE"/>
          </w:tcPr>
          <w:p w14:paraId="1216BFF6" w14:textId="0AF68024"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E2.1.1 Lignes de chemin de fer</w:t>
            </w:r>
          </w:p>
        </w:tc>
        <w:tc>
          <w:tcPr>
            <w:tcW w:w="1114" w:type="dxa"/>
            <w:shd w:val="clear" w:color="auto" w:fill="C6EFCE"/>
          </w:tcPr>
          <w:p w14:paraId="1216BFF7"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785" w:type="dxa"/>
            <w:shd w:val="clear" w:color="auto" w:fill="C6EFCE"/>
          </w:tcPr>
          <w:p w14:paraId="1216BFF8" w14:textId="62989EEF" w:rsidR="003C4798" w:rsidRDefault="00417595">
            <w:pPr>
              <w:pStyle w:val="P68B1DB1-Normal062"/>
              <w:spacing w:after="0" w:line="240" w:lineRule="auto"/>
              <w:rPr>
                <w:noProof/>
                <w:color w:val="000000" w:themeColor="text1"/>
              </w:rPr>
            </w:pPr>
            <w:r>
              <w:rPr>
                <w:noProof/>
              </w:rPr>
              <w:t>Travaux sur 500 km de lignes ferroviaires</w:t>
            </w:r>
          </w:p>
        </w:tc>
        <w:tc>
          <w:tcPr>
            <w:tcW w:w="1436" w:type="dxa"/>
            <w:shd w:val="clear" w:color="auto" w:fill="C6EFCE"/>
          </w:tcPr>
          <w:p w14:paraId="1216BFF9"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BFFA"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228" w:type="dxa"/>
            <w:shd w:val="clear" w:color="auto" w:fill="C6EFCE"/>
          </w:tcPr>
          <w:p w14:paraId="1216BFFB"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204" w:type="dxa"/>
            <w:shd w:val="clear" w:color="auto" w:fill="C6EFCE"/>
          </w:tcPr>
          <w:p w14:paraId="1216BFFC"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500</w:t>
            </w:r>
          </w:p>
        </w:tc>
        <w:tc>
          <w:tcPr>
            <w:tcW w:w="1064" w:type="dxa"/>
            <w:shd w:val="clear" w:color="auto" w:fill="C6EFCE"/>
          </w:tcPr>
          <w:p w14:paraId="1216BFFD"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51" w:type="dxa"/>
            <w:shd w:val="clear" w:color="auto" w:fill="C6EFCE"/>
          </w:tcPr>
          <w:p w14:paraId="1216BFFE"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13" w:type="dxa"/>
            <w:shd w:val="clear" w:color="auto" w:fill="C6EFCE"/>
          </w:tcPr>
          <w:p w14:paraId="1216BFFF" w14:textId="00B83FD0" w:rsidR="003C4798" w:rsidRDefault="00417595">
            <w:pPr>
              <w:pStyle w:val="P68B1DB1-Normal062"/>
              <w:spacing w:after="0" w:line="240" w:lineRule="auto"/>
              <w:rPr>
                <w:noProof/>
                <w:color w:val="000000" w:themeColor="text1"/>
              </w:rPr>
            </w:pPr>
            <w:r>
              <w:rPr>
                <w:noProof/>
              </w:rPr>
              <w:t>Réception (technique) des travaux, pour au moins une des succursales: infrastructures, signalisation ou énergie, sur au moins 500 km de lignes ferroviaires.</w:t>
            </w:r>
          </w:p>
        </w:tc>
      </w:tr>
      <w:tr w:rsidR="003C4798" w14:paraId="1216C00C" w14:textId="77777777" w:rsidTr="00DA6ACB">
        <w:trPr>
          <w:trHeight w:val="300"/>
          <w:jc w:val="center"/>
        </w:trPr>
        <w:tc>
          <w:tcPr>
            <w:tcW w:w="851" w:type="dxa"/>
            <w:shd w:val="clear" w:color="auto" w:fill="C6EFCE"/>
          </w:tcPr>
          <w:p w14:paraId="1216C001" w14:textId="77777777" w:rsidR="003C4798" w:rsidRDefault="00417595">
            <w:pPr>
              <w:pStyle w:val="P68B1DB1-Normal021"/>
              <w:spacing w:line="240" w:lineRule="auto"/>
              <w:jc w:val="center"/>
              <w:rPr>
                <w:noProof/>
              </w:rPr>
            </w:pPr>
            <w:r>
              <w:rPr>
                <w:noProof/>
              </w:rPr>
              <w:t>E18aG</w:t>
            </w:r>
          </w:p>
        </w:tc>
        <w:tc>
          <w:tcPr>
            <w:tcW w:w="1432" w:type="dxa"/>
            <w:shd w:val="clear" w:color="auto" w:fill="C6EFCE"/>
          </w:tcPr>
          <w:p w14:paraId="1216C002" w14:textId="2D9EA884" w:rsidR="003C4798" w:rsidRDefault="00417595">
            <w:pPr>
              <w:pStyle w:val="P68B1DB1-Normal062"/>
              <w:spacing w:after="0" w:line="240" w:lineRule="auto"/>
              <w:rPr>
                <w:rFonts w:eastAsia="Times New Roman"/>
                <w:noProof/>
                <w:color w:val="006100"/>
              </w:rPr>
            </w:pPr>
            <w:r>
              <w:rPr>
                <w:noProof/>
              </w:rPr>
              <w:t>E2.1.1 Lignes de chemin de fer</w:t>
            </w:r>
          </w:p>
        </w:tc>
        <w:tc>
          <w:tcPr>
            <w:tcW w:w="1114" w:type="dxa"/>
            <w:shd w:val="clear" w:color="auto" w:fill="C6EFCE"/>
          </w:tcPr>
          <w:p w14:paraId="1216C003" w14:textId="77777777" w:rsidR="003C4798" w:rsidRDefault="00417595">
            <w:pPr>
              <w:pStyle w:val="P68B1DB1-Normal062"/>
              <w:spacing w:after="0" w:line="240" w:lineRule="auto"/>
              <w:jc w:val="center"/>
              <w:rPr>
                <w:noProof/>
                <w:color w:val="000000" w:themeColor="text1"/>
              </w:rPr>
            </w:pPr>
            <w:r>
              <w:rPr>
                <w:noProof/>
              </w:rPr>
              <w:t>Objectif</w:t>
            </w:r>
          </w:p>
        </w:tc>
        <w:tc>
          <w:tcPr>
            <w:tcW w:w="1785" w:type="dxa"/>
            <w:shd w:val="clear" w:color="auto" w:fill="C6EFCE"/>
          </w:tcPr>
          <w:p w14:paraId="1216C004" w14:textId="3813D3B4" w:rsidR="003C4798" w:rsidRDefault="00417595">
            <w:pPr>
              <w:pStyle w:val="P68B1DB1-Normal062"/>
              <w:spacing w:line="240" w:lineRule="auto"/>
              <w:rPr>
                <w:noProof/>
                <w:color w:val="000000" w:themeColor="text1"/>
              </w:rPr>
            </w:pPr>
            <w:r>
              <w:rPr>
                <w:noProof/>
              </w:rPr>
              <w:t xml:space="preserve">Travaux sur 180 passages à niveau ou autres goulets d'étranglement </w:t>
            </w:r>
          </w:p>
        </w:tc>
        <w:tc>
          <w:tcPr>
            <w:tcW w:w="1436" w:type="dxa"/>
            <w:shd w:val="clear" w:color="auto" w:fill="C6EFCE"/>
          </w:tcPr>
          <w:p w14:paraId="1216C005" w14:textId="77777777" w:rsidR="003C4798" w:rsidRDefault="003C4798">
            <w:pPr>
              <w:pStyle w:val="Normal0"/>
              <w:spacing w:line="240" w:lineRule="auto"/>
              <w:rPr>
                <w:rFonts w:ascii="Times New Roman" w:hAnsi="Times New Roman" w:cs="Times New Roman"/>
                <w:noProof/>
                <w:color w:val="000000" w:themeColor="text1"/>
                <w:sz w:val="18"/>
                <w:szCs w:val="18"/>
              </w:rPr>
            </w:pPr>
          </w:p>
        </w:tc>
        <w:tc>
          <w:tcPr>
            <w:tcW w:w="1221" w:type="dxa"/>
            <w:shd w:val="clear" w:color="auto" w:fill="C6EFCE"/>
          </w:tcPr>
          <w:p w14:paraId="1216C006" w14:textId="77777777" w:rsidR="003C4798" w:rsidRDefault="00417595">
            <w:pPr>
              <w:pStyle w:val="P68B1DB1-Normal062"/>
              <w:spacing w:line="240" w:lineRule="auto"/>
              <w:jc w:val="center"/>
              <w:rPr>
                <w:noProof/>
                <w:color w:val="000000" w:themeColor="text1"/>
              </w:rPr>
            </w:pPr>
            <w:r>
              <w:rPr>
                <w:noProof/>
              </w:rPr>
              <w:t>Numéro</w:t>
            </w:r>
          </w:p>
        </w:tc>
        <w:tc>
          <w:tcPr>
            <w:tcW w:w="1228" w:type="dxa"/>
            <w:shd w:val="clear" w:color="auto" w:fill="C6EFCE"/>
          </w:tcPr>
          <w:p w14:paraId="1216C007" w14:textId="77777777" w:rsidR="003C4798" w:rsidRDefault="00417595">
            <w:pPr>
              <w:pStyle w:val="P68B1DB1-Normal062"/>
              <w:spacing w:line="240" w:lineRule="auto"/>
              <w:jc w:val="center"/>
              <w:rPr>
                <w:noProof/>
                <w:color w:val="000000" w:themeColor="text1"/>
              </w:rPr>
            </w:pPr>
            <w:r>
              <w:rPr>
                <w:noProof/>
              </w:rPr>
              <w:t>0</w:t>
            </w:r>
          </w:p>
        </w:tc>
        <w:tc>
          <w:tcPr>
            <w:tcW w:w="1204" w:type="dxa"/>
            <w:shd w:val="clear" w:color="auto" w:fill="C6EFCE"/>
          </w:tcPr>
          <w:p w14:paraId="1216C008" w14:textId="77777777" w:rsidR="003C4798" w:rsidRDefault="00417595">
            <w:pPr>
              <w:pStyle w:val="P68B1DB1-Normal062"/>
              <w:spacing w:line="240" w:lineRule="auto"/>
              <w:jc w:val="center"/>
              <w:rPr>
                <w:noProof/>
                <w:color w:val="000000" w:themeColor="text1"/>
              </w:rPr>
            </w:pPr>
            <w:r>
              <w:rPr>
                <w:noProof/>
              </w:rPr>
              <w:t>180</w:t>
            </w:r>
          </w:p>
        </w:tc>
        <w:tc>
          <w:tcPr>
            <w:tcW w:w="1064" w:type="dxa"/>
            <w:shd w:val="clear" w:color="auto" w:fill="C6EFCE"/>
          </w:tcPr>
          <w:p w14:paraId="1216C009" w14:textId="77777777" w:rsidR="003C4798" w:rsidRDefault="00417595">
            <w:pPr>
              <w:pStyle w:val="P68B1DB1-Normal062"/>
              <w:spacing w:line="240" w:lineRule="auto"/>
              <w:jc w:val="center"/>
              <w:rPr>
                <w:noProof/>
                <w:color w:val="000000" w:themeColor="text1"/>
              </w:rPr>
            </w:pPr>
            <w:r>
              <w:rPr>
                <w:noProof/>
              </w:rPr>
              <w:t>T3</w:t>
            </w:r>
          </w:p>
        </w:tc>
        <w:tc>
          <w:tcPr>
            <w:tcW w:w="851" w:type="dxa"/>
            <w:shd w:val="clear" w:color="auto" w:fill="C6EFCE"/>
          </w:tcPr>
          <w:p w14:paraId="1216C00A" w14:textId="77777777" w:rsidR="003C4798" w:rsidRDefault="00417595">
            <w:pPr>
              <w:pStyle w:val="P68B1DB1-Normal062"/>
              <w:spacing w:line="240" w:lineRule="auto"/>
              <w:jc w:val="center"/>
              <w:rPr>
                <w:noProof/>
                <w:color w:val="000000" w:themeColor="text1"/>
              </w:rPr>
            </w:pPr>
            <w:r>
              <w:rPr>
                <w:noProof/>
              </w:rPr>
              <w:t>2026</w:t>
            </w:r>
          </w:p>
        </w:tc>
        <w:tc>
          <w:tcPr>
            <w:tcW w:w="3613" w:type="dxa"/>
            <w:shd w:val="clear" w:color="auto" w:fill="C6EFCE"/>
          </w:tcPr>
          <w:p w14:paraId="1216C00B" w14:textId="753E2E4D" w:rsidR="003C4798" w:rsidRDefault="00417595">
            <w:pPr>
              <w:pStyle w:val="P68B1DB1-Normal062"/>
              <w:spacing w:line="240" w:lineRule="auto"/>
              <w:rPr>
                <w:noProof/>
                <w:color w:val="000000" w:themeColor="text1"/>
              </w:rPr>
            </w:pPr>
            <w:r>
              <w:rPr>
                <w:noProof/>
              </w:rPr>
              <w:t>Réception (technique) des travaux sur au moins 180 passages à niveau ou autres goulets d'étranglement.</w:t>
            </w:r>
          </w:p>
        </w:tc>
      </w:tr>
      <w:tr w:rsidR="003C4798" w14:paraId="1216C01A" w14:textId="77777777" w:rsidTr="00DA6ACB">
        <w:trPr>
          <w:trHeight w:val="300"/>
          <w:jc w:val="center"/>
        </w:trPr>
        <w:tc>
          <w:tcPr>
            <w:tcW w:w="851" w:type="dxa"/>
            <w:shd w:val="clear" w:color="auto" w:fill="C6EFCE"/>
          </w:tcPr>
          <w:p w14:paraId="1216C00D"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E19G</w:t>
            </w:r>
          </w:p>
        </w:tc>
        <w:tc>
          <w:tcPr>
            <w:tcW w:w="1432" w:type="dxa"/>
            <w:shd w:val="clear" w:color="auto" w:fill="C6EFCE"/>
          </w:tcPr>
          <w:p w14:paraId="1216C00E"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E2.1.2 Matériel roulant ferroviaire destiné au transport de voyageurs</w:t>
            </w:r>
          </w:p>
        </w:tc>
        <w:tc>
          <w:tcPr>
            <w:tcW w:w="1114" w:type="dxa"/>
            <w:shd w:val="clear" w:color="auto" w:fill="C6EFCE"/>
          </w:tcPr>
          <w:p w14:paraId="1216C00F"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785" w:type="dxa"/>
            <w:shd w:val="clear" w:color="auto" w:fill="C6EFCE"/>
          </w:tcPr>
          <w:p w14:paraId="1216C010"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Signature des contrats pour le matériel roulant destiné au transport de passagers</w:t>
            </w:r>
          </w:p>
        </w:tc>
        <w:tc>
          <w:tcPr>
            <w:tcW w:w="1436" w:type="dxa"/>
            <w:shd w:val="clear" w:color="auto" w:fill="C6EFCE"/>
          </w:tcPr>
          <w:p w14:paraId="1216C011" w14:textId="77777777" w:rsidR="003C4798" w:rsidRDefault="00417595">
            <w:pPr>
              <w:pStyle w:val="P68B1DB1-Normal062"/>
              <w:pBdr>
                <w:top w:val="nil"/>
                <w:left w:val="nil"/>
                <w:bottom w:val="nil"/>
                <w:right w:val="nil"/>
                <w:between w:val="nil"/>
              </w:pBdr>
              <w:spacing w:after="0" w:line="240" w:lineRule="auto"/>
              <w:rPr>
                <w:rFonts w:eastAsia="Times New Roman"/>
                <w:noProof/>
              </w:rPr>
            </w:pPr>
            <w:r>
              <w:rPr>
                <w:noProof/>
              </w:rPr>
              <w:t>Contrats signés</w:t>
            </w:r>
          </w:p>
        </w:tc>
        <w:tc>
          <w:tcPr>
            <w:tcW w:w="1221" w:type="dxa"/>
            <w:shd w:val="clear" w:color="auto" w:fill="C6EFCE"/>
          </w:tcPr>
          <w:p w14:paraId="1216C012"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28" w:type="dxa"/>
            <w:shd w:val="clear" w:color="auto" w:fill="C6EFCE"/>
          </w:tcPr>
          <w:p w14:paraId="1216C013"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04" w:type="dxa"/>
            <w:shd w:val="clear" w:color="auto" w:fill="C6EFCE"/>
          </w:tcPr>
          <w:p w14:paraId="1216C014"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64" w:type="dxa"/>
            <w:shd w:val="clear" w:color="auto" w:fill="C6EFCE"/>
          </w:tcPr>
          <w:p w14:paraId="1216C015" w14:textId="77777777" w:rsidR="003C4798" w:rsidRDefault="00417595">
            <w:pPr>
              <w:pStyle w:val="P68B1DB1-Normal062"/>
              <w:spacing w:after="0" w:line="240" w:lineRule="auto"/>
              <w:jc w:val="center"/>
              <w:rPr>
                <w:rFonts w:eastAsia="Times New Roman"/>
                <w:noProof/>
                <w:color w:val="006100"/>
              </w:rPr>
            </w:pPr>
            <w:r>
              <w:rPr>
                <w:noProof/>
              </w:rPr>
              <w:t>T4</w:t>
            </w:r>
          </w:p>
        </w:tc>
        <w:tc>
          <w:tcPr>
            <w:tcW w:w="851" w:type="dxa"/>
            <w:shd w:val="clear" w:color="auto" w:fill="C6EFCE"/>
          </w:tcPr>
          <w:p w14:paraId="1216C016"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2024</w:t>
            </w:r>
          </w:p>
        </w:tc>
        <w:tc>
          <w:tcPr>
            <w:tcW w:w="3613" w:type="dxa"/>
            <w:shd w:val="clear" w:color="auto" w:fill="C6EFCE"/>
          </w:tcPr>
          <w:p w14:paraId="1216C017" w14:textId="53866752" w:rsidR="003C4798" w:rsidRDefault="00417595">
            <w:pPr>
              <w:pStyle w:val="P68B1DB1-Normal024"/>
              <w:spacing w:after="0" w:line="240" w:lineRule="auto"/>
              <w:rPr>
                <w:rFonts w:ascii="Times New Roman" w:hAnsi="Times New Roman" w:cs="Times New Roman"/>
                <w:noProof/>
                <w:color w:val="000000" w:themeColor="text1"/>
              </w:rPr>
            </w:pPr>
            <w:r>
              <w:rPr>
                <w:rFonts w:ascii="Times New Roman" w:hAnsi="Times New Roman" w:cs="Times New Roman"/>
                <w:noProof/>
                <w:color w:val="000000" w:themeColor="text1"/>
              </w:rPr>
              <w:t>Des contrats sont signés pour la livraison d’au moins 77 unités régionales de matériel roulant/unités multiples électriques équipées du système européen de gestion du trafic ferroviaire (ERTMS) à émissions nulles/électriques.</w:t>
            </w:r>
          </w:p>
          <w:p w14:paraId="1216C018" w14:textId="77777777" w:rsidR="003C4798" w:rsidRDefault="003C4798">
            <w:pPr>
              <w:pStyle w:val="Normal0"/>
              <w:spacing w:after="0" w:line="240" w:lineRule="auto"/>
              <w:rPr>
                <w:rFonts w:ascii="Times New Roman" w:hAnsi="Times New Roman" w:cs="Times New Roman"/>
                <w:noProof/>
                <w:color w:val="000000" w:themeColor="text1"/>
                <w:sz w:val="18"/>
                <w:szCs w:val="18"/>
              </w:rPr>
            </w:pPr>
          </w:p>
          <w:p w14:paraId="1216C019" w14:textId="061A140C" w:rsidR="003C4798" w:rsidRDefault="00417595">
            <w:pPr>
              <w:pStyle w:val="P68B1DB1-Normal062"/>
              <w:spacing w:after="0" w:line="240" w:lineRule="auto"/>
              <w:rPr>
                <w:noProof/>
                <w:color w:val="000000" w:themeColor="text1"/>
              </w:rPr>
            </w:pPr>
            <w:r>
              <w:rPr>
                <w:noProof/>
              </w:rPr>
              <w:t>Un ou plusieurs contrats doivent être signés pour la livraison d’au moins 56 locomotives à émissions nulles et 248 wagons entre le gouvernement polonais et la compagnie ferroviaire nationale polonaise PKP IC.</w:t>
            </w:r>
          </w:p>
        </w:tc>
      </w:tr>
      <w:tr w:rsidR="003C4798" w14:paraId="1216C028" w14:textId="77777777" w:rsidTr="00DA6ACB">
        <w:trPr>
          <w:trHeight w:val="300"/>
          <w:jc w:val="center"/>
        </w:trPr>
        <w:tc>
          <w:tcPr>
            <w:tcW w:w="851" w:type="dxa"/>
            <w:shd w:val="clear" w:color="auto" w:fill="C6EFCE"/>
          </w:tcPr>
          <w:p w14:paraId="1216C01B"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E20G</w:t>
            </w:r>
          </w:p>
        </w:tc>
        <w:tc>
          <w:tcPr>
            <w:tcW w:w="1432" w:type="dxa"/>
            <w:shd w:val="clear" w:color="auto" w:fill="C6EFCE"/>
          </w:tcPr>
          <w:p w14:paraId="1216C01C"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E2.1.2 Matériel roulant ferroviaire destiné au transport de voyageurs</w:t>
            </w:r>
          </w:p>
        </w:tc>
        <w:tc>
          <w:tcPr>
            <w:tcW w:w="1114" w:type="dxa"/>
            <w:shd w:val="clear" w:color="auto" w:fill="C6EFCE"/>
          </w:tcPr>
          <w:p w14:paraId="1216C01D"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785" w:type="dxa"/>
            <w:shd w:val="clear" w:color="auto" w:fill="C6EFCE"/>
          </w:tcPr>
          <w:p w14:paraId="1216C01E" w14:textId="78BCB1A4"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Matériel roulant ferroviaire</w:t>
            </w:r>
          </w:p>
        </w:tc>
        <w:tc>
          <w:tcPr>
            <w:tcW w:w="1436" w:type="dxa"/>
            <w:shd w:val="clear" w:color="auto" w:fill="C6EFCE"/>
          </w:tcPr>
          <w:p w14:paraId="1216C01F"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20"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228" w:type="dxa"/>
            <w:shd w:val="clear" w:color="auto" w:fill="C6EFCE"/>
          </w:tcPr>
          <w:p w14:paraId="1216C021" w14:textId="77777777" w:rsidR="003C4798" w:rsidRDefault="00417595">
            <w:pPr>
              <w:pStyle w:val="P68B1DB1-Normal062"/>
              <w:spacing w:after="0" w:line="240" w:lineRule="auto"/>
              <w:jc w:val="center"/>
              <w:rPr>
                <w:rFonts w:eastAsia="Times New Roman"/>
                <w:noProof/>
                <w:color w:val="000000" w:themeColor="text1"/>
              </w:rPr>
            </w:pPr>
            <w:r>
              <w:rPr>
                <w:noProof/>
              </w:rPr>
              <w:t>0</w:t>
            </w:r>
          </w:p>
        </w:tc>
        <w:tc>
          <w:tcPr>
            <w:tcW w:w="1204" w:type="dxa"/>
            <w:shd w:val="clear" w:color="auto" w:fill="C6EFCE"/>
          </w:tcPr>
          <w:p w14:paraId="1216C022" w14:textId="745B460D"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400</w:t>
            </w:r>
          </w:p>
        </w:tc>
        <w:tc>
          <w:tcPr>
            <w:tcW w:w="1064" w:type="dxa"/>
            <w:shd w:val="clear" w:color="auto" w:fill="C6EFCE"/>
          </w:tcPr>
          <w:p w14:paraId="1216C023"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T3</w:t>
            </w:r>
          </w:p>
        </w:tc>
        <w:tc>
          <w:tcPr>
            <w:tcW w:w="851" w:type="dxa"/>
            <w:shd w:val="clear" w:color="auto" w:fill="C6EFCE"/>
          </w:tcPr>
          <w:p w14:paraId="1216C024"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13" w:type="dxa"/>
            <w:shd w:val="clear" w:color="auto" w:fill="C6EFCE"/>
          </w:tcPr>
          <w:p w14:paraId="1216C025" w14:textId="011971EB" w:rsidR="003C4798" w:rsidRDefault="00417595">
            <w:pPr>
              <w:pStyle w:val="P68B1DB1-Normal021"/>
              <w:spacing w:after="0" w:line="240" w:lineRule="auto"/>
              <w:rPr>
                <w:noProof/>
              </w:rPr>
            </w:pPr>
            <w:r>
              <w:rPr>
                <w:noProof/>
              </w:rPr>
              <w:t xml:space="preserve">Réception et/ou livraison (technique) d'au moins 56 locomotives et d'au moins 267 wagons. </w:t>
            </w:r>
          </w:p>
          <w:p w14:paraId="1216C026" w14:textId="77777777" w:rsidR="003C4798" w:rsidRDefault="003C4798">
            <w:pPr>
              <w:pStyle w:val="Normal0"/>
              <w:spacing w:after="0" w:line="240" w:lineRule="auto"/>
              <w:rPr>
                <w:rFonts w:ascii="Times New Roman" w:hAnsi="Times New Roman" w:cs="Times New Roman"/>
                <w:noProof/>
                <w:sz w:val="18"/>
                <w:szCs w:val="18"/>
              </w:rPr>
            </w:pPr>
          </w:p>
          <w:p w14:paraId="1216C027" w14:textId="6717A2CE" w:rsidR="003C4798" w:rsidRDefault="00417595">
            <w:pPr>
              <w:pStyle w:val="P68B1DB1-Normal021"/>
              <w:spacing w:after="0" w:line="240" w:lineRule="auto"/>
              <w:rPr>
                <w:noProof/>
              </w:rPr>
            </w:pPr>
            <w:r>
              <w:rPr>
                <w:noProof/>
              </w:rPr>
              <w:t>réception et/ou livraison (techniques) d’au moins 77 unités régionales de matériel roulant/unités multiples électriques.</w:t>
            </w:r>
          </w:p>
        </w:tc>
      </w:tr>
      <w:tr w:rsidR="003C4798" w14:paraId="1216C034" w14:textId="77777777" w:rsidTr="00DA6ACB">
        <w:trPr>
          <w:trHeight w:val="559"/>
          <w:jc w:val="center"/>
        </w:trPr>
        <w:tc>
          <w:tcPr>
            <w:tcW w:w="851" w:type="dxa"/>
            <w:shd w:val="clear" w:color="auto" w:fill="C6EFCE"/>
          </w:tcPr>
          <w:p w14:paraId="1216C029"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E22G</w:t>
            </w:r>
          </w:p>
        </w:tc>
        <w:tc>
          <w:tcPr>
            <w:tcW w:w="1432" w:type="dxa"/>
            <w:shd w:val="clear" w:color="auto" w:fill="C6EFCE"/>
          </w:tcPr>
          <w:p w14:paraId="1216C02A"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E2.1.3 Projets intermodaux</w:t>
            </w:r>
          </w:p>
        </w:tc>
        <w:tc>
          <w:tcPr>
            <w:tcW w:w="1114" w:type="dxa"/>
            <w:shd w:val="clear" w:color="auto" w:fill="C6EFCE"/>
          </w:tcPr>
          <w:p w14:paraId="1216C02B"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785" w:type="dxa"/>
            <w:shd w:val="clear" w:color="auto" w:fill="C6EFCE"/>
          </w:tcPr>
          <w:p w14:paraId="1216C02C"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Investissements dans les terminaux intermodaux et le matériel roulant</w:t>
            </w:r>
          </w:p>
        </w:tc>
        <w:tc>
          <w:tcPr>
            <w:tcW w:w="1436" w:type="dxa"/>
            <w:shd w:val="clear" w:color="auto" w:fill="C6EFCE"/>
          </w:tcPr>
          <w:p w14:paraId="1216C02D"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2E"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228" w:type="dxa"/>
            <w:shd w:val="clear" w:color="auto" w:fill="C6EFCE"/>
          </w:tcPr>
          <w:p w14:paraId="1216C02F" w14:textId="252E580B" w:rsidR="003C4798" w:rsidRDefault="00417595">
            <w:pPr>
              <w:pStyle w:val="P68B1DB1-Normal029"/>
              <w:pBdr>
                <w:top w:val="nil"/>
                <w:left w:val="nil"/>
                <w:bottom w:val="nil"/>
                <w:right w:val="nil"/>
                <w:between w:val="nil"/>
              </w:pBdr>
              <w:spacing w:after="0"/>
              <w:jc w:val="center"/>
              <w:rPr>
                <w:noProof/>
                <w:color w:val="000000"/>
              </w:rPr>
            </w:pPr>
            <w:r>
              <w:rPr>
                <w:noProof/>
              </w:rPr>
              <w:t>0</w:t>
            </w:r>
          </w:p>
        </w:tc>
        <w:tc>
          <w:tcPr>
            <w:tcW w:w="1204" w:type="dxa"/>
            <w:shd w:val="clear" w:color="auto" w:fill="C6EFCE"/>
          </w:tcPr>
          <w:p w14:paraId="1216C030"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200</w:t>
            </w:r>
          </w:p>
        </w:tc>
        <w:tc>
          <w:tcPr>
            <w:tcW w:w="1064" w:type="dxa"/>
            <w:shd w:val="clear" w:color="auto" w:fill="C6EFCE"/>
          </w:tcPr>
          <w:p w14:paraId="1216C031" w14:textId="10CDB36C"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T3</w:t>
            </w:r>
          </w:p>
        </w:tc>
        <w:tc>
          <w:tcPr>
            <w:tcW w:w="851" w:type="dxa"/>
            <w:shd w:val="clear" w:color="auto" w:fill="C6EFCE"/>
          </w:tcPr>
          <w:p w14:paraId="1216C032"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rPr>
            </w:pPr>
            <w:r>
              <w:rPr>
                <w:noProof/>
              </w:rPr>
              <w:t>2026</w:t>
            </w:r>
          </w:p>
        </w:tc>
        <w:tc>
          <w:tcPr>
            <w:tcW w:w="3613" w:type="dxa"/>
            <w:shd w:val="clear" w:color="auto" w:fill="C6EFCE"/>
          </w:tcPr>
          <w:p w14:paraId="1247F5DC" w14:textId="5FAF02C9" w:rsidR="003C4798" w:rsidRDefault="00417595">
            <w:pPr>
              <w:pStyle w:val="P68B1DB1-Normal021"/>
              <w:pBdr>
                <w:top w:val="nil"/>
                <w:left w:val="nil"/>
                <w:bottom w:val="nil"/>
                <w:right w:val="nil"/>
                <w:between w:val="nil"/>
              </w:pBdr>
              <w:spacing w:after="0" w:line="240" w:lineRule="auto"/>
              <w:rPr>
                <w:noProof/>
                <w:color w:val="000000" w:themeColor="text1"/>
              </w:rPr>
            </w:pPr>
            <w:r>
              <w:rPr>
                <w:noProof/>
              </w:rPr>
              <w:t xml:space="preserve">Réception (technique) et/ou livraison </w:t>
            </w:r>
            <w:r>
              <w:rPr>
                <w:noProof/>
                <w:color w:val="000000" w:themeColor="text1"/>
              </w:rPr>
              <w:t>pour des investissements dans au moins 5 terminaux intermodaux (tels que des travaux de (re)construction ou de montage, ou des achats d’équipements ou d’installations).</w:t>
            </w:r>
          </w:p>
          <w:p w14:paraId="1216C033" w14:textId="79055267" w:rsidR="003C4798" w:rsidRDefault="00417595">
            <w:pPr>
              <w:pStyle w:val="P68B1DB1-Normal021"/>
              <w:pBdr>
                <w:top w:val="nil"/>
                <w:left w:val="nil"/>
                <w:bottom w:val="nil"/>
                <w:right w:val="nil"/>
                <w:between w:val="nil"/>
              </w:pBdr>
              <w:spacing w:after="0" w:line="240" w:lineRule="auto"/>
              <w:rPr>
                <w:rFonts w:eastAsia="Times New Roman"/>
                <w:noProof/>
                <w:color w:val="000000" w:themeColor="text1"/>
              </w:rPr>
            </w:pPr>
            <w:r>
              <w:rPr>
                <w:noProof/>
              </w:rPr>
              <w:t xml:space="preserve">Réception (technique) et/ou livraison </w:t>
            </w:r>
            <w:r>
              <w:rPr>
                <w:noProof/>
                <w:color w:val="000000" w:themeColor="text1"/>
              </w:rPr>
              <w:t xml:space="preserve">d'au moins 200 unités de matériel roulant. </w:t>
            </w:r>
          </w:p>
        </w:tc>
      </w:tr>
      <w:tr w:rsidR="003C4798" w14:paraId="1216C040" w14:textId="77777777" w:rsidTr="00DA6ACB">
        <w:trPr>
          <w:trHeight w:val="300"/>
          <w:jc w:val="center"/>
        </w:trPr>
        <w:tc>
          <w:tcPr>
            <w:tcW w:w="851" w:type="dxa"/>
            <w:shd w:val="clear" w:color="auto" w:fill="C6EFCE"/>
          </w:tcPr>
          <w:p w14:paraId="1216C035"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E23G</w:t>
            </w:r>
          </w:p>
        </w:tc>
        <w:tc>
          <w:tcPr>
            <w:tcW w:w="1432" w:type="dxa"/>
            <w:shd w:val="clear" w:color="auto" w:fill="C6EFCE"/>
          </w:tcPr>
          <w:p w14:paraId="1216C036"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E2.2 Améliorer la sécurité des transports</w:t>
            </w:r>
          </w:p>
        </w:tc>
        <w:tc>
          <w:tcPr>
            <w:tcW w:w="1114" w:type="dxa"/>
            <w:shd w:val="clear" w:color="auto" w:fill="C6EFCE"/>
          </w:tcPr>
          <w:p w14:paraId="1216C037"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785" w:type="dxa"/>
            <w:shd w:val="clear" w:color="auto" w:fill="C6EFCE"/>
          </w:tcPr>
          <w:p w14:paraId="1216C038"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Entrée en vigueur des actes juridiques introduisant: priorité pour les piétons aux passages à niveau, vitesse uniforme dans les agglomérations, distance minimale entre les véhicules, objectifs en matière de sécurité routière d’ici à 2030 (-50 % de victimes d’accidents)</w:t>
            </w:r>
          </w:p>
        </w:tc>
        <w:tc>
          <w:tcPr>
            <w:tcW w:w="1436" w:type="dxa"/>
            <w:shd w:val="clear" w:color="auto" w:fill="C6EFCE"/>
          </w:tcPr>
          <w:p w14:paraId="1216C039"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Dispositions des actes juridiques indiquant l'entrée en vigueur</w:t>
            </w:r>
          </w:p>
        </w:tc>
        <w:tc>
          <w:tcPr>
            <w:tcW w:w="1221" w:type="dxa"/>
            <w:shd w:val="clear" w:color="auto" w:fill="C6EFCE"/>
          </w:tcPr>
          <w:p w14:paraId="1216C03A"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28" w:type="dxa"/>
            <w:shd w:val="clear" w:color="auto" w:fill="C6EFCE"/>
          </w:tcPr>
          <w:p w14:paraId="1216C03B"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204" w:type="dxa"/>
            <w:shd w:val="clear" w:color="auto" w:fill="C6EFCE"/>
          </w:tcPr>
          <w:p w14:paraId="1216C03C"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64" w:type="dxa"/>
            <w:shd w:val="clear" w:color="auto" w:fill="C6EFCE"/>
          </w:tcPr>
          <w:p w14:paraId="1216C03D" w14:textId="77777777" w:rsidR="003C4798" w:rsidRDefault="00417595">
            <w:pPr>
              <w:pStyle w:val="P68B1DB1-Normal062"/>
              <w:spacing w:after="0" w:line="240" w:lineRule="auto"/>
              <w:jc w:val="center"/>
              <w:rPr>
                <w:rFonts w:eastAsia="Times New Roman"/>
                <w:noProof/>
                <w:color w:val="000000" w:themeColor="text1"/>
              </w:rPr>
            </w:pPr>
            <w:r>
              <w:rPr>
                <w:noProof/>
              </w:rPr>
              <w:t>T4</w:t>
            </w:r>
          </w:p>
        </w:tc>
        <w:tc>
          <w:tcPr>
            <w:tcW w:w="851" w:type="dxa"/>
            <w:shd w:val="clear" w:color="auto" w:fill="C6EFCE"/>
          </w:tcPr>
          <w:p w14:paraId="1216C03E"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2021</w:t>
            </w:r>
          </w:p>
        </w:tc>
        <w:tc>
          <w:tcPr>
            <w:tcW w:w="3613" w:type="dxa"/>
            <w:shd w:val="clear" w:color="auto" w:fill="C6EFCE"/>
          </w:tcPr>
          <w:p w14:paraId="1216C03F"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Les modifications législatives suivantes visant à promouvoir la sécurité routière sont introduites: la priorité accordée aux piétons aux passages à niveau, l'introduction d'une limite de vitesse homogène dans les zones urbaines (50 km/h) et d'une distance minimale entre les véhicules sur les autoroutes et les voies rapides (la moitié de la vitesse en mètres). L’objectif global en matière de sécurité routière est fixé dans le programme national de sécurité routière, qui vise à réduire de 50 % le nombre de victimes d’accidents de la route d’ici à 2030 par rapport à 2019, conformément à l’engagement pris par l’Union.</w:t>
            </w:r>
          </w:p>
        </w:tc>
      </w:tr>
      <w:tr w:rsidR="003C4798" w14:paraId="1216C04C" w14:textId="77777777" w:rsidTr="00DA6ACB">
        <w:trPr>
          <w:trHeight w:val="300"/>
          <w:jc w:val="center"/>
        </w:trPr>
        <w:tc>
          <w:tcPr>
            <w:tcW w:w="851" w:type="dxa"/>
            <w:shd w:val="clear" w:color="auto" w:fill="C6EFCE"/>
          </w:tcPr>
          <w:p w14:paraId="1216C041"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E24G</w:t>
            </w:r>
          </w:p>
        </w:tc>
        <w:tc>
          <w:tcPr>
            <w:tcW w:w="1432" w:type="dxa"/>
            <w:shd w:val="clear" w:color="auto" w:fill="C6EFCE"/>
          </w:tcPr>
          <w:p w14:paraId="1216C042"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E2.2.1 Investissements dans la sécurité des transports</w:t>
            </w:r>
          </w:p>
        </w:tc>
        <w:tc>
          <w:tcPr>
            <w:tcW w:w="1114" w:type="dxa"/>
            <w:shd w:val="clear" w:color="auto" w:fill="C6EFCE"/>
          </w:tcPr>
          <w:p w14:paraId="1216C043"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785" w:type="dxa"/>
            <w:shd w:val="clear" w:color="auto" w:fill="C6EFCE"/>
          </w:tcPr>
          <w:p w14:paraId="1216C044"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Construction de contournements et amélioration des points névralgiques de la sécurité routière</w:t>
            </w:r>
          </w:p>
        </w:tc>
        <w:tc>
          <w:tcPr>
            <w:tcW w:w="1436" w:type="dxa"/>
            <w:shd w:val="clear" w:color="auto" w:fill="C6EFCE"/>
          </w:tcPr>
          <w:p w14:paraId="1216C045"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46"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228" w:type="dxa"/>
            <w:shd w:val="clear" w:color="auto" w:fill="C6EFCE"/>
          </w:tcPr>
          <w:p w14:paraId="1216C047"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204" w:type="dxa"/>
            <w:shd w:val="clear" w:color="auto" w:fill="C6EFCE"/>
          </w:tcPr>
          <w:p w14:paraId="1216C048"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10 km de contournements, 125 hotspots</w:t>
            </w:r>
          </w:p>
        </w:tc>
        <w:tc>
          <w:tcPr>
            <w:tcW w:w="1064" w:type="dxa"/>
            <w:shd w:val="clear" w:color="auto" w:fill="C6EFCE"/>
          </w:tcPr>
          <w:p w14:paraId="1216C049"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T4</w:t>
            </w:r>
          </w:p>
        </w:tc>
        <w:tc>
          <w:tcPr>
            <w:tcW w:w="851" w:type="dxa"/>
            <w:shd w:val="clear" w:color="auto" w:fill="C6EFCE"/>
          </w:tcPr>
          <w:p w14:paraId="1216C04A"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2023</w:t>
            </w:r>
          </w:p>
        </w:tc>
        <w:tc>
          <w:tcPr>
            <w:tcW w:w="3613" w:type="dxa"/>
            <w:shd w:val="clear" w:color="auto" w:fill="C6EFCE"/>
          </w:tcPr>
          <w:p w14:paraId="1216C04B" w14:textId="00966B42"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Amélioration de 125 points chauds de sécurité routière et construction de 10 km de contournements. </w:t>
            </w:r>
          </w:p>
        </w:tc>
      </w:tr>
      <w:tr w:rsidR="003C4798" w14:paraId="1216C05C" w14:textId="77777777" w:rsidTr="00DA6ACB">
        <w:trPr>
          <w:trHeight w:val="300"/>
          <w:jc w:val="center"/>
        </w:trPr>
        <w:tc>
          <w:tcPr>
            <w:tcW w:w="851" w:type="dxa"/>
            <w:shd w:val="clear" w:color="auto" w:fill="C6EFCE"/>
          </w:tcPr>
          <w:p w14:paraId="1216C04D"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E25G</w:t>
            </w:r>
          </w:p>
        </w:tc>
        <w:tc>
          <w:tcPr>
            <w:tcW w:w="1432" w:type="dxa"/>
            <w:shd w:val="clear" w:color="auto" w:fill="C6EFCE"/>
          </w:tcPr>
          <w:p w14:paraId="1216C04E"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E2.2.1 Investissements dans la sécurité des transports</w:t>
            </w:r>
          </w:p>
        </w:tc>
        <w:tc>
          <w:tcPr>
            <w:tcW w:w="1114" w:type="dxa"/>
            <w:shd w:val="clear" w:color="auto" w:fill="C6EFCE"/>
          </w:tcPr>
          <w:p w14:paraId="1216C04F"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785" w:type="dxa"/>
            <w:shd w:val="clear" w:color="auto" w:fill="C6EFCE"/>
          </w:tcPr>
          <w:p w14:paraId="1216C050" w14:textId="0A6ACC05"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Travaux sur les hotspots de sécurité routière, installation de dispositifs de surveillance routière</w:t>
            </w:r>
          </w:p>
        </w:tc>
        <w:tc>
          <w:tcPr>
            <w:tcW w:w="1436" w:type="dxa"/>
            <w:shd w:val="clear" w:color="auto" w:fill="C6EFCE"/>
          </w:tcPr>
          <w:p w14:paraId="1216C051"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shd w:val="clear" w:color="auto" w:fill="C6EFCE"/>
          </w:tcPr>
          <w:p w14:paraId="1216C052"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228" w:type="dxa"/>
            <w:shd w:val="clear" w:color="auto" w:fill="C6EFCE"/>
          </w:tcPr>
          <w:p w14:paraId="7C404592" w14:textId="760C97C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125 hotspots;</w:t>
            </w:r>
          </w:p>
          <w:p w14:paraId="1216C053" w14:textId="77016C6F"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0 dispositifs de surveillance routière</w:t>
            </w:r>
          </w:p>
        </w:tc>
        <w:tc>
          <w:tcPr>
            <w:tcW w:w="1204" w:type="dxa"/>
            <w:shd w:val="clear" w:color="auto" w:fill="C6EFCE"/>
          </w:tcPr>
          <w:p w14:paraId="1216C054" w14:textId="57C5D242"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305 hotspots, 128 dispositifs de surveillance routière</w:t>
            </w:r>
          </w:p>
        </w:tc>
        <w:tc>
          <w:tcPr>
            <w:tcW w:w="1064" w:type="dxa"/>
            <w:shd w:val="clear" w:color="auto" w:fill="C6EFCE"/>
          </w:tcPr>
          <w:p w14:paraId="1216C055" w14:textId="77777777"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1" w:type="dxa"/>
            <w:shd w:val="clear" w:color="auto" w:fill="C6EFCE"/>
          </w:tcPr>
          <w:p w14:paraId="1216C056"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13" w:type="dxa"/>
            <w:shd w:val="clear" w:color="auto" w:fill="C6EFCE"/>
          </w:tcPr>
          <w:p w14:paraId="1216C059" w14:textId="534F30AF" w:rsidR="003C4798" w:rsidRDefault="00417595">
            <w:pPr>
              <w:pStyle w:val="P68B1DB1-Normal021"/>
              <w:pBdr>
                <w:top w:val="nil"/>
                <w:left w:val="nil"/>
                <w:bottom w:val="nil"/>
                <w:right w:val="nil"/>
                <w:between w:val="nil"/>
              </w:pBdr>
              <w:spacing w:after="0" w:line="240" w:lineRule="auto"/>
              <w:rPr>
                <w:noProof/>
                <w:color w:val="000000" w:themeColor="text1"/>
              </w:rPr>
            </w:pPr>
            <w:r>
              <w:rPr>
                <w:noProof/>
              </w:rPr>
              <w:t>Réception (technique) des</w:t>
            </w:r>
            <w:r>
              <w:rPr>
                <w:noProof/>
                <w:color w:val="000000" w:themeColor="text1"/>
              </w:rPr>
              <w:t xml:space="preserve"> travaux sur 305 hotspots.</w:t>
            </w:r>
          </w:p>
          <w:p w14:paraId="65E6B031" w14:textId="77777777" w:rsidR="003C4798" w:rsidRDefault="003C4798">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p>
          <w:p w14:paraId="1216C05B" w14:textId="68FEF311" w:rsidR="003C4798" w:rsidRDefault="00417595">
            <w:pPr>
              <w:pStyle w:val="P68B1DB1-Normal062"/>
              <w:spacing w:after="0" w:line="240" w:lineRule="auto"/>
              <w:rPr>
                <w:noProof/>
                <w:color w:val="000000" w:themeColor="text1"/>
              </w:rPr>
            </w:pPr>
            <w:r>
              <w:rPr>
                <w:noProof/>
              </w:rPr>
              <w:t>Réception (technique) de l'installation de 128 dispositifs de surveillance routière.</w:t>
            </w:r>
          </w:p>
        </w:tc>
      </w:tr>
      <w:tr w:rsidR="003C4798" w14:paraId="208CE0DD" w14:textId="77777777" w:rsidTr="00DA6ACB">
        <w:trPr>
          <w:trHeight w:val="300"/>
          <w:jc w:val="center"/>
        </w:trPr>
        <w:tc>
          <w:tcPr>
            <w:tcW w:w="851" w:type="dxa"/>
            <w:shd w:val="clear" w:color="auto" w:fill="C6EFCE"/>
          </w:tcPr>
          <w:p w14:paraId="230BBE83" w14:textId="1DDDE264" w:rsidR="003C4798" w:rsidRDefault="00417595">
            <w:pPr>
              <w:pStyle w:val="P68B1DB1-Normal021"/>
              <w:pBdr>
                <w:top w:val="nil"/>
                <w:left w:val="nil"/>
                <w:bottom w:val="nil"/>
                <w:right w:val="nil"/>
                <w:between w:val="nil"/>
              </w:pBdr>
              <w:spacing w:after="0" w:line="240" w:lineRule="auto"/>
              <w:jc w:val="center"/>
              <w:rPr>
                <w:noProof/>
              </w:rPr>
            </w:pPr>
            <w:r>
              <w:rPr>
                <w:noProof/>
              </w:rPr>
              <w:t>E25aG</w:t>
            </w:r>
          </w:p>
        </w:tc>
        <w:tc>
          <w:tcPr>
            <w:tcW w:w="1432" w:type="dxa"/>
            <w:shd w:val="clear" w:color="auto" w:fill="C6EFCE"/>
          </w:tcPr>
          <w:p w14:paraId="14987AFD" w14:textId="1DD50C34"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E2.2.1 Investissements dans la sécurité des transports</w:t>
            </w:r>
          </w:p>
        </w:tc>
        <w:tc>
          <w:tcPr>
            <w:tcW w:w="1114" w:type="dxa"/>
            <w:shd w:val="clear" w:color="auto" w:fill="C6EFCE"/>
          </w:tcPr>
          <w:p w14:paraId="38B2F5C1" w14:textId="1141F74B"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Objectif</w:t>
            </w:r>
          </w:p>
        </w:tc>
        <w:tc>
          <w:tcPr>
            <w:tcW w:w="1785" w:type="dxa"/>
            <w:shd w:val="clear" w:color="auto" w:fill="C6EFCE"/>
          </w:tcPr>
          <w:p w14:paraId="448ACFA5" w14:textId="588BA785"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Construction ou reconstruction de routes nationales, y compris de contournements</w:t>
            </w:r>
          </w:p>
        </w:tc>
        <w:tc>
          <w:tcPr>
            <w:tcW w:w="1436" w:type="dxa"/>
            <w:shd w:val="clear" w:color="auto" w:fill="C6EFCE"/>
          </w:tcPr>
          <w:p w14:paraId="1C4CC150" w14:textId="77777777" w:rsidR="003C4798" w:rsidRDefault="003C4798">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rPr>
            </w:pPr>
          </w:p>
        </w:tc>
        <w:tc>
          <w:tcPr>
            <w:tcW w:w="1221" w:type="dxa"/>
            <w:shd w:val="clear" w:color="auto" w:fill="C6EFCE"/>
          </w:tcPr>
          <w:p w14:paraId="47A0E1C5" w14:textId="2ED15815"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kilomètres</w:t>
            </w:r>
          </w:p>
        </w:tc>
        <w:tc>
          <w:tcPr>
            <w:tcW w:w="1228" w:type="dxa"/>
            <w:shd w:val="clear" w:color="auto" w:fill="C6EFCE"/>
          </w:tcPr>
          <w:p w14:paraId="020215E4" w14:textId="55A31448"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0</w:t>
            </w:r>
          </w:p>
        </w:tc>
        <w:tc>
          <w:tcPr>
            <w:tcW w:w="1204" w:type="dxa"/>
            <w:shd w:val="clear" w:color="auto" w:fill="C6EFCE"/>
          </w:tcPr>
          <w:p w14:paraId="250E7EB5" w14:textId="4FC4AF2B"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80</w:t>
            </w:r>
          </w:p>
        </w:tc>
        <w:tc>
          <w:tcPr>
            <w:tcW w:w="1064" w:type="dxa"/>
            <w:shd w:val="clear" w:color="auto" w:fill="C6EFCE"/>
          </w:tcPr>
          <w:p w14:paraId="381FA60C" w14:textId="5F8E9B2E"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T3</w:t>
            </w:r>
          </w:p>
        </w:tc>
        <w:tc>
          <w:tcPr>
            <w:tcW w:w="851" w:type="dxa"/>
            <w:shd w:val="clear" w:color="auto" w:fill="C6EFCE"/>
          </w:tcPr>
          <w:p w14:paraId="3131DEFF" w14:textId="4DCD10EE" w:rsidR="003C4798" w:rsidRDefault="00417595">
            <w:pPr>
              <w:pStyle w:val="P68B1DB1-Normal062"/>
              <w:pBdr>
                <w:top w:val="nil"/>
                <w:left w:val="nil"/>
                <w:bottom w:val="nil"/>
                <w:right w:val="nil"/>
                <w:between w:val="nil"/>
              </w:pBdr>
              <w:spacing w:after="0" w:line="240" w:lineRule="auto"/>
              <w:jc w:val="center"/>
              <w:rPr>
                <w:noProof/>
                <w:color w:val="000000" w:themeColor="text1"/>
              </w:rPr>
            </w:pPr>
            <w:r>
              <w:rPr>
                <w:noProof/>
              </w:rPr>
              <w:t>2026</w:t>
            </w:r>
          </w:p>
        </w:tc>
        <w:tc>
          <w:tcPr>
            <w:tcW w:w="3613" w:type="dxa"/>
            <w:shd w:val="clear" w:color="auto" w:fill="C6EFCE"/>
          </w:tcPr>
          <w:p w14:paraId="61449ECC" w14:textId="260F63B8"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Construction ou reconstruction de 80 km de routes nationales, y compris les contournements.</w:t>
            </w:r>
          </w:p>
        </w:tc>
      </w:tr>
      <w:tr w:rsidR="003C4798" w14:paraId="1216C068" w14:textId="77777777" w:rsidTr="00DA6ACB">
        <w:trPr>
          <w:trHeight w:val="1835"/>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D" w14:textId="77777777" w:rsidR="003C4798" w:rsidRDefault="00417595">
            <w:pPr>
              <w:pStyle w:val="P68B1DB1-Normal021"/>
              <w:pBdr>
                <w:top w:val="nil"/>
                <w:left w:val="nil"/>
                <w:bottom w:val="nil"/>
                <w:right w:val="nil"/>
                <w:between w:val="nil"/>
              </w:pBdr>
              <w:spacing w:after="0" w:line="240" w:lineRule="auto"/>
              <w:jc w:val="center"/>
              <w:rPr>
                <w:rFonts w:eastAsia="Times New Roman"/>
                <w:b/>
                <w:bCs/>
                <w:noProof/>
                <w:color w:val="000000" w:themeColor="text1"/>
              </w:rPr>
            </w:pPr>
            <w:r>
              <w:rPr>
                <w:noProof/>
              </w:rPr>
              <w:t>E28G</w:t>
            </w:r>
          </w:p>
        </w:tc>
        <w:tc>
          <w:tcPr>
            <w:tcW w:w="14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E"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E2.2.2 Numérisation des transports</w:t>
            </w:r>
          </w:p>
        </w:tc>
        <w:tc>
          <w:tcPr>
            <w:tcW w:w="1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F"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0" w14:textId="77777777" w:rsidR="003C4798" w:rsidRDefault="00417595">
            <w:pPr>
              <w:pStyle w:val="P68B1DB1-Normal062"/>
              <w:pBdr>
                <w:top w:val="nil"/>
                <w:left w:val="nil"/>
                <w:bottom w:val="nil"/>
                <w:right w:val="nil"/>
                <w:between w:val="nil"/>
              </w:pBdr>
              <w:spacing w:after="0" w:line="240" w:lineRule="auto"/>
              <w:rPr>
                <w:rFonts w:eastAsia="Times New Roman"/>
                <w:noProof/>
              </w:rPr>
            </w:pPr>
            <w:r>
              <w:rPr>
                <w:noProof/>
              </w:rPr>
              <w:t>Installation ou mise à jour des unités embarquées ERTMS, installation du SDIP, introduction du contrôle automatique des points de contrôle ferroviaire et travaux sur les systèmes de passage à niveau</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1"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2"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3" w14:textId="77777777" w:rsidR="003C4798" w:rsidRDefault="00417595">
            <w:pPr>
              <w:pStyle w:val="P68B1DB1-Normal062"/>
              <w:spacing w:after="0" w:line="240" w:lineRule="auto"/>
              <w:jc w:val="center"/>
              <w:rPr>
                <w:noProof/>
                <w:color w:val="000000" w:themeColor="text1"/>
              </w:rPr>
            </w:pPr>
            <w:r>
              <w:rPr>
                <w:noProof/>
              </w:rPr>
              <w:t>0</w:t>
            </w: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4" w14:textId="77777777" w:rsidR="003C4798" w:rsidRDefault="00417595">
            <w:pPr>
              <w:pStyle w:val="P68B1DB1-Normal062"/>
              <w:spacing w:after="0" w:line="240" w:lineRule="auto"/>
              <w:jc w:val="center"/>
              <w:rPr>
                <w:noProof/>
              </w:rPr>
            </w:pPr>
            <w:r>
              <w:rPr>
                <w:noProof/>
              </w:rPr>
              <w:t>199</w:t>
            </w:r>
          </w:p>
        </w:tc>
        <w:tc>
          <w:tcPr>
            <w:tcW w:w="10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5" w14:textId="77777777" w:rsidR="003C4798" w:rsidRDefault="00417595">
            <w:pPr>
              <w:pStyle w:val="P68B1DB1-Normal062"/>
              <w:spacing w:after="0" w:line="240" w:lineRule="auto"/>
              <w:jc w:val="center"/>
              <w:rPr>
                <w:rFonts w:eastAsia="Times New Roman"/>
                <w:noProof/>
                <w:color w:val="006100"/>
              </w:rPr>
            </w:pPr>
            <w:r>
              <w:rPr>
                <w:noProof/>
              </w:rPr>
              <w:t>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6"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36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7" w14:textId="7E96B704" w:rsidR="003C4798" w:rsidRDefault="00417595">
            <w:pPr>
              <w:pStyle w:val="P68B1DB1-Normal062"/>
              <w:pBdr>
                <w:top w:val="nil"/>
                <w:left w:val="nil"/>
                <w:bottom w:val="nil"/>
                <w:right w:val="nil"/>
                <w:between w:val="nil"/>
              </w:pBdr>
              <w:spacing w:after="0" w:line="240" w:lineRule="auto"/>
              <w:rPr>
                <w:noProof/>
                <w:color w:val="000000" w:themeColor="text1"/>
              </w:rPr>
            </w:pPr>
            <w:r>
              <w:rPr>
                <w:noProof/>
              </w:rPr>
              <w:t>Acceptation (technique) et/ou livraison: (i) installation ou mise à jour de 7 unités embarquées du système européen de gestion du trafic ferroviaire (ERTMS), (ii) installation d’au moins 52 systèmes dynamiques d’information des voyageurs (SDIP), (iii) travaux sur les systèmes de passage à niveau dans au moins 112 emplacements, (iv) introduction du contrôle automatique des points de contrôle ferroviaire dans au moins 28 emplacements.</w:t>
            </w:r>
          </w:p>
        </w:tc>
      </w:tr>
    </w:tbl>
    <w:p w14:paraId="1216C069"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i/>
          <w:noProof/>
          <w:color w:val="4F81BD"/>
          <w:sz w:val="24"/>
          <w:szCs w:val="24"/>
        </w:rPr>
        <w:sectPr w:rsidR="003C4798" w:rsidSect="006C5441">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299"/>
        </w:sectPr>
      </w:pPr>
    </w:p>
    <w:p w14:paraId="1216C06A" w14:textId="77777777" w:rsidR="003C4798" w:rsidRDefault="00417595">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rPr>
      </w:pPr>
      <w:r>
        <w:rPr>
          <w:rFonts w:ascii="Times New Roman" w:hAnsi="Times New Roman"/>
          <w:b/>
          <w:noProof/>
          <w:color w:val="000000"/>
          <w:sz w:val="24"/>
        </w:rPr>
        <w:t xml:space="preserve">E.3. </w:t>
      </w:r>
      <w:r>
        <w:rPr>
          <w:noProof/>
        </w:rPr>
        <w:t xml:space="preserve"> </w:t>
      </w:r>
      <w:r>
        <w:rPr>
          <w:rFonts w:ascii="Times New Roman" w:hAnsi="Times New Roman"/>
          <w:b/>
          <w:noProof/>
          <w:color w:val="000000"/>
          <w:sz w:val="24"/>
        </w:rPr>
        <w:t>Description des réformes et des investissements pour le prêt</w:t>
      </w:r>
    </w:p>
    <w:p w14:paraId="1216C06B" w14:textId="77777777" w:rsidR="003C4798" w:rsidRDefault="003C47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000000"/>
          <w:sz w:val="24"/>
          <w:szCs w:val="24"/>
        </w:rPr>
      </w:pPr>
    </w:p>
    <w:p w14:paraId="1216C06C" w14:textId="77777777" w:rsidR="003C4798" w:rsidRDefault="00417595">
      <w:pPr>
        <w:pStyle w:val="P68B1DB1-Normal080"/>
        <w:spacing w:before="120" w:after="120" w:line="240" w:lineRule="auto"/>
        <w:jc w:val="both"/>
        <w:rPr>
          <w:rFonts w:eastAsia="Times New Roman" w:cs="Times New Roman"/>
          <w:b/>
          <w:bCs/>
          <w:noProof/>
          <w:szCs w:val="24"/>
        </w:rPr>
      </w:pPr>
      <w:r>
        <w:rPr>
          <w:b/>
          <w:noProof/>
        </w:rPr>
        <w:t>E1.2 Accroître la part des transports à émissions nulles et faibles, prévenir et réduire l'impact</w:t>
      </w:r>
      <w:r>
        <w:rPr>
          <w:noProof/>
        </w:rPr>
        <w:t xml:space="preserve"> </w:t>
      </w:r>
      <w:r>
        <w:rPr>
          <w:b/>
          <w:noProof/>
        </w:rPr>
        <w:t>négatif des transports sur l'environnement</w:t>
      </w:r>
    </w:p>
    <w:p w14:paraId="1216C06D" w14:textId="61CC1A76" w:rsidR="003C4798" w:rsidRDefault="00417595">
      <w:pPr>
        <w:pStyle w:val="P68B1DB1-Normal049"/>
        <w:spacing w:before="120" w:after="120" w:line="240" w:lineRule="auto"/>
        <w:jc w:val="both"/>
        <w:rPr>
          <w:rFonts w:eastAsia="Times New Roman" w:cs="Times New Roman"/>
          <w:noProof/>
          <w:szCs w:val="24"/>
        </w:rPr>
      </w:pPr>
      <w:r>
        <w:rPr>
          <w:noProof/>
        </w:rPr>
        <w:t>L’objectif de la réforme est de réduire l’incidence des transports sur l’environnement et la santé.</w:t>
      </w:r>
    </w:p>
    <w:p w14:paraId="1216C06E" w14:textId="77777777" w:rsidR="003C4798" w:rsidRDefault="00417595">
      <w:pPr>
        <w:pStyle w:val="P68B1DB1-Normal050"/>
        <w:spacing w:before="120" w:after="120" w:line="240" w:lineRule="auto"/>
        <w:jc w:val="both"/>
        <w:rPr>
          <w:rFonts w:eastAsia="Times New Roman" w:cs="Times New Roman"/>
          <w:noProof/>
        </w:rPr>
      </w:pPr>
      <w:r>
        <w:rPr>
          <w:noProof/>
        </w:rPr>
        <w:t>Cette mesure consiste en l’adoption d’un acte juridique établissant l’obligation d’introduire des zones de transport à faibles émissions dans les villes de plus de 100 000 habitants, où il existe un excès de substances nocives (NO2) par rapport aux seuils de pollution atmosphérique de l’UE et la création de zones de transport à faibles émissions.</w:t>
      </w:r>
    </w:p>
    <w:p w14:paraId="1216C06F" w14:textId="77777777" w:rsidR="003C4798" w:rsidRDefault="003C4798">
      <w:pPr>
        <w:pStyle w:val="Normal0"/>
        <w:spacing w:before="120" w:after="120" w:line="240" w:lineRule="auto"/>
        <w:jc w:val="both"/>
        <w:rPr>
          <w:rFonts w:ascii="Times New Roman" w:eastAsia="Times New Roman" w:hAnsi="Times New Roman" w:cs="Times New Roman"/>
          <w:noProof/>
          <w:sz w:val="24"/>
          <w:szCs w:val="24"/>
        </w:rPr>
      </w:pPr>
    </w:p>
    <w:p w14:paraId="1216C070" w14:textId="29467003" w:rsidR="003C4798" w:rsidRDefault="00417595">
      <w:pPr>
        <w:pStyle w:val="P68B1DB1-Normal081"/>
        <w:spacing w:before="120" w:after="120" w:line="240" w:lineRule="auto"/>
        <w:jc w:val="both"/>
        <w:rPr>
          <w:rFonts w:eastAsia="Times New Roman" w:cs="Times New Roman"/>
          <w:bCs/>
          <w:noProof/>
        </w:rPr>
      </w:pPr>
      <w:r>
        <w:rPr>
          <w:noProof/>
        </w:rPr>
        <w:t>E1.2.1 Transports publics dans les villes (trams)</w:t>
      </w:r>
    </w:p>
    <w:p w14:paraId="1216C071" w14:textId="158D88C0" w:rsidR="003C4798" w:rsidRDefault="00417595">
      <w:pPr>
        <w:pStyle w:val="P68B1DB1-Normal049"/>
        <w:spacing w:before="120" w:after="120" w:line="240" w:lineRule="auto"/>
        <w:jc w:val="both"/>
        <w:rPr>
          <w:noProof/>
          <w:szCs w:val="24"/>
        </w:rPr>
      </w:pPr>
      <w:r>
        <w:rPr>
          <w:noProof/>
          <w:szCs w:val="24"/>
        </w:rPr>
        <w:t xml:space="preserve">L'objectif </w:t>
      </w:r>
      <w:r>
        <w:rPr>
          <w:noProof/>
          <w:color w:val="000000" w:themeColor="text1"/>
        </w:rPr>
        <w:t xml:space="preserve">de cet investissement est d'augmenter </w:t>
      </w:r>
      <w:r>
        <w:rPr>
          <w:noProof/>
          <w:szCs w:val="24"/>
        </w:rPr>
        <w:t>l'offre de transports publics dans les villes. Cette mesure consiste en l'acceptation des tramways.</w:t>
      </w:r>
    </w:p>
    <w:p w14:paraId="1216C072" w14:textId="77777777" w:rsidR="003C4798" w:rsidRDefault="003C4798">
      <w:pPr>
        <w:pStyle w:val="Normal0"/>
        <w:spacing w:before="120" w:after="120" w:line="240" w:lineRule="auto"/>
        <w:jc w:val="both"/>
        <w:rPr>
          <w:rFonts w:ascii="Times New Roman" w:hAnsi="Times New Roman"/>
          <w:noProof/>
          <w:sz w:val="24"/>
          <w:szCs w:val="24"/>
        </w:rPr>
      </w:pPr>
    </w:p>
    <w:p w14:paraId="1216C073" w14:textId="77777777" w:rsidR="003C4798" w:rsidRDefault="00417595">
      <w:pPr>
        <w:pStyle w:val="P68B1DB1-Normal051"/>
        <w:spacing w:before="120" w:after="120" w:line="240" w:lineRule="auto"/>
        <w:jc w:val="both"/>
        <w:rPr>
          <w:noProof/>
        </w:rPr>
      </w:pPr>
      <w:r>
        <w:rPr>
          <w:noProof/>
        </w:rPr>
        <w:t>E2.3 Améliorer l’accessibilité des transports, la sécurité et les solutions numériques</w:t>
      </w:r>
    </w:p>
    <w:p w14:paraId="1216C074" w14:textId="77777777" w:rsidR="003C4798" w:rsidRDefault="00417595">
      <w:pPr>
        <w:pStyle w:val="P68B1DB1-Normal049"/>
        <w:spacing w:before="120" w:after="120" w:line="240" w:lineRule="auto"/>
        <w:jc w:val="both"/>
        <w:rPr>
          <w:noProof/>
        </w:rPr>
      </w:pPr>
      <w:r>
        <w:rPr>
          <w:noProof/>
        </w:rPr>
        <w:t>La réforme vise à accroître l'accessibilité des transports.</w:t>
      </w:r>
    </w:p>
    <w:p w14:paraId="1216C075" w14:textId="1B755FAA" w:rsidR="003C4798" w:rsidRDefault="00417595">
      <w:pPr>
        <w:pStyle w:val="P68B1DB1-Normal049"/>
        <w:spacing w:before="120" w:after="120" w:line="240" w:lineRule="auto"/>
        <w:jc w:val="both"/>
        <w:rPr>
          <w:noProof/>
        </w:rPr>
      </w:pPr>
      <w:r>
        <w:rPr>
          <w:noProof/>
        </w:rPr>
        <w:t>Il consiste en une mise en œuvre accélérée du règlement (CE) n° 1371/2007 relatif aux droits des voyageurs ferroviaires et aux adaptations du matériel roulant aux voyageurs à mobilité réduite. La réforme entre en vigueur le 31 décembre 2022 au plus tard.</w:t>
      </w:r>
    </w:p>
    <w:p w14:paraId="1216C076" w14:textId="276F459F" w:rsidR="003C4798" w:rsidRDefault="00417595">
      <w:pPr>
        <w:pStyle w:val="P68B1DB1-Normal049"/>
        <w:spacing w:before="120" w:after="120" w:line="240" w:lineRule="auto"/>
        <w:jc w:val="both"/>
        <w:rPr>
          <w:noProof/>
        </w:rPr>
      </w:pPr>
      <w:r>
        <w:rPr>
          <w:noProof/>
        </w:rPr>
        <w:t>La réforme comprend également des dispositions pertinentes visant à mettre à niveau le matériel roulant national et international avec des exigences pour les passagers handicapés. La réforme entre en vigueur le 30 juin 2024 au plus tard.</w:t>
      </w:r>
    </w:p>
    <w:p w14:paraId="35A9D89C" w14:textId="77777777" w:rsidR="003C4798" w:rsidRDefault="003C4798">
      <w:pPr>
        <w:pStyle w:val="Normal0"/>
        <w:spacing w:before="120" w:after="120" w:line="240" w:lineRule="auto"/>
        <w:jc w:val="both"/>
        <w:rPr>
          <w:rFonts w:ascii="Times New Roman" w:hAnsi="Times New Roman"/>
          <w:noProof/>
          <w:sz w:val="24"/>
        </w:rPr>
      </w:pPr>
    </w:p>
    <w:p w14:paraId="1216C077" w14:textId="77777777" w:rsidR="003C4798" w:rsidRDefault="00417595">
      <w:pPr>
        <w:pStyle w:val="P68B1DB1-Normal40"/>
        <w:spacing w:before="120" w:after="120" w:line="240" w:lineRule="auto"/>
        <w:jc w:val="both"/>
        <w:rPr>
          <w:noProof/>
        </w:rPr>
      </w:pPr>
      <w:r>
        <w:rPr>
          <w:noProof/>
        </w:rPr>
        <w:t>E3.1.1 Facilité de soutien à une économie à faible intensité de carbone</w:t>
      </w:r>
    </w:p>
    <w:p w14:paraId="1216C078" w14:textId="77777777" w:rsidR="003C4798" w:rsidRDefault="00417595">
      <w:pPr>
        <w:pStyle w:val="P68B1DB1-Normal049"/>
        <w:spacing w:before="120" w:after="120" w:line="240" w:lineRule="auto"/>
        <w:jc w:val="both"/>
        <w:rPr>
          <w:noProof/>
          <w:szCs w:val="24"/>
        </w:rPr>
      </w:pPr>
      <w:r>
        <w:rPr>
          <w:noProof/>
          <w:szCs w:val="24"/>
        </w:rPr>
        <w:t xml:space="preserve">L’objectif </w:t>
      </w:r>
      <w:r>
        <w:rPr>
          <w:noProof/>
          <w:color w:val="000000"/>
        </w:rPr>
        <w:t xml:space="preserve">de cet investissement est de contribuer au </w:t>
      </w:r>
      <w:r>
        <w:rPr>
          <w:noProof/>
          <w:szCs w:val="24"/>
        </w:rPr>
        <w:t>développement de l’économie à faibles émissions de carbone et à émissions nulles en soutenant des projets industriels dans les secteurs de la mobilité propre et de l’énergie. Cette mesure consiste en un investissement public dans une facilité qui fonctionne en fournissant des investissements en fonds propres directement au secteur privé ainsi qu’au secteur public exerçant des activités similaires.</w:t>
      </w:r>
    </w:p>
    <w:p w14:paraId="1216C079" w14:textId="77777777" w:rsidR="003C4798" w:rsidRDefault="003C4798">
      <w:pPr>
        <w:pStyle w:val="Normal0"/>
        <w:spacing w:before="120" w:after="120" w:line="240" w:lineRule="auto"/>
        <w:jc w:val="both"/>
        <w:rPr>
          <w:rFonts w:ascii="Times New Roman" w:hAnsi="Times New Roman"/>
          <w:noProof/>
          <w:sz w:val="24"/>
          <w:szCs w:val="24"/>
        </w:rPr>
      </w:pPr>
    </w:p>
    <w:p w14:paraId="1216C07A" w14:textId="77777777" w:rsidR="003C4798" w:rsidRDefault="003C4798">
      <w:pPr>
        <w:pStyle w:val="Normal0"/>
        <w:pBdr>
          <w:top w:val="nil"/>
          <w:left w:val="nil"/>
          <w:bottom w:val="nil"/>
          <w:right w:val="nil"/>
          <w:between w:val="nil"/>
        </w:pBdr>
        <w:spacing w:before="120" w:after="120" w:line="240" w:lineRule="auto"/>
        <w:jc w:val="both"/>
        <w:rPr>
          <w:rFonts w:ascii="Times New Roman" w:hAnsi="Times New Roman"/>
          <w:noProof/>
          <w:sz w:val="24"/>
          <w:szCs w:val="24"/>
        </w:rPr>
      </w:pPr>
    </w:p>
    <w:p w14:paraId="1216C07B" w14:textId="77777777" w:rsidR="003C4798" w:rsidRDefault="003C4798">
      <w:pPr>
        <w:pStyle w:val="LegalNumPar"/>
        <w:numPr>
          <w:ilvl w:val="0"/>
          <w:numId w:val="0"/>
        </w:numPr>
        <w:spacing w:after="160" w:line="259" w:lineRule="auto"/>
        <w:jc w:val="both"/>
        <w:rPr>
          <w:rFonts w:ascii="Times New Roman" w:eastAsia="Times New Roman" w:hAnsi="Times New Roman" w:cs="Times New Roman"/>
          <w:noProof/>
        </w:rPr>
        <w:sectPr w:rsidR="003C4798" w:rsidSect="006C5441">
          <w:headerReference w:type="even" r:id="rId132"/>
          <w:headerReference w:type="default" r:id="rId133"/>
          <w:footerReference w:type="even" r:id="rId134"/>
          <w:footerReference w:type="default" r:id="rId135"/>
          <w:headerReference w:type="first" r:id="rId136"/>
          <w:footerReference w:type="first" r:id="rId137"/>
          <w:pgSz w:w="11907" w:h="16839"/>
          <w:pgMar w:top="1134" w:right="1134" w:bottom="1134" w:left="1134" w:header="567" w:footer="567" w:gutter="0"/>
          <w:cols w:space="720"/>
          <w:docGrid w:linePitch="299"/>
        </w:sectPr>
      </w:pPr>
    </w:p>
    <w:p w14:paraId="1216C07C" w14:textId="77777777" w:rsidR="003C4798" w:rsidRDefault="00417595">
      <w:pPr>
        <w:pStyle w:val="LegalNumPar"/>
        <w:numPr>
          <w:ilvl w:val="0"/>
          <w:numId w:val="0"/>
        </w:numPr>
        <w:spacing w:after="160" w:line="259" w:lineRule="auto"/>
        <w:jc w:val="both"/>
        <w:rPr>
          <w:rFonts w:ascii="Times New Roman" w:hAnsi="Times New Roman" w:cs="Times New Roman"/>
          <w:noProof/>
        </w:rPr>
      </w:pPr>
      <w:r>
        <w:rPr>
          <w:rFonts w:ascii="Times New Roman" w:hAnsi="Times New Roman"/>
          <w:b/>
          <w:noProof/>
          <w:color w:val="000000"/>
        </w:rPr>
        <w:t xml:space="preserve">E.4. </w:t>
      </w:r>
      <w:r>
        <w:rPr>
          <w:noProof/>
        </w:rPr>
        <w:t xml:space="preserve"> </w:t>
      </w:r>
      <w:r>
        <w:rPr>
          <w:rFonts w:ascii="Times New Roman" w:hAnsi="Times New Roman"/>
          <w:b/>
          <w:noProof/>
          <w:color w:val="000000"/>
        </w:rPr>
        <w:t>Étapes, objectifs, indicateurs et calendrier du suivi et de la mise en œuvre du prêt</w:t>
      </w:r>
    </w:p>
    <w:tbl>
      <w:tblPr>
        <w:tblW w:w="1530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2"/>
        <w:gridCol w:w="1519"/>
        <w:gridCol w:w="1245"/>
        <w:gridCol w:w="1932"/>
        <w:gridCol w:w="1519"/>
        <w:gridCol w:w="969"/>
        <w:gridCol w:w="969"/>
        <w:gridCol w:w="1363"/>
        <w:gridCol w:w="1129"/>
        <w:gridCol w:w="851"/>
        <w:gridCol w:w="2981"/>
      </w:tblGrid>
      <w:tr w:rsidR="003C4798" w14:paraId="1216C085" w14:textId="77777777" w:rsidTr="00DA6ACB">
        <w:trPr>
          <w:trHeight w:val="696"/>
          <w:tblHeader/>
          <w:jc w:val="center"/>
        </w:trPr>
        <w:tc>
          <w:tcPr>
            <w:tcW w:w="832" w:type="dxa"/>
            <w:vMerge w:val="restart"/>
            <w:shd w:val="clear" w:color="auto" w:fill="BDD7EE"/>
            <w:vAlign w:val="center"/>
          </w:tcPr>
          <w:p w14:paraId="1216C07D"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Seq. N°</w:t>
            </w:r>
          </w:p>
        </w:tc>
        <w:tc>
          <w:tcPr>
            <w:tcW w:w="1519" w:type="dxa"/>
            <w:vMerge w:val="restart"/>
            <w:shd w:val="clear" w:color="auto" w:fill="BDD7EE"/>
            <w:vAlign w:val="center"/>
          </w:tcPr>
          <w:p w14:paraId="1216C07E"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Mesure connexe (réforme ou investissement)</w:t>
            </w:r>
          </w:p>
        </w:tc>
        <w:tc>
          <w:tcPr>
            <w:tcW w:w="1245" w:type="dxa"/>
            <w:vMerge w:val="restart"/>
            <w:shd w:val="clear" w:color="auto" w:fill="BDD7EE"/>
            <w:vAlign w:val="center"/>
          </w:tcPr>
          <w:p w14:paraId="1216C07F"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Étape/cible</w:t>
            </w:r>
          </w:p>
        </w:tc>
        <w:tc>
          <w:tcPr>
            <w:tcW w:w="1932" w:type="dxa"/>
            <w:vMerge w:val="restart"/>
            <w:shd w:val="clear" w:color="auto" w:fill="BDD7EE"/>
            <w:vAlign w:val="center"/>
          </w:tcPr>
          <w:p w14:paraId="1216C080"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Nom</w:t>
            </w:r>
          </w:p>
        </w:tc>
        <w:tc>
          <w:tcPr>
            <w:tcW w:w="1519" w:type="dxa"/>
            <w:vMerge w:val="restart"/>
            <w:shd w:val="clear" w:color="auto" w:fill="BDD7EE"/>
            <w:vAlign w:val="center"/>
          </w:tcPr>
          <w:p w14:paraId="1216C081" w14:textId="00C86114"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Indicateurs qualitatifs (pour les jalons)</w:t>
            </w:r>
          </w:p>
        </w:tc>
        <w:tc>
          <w:tcPr>
            <w:tcW w:w="3301" w:type="dxa"/>
            <w:gridSpan w:val="3"/>
            <w:shd w:val="clear" w:color="auto" w:fill="BDD7EE"/>
            <w:vAlign w:val="center"/>
          </w:tcPr>
          <w:p w14:paraId="1216C082" w14:textId="3211887D"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Indicateurs quantitatifs (pour les objectifs)</w:t>
            </w:r>
          </w:p>
        </w:tc>
        <w:tc>
          <w:tcPr>
            <w:tcW w:w="1980" w:type="dxa"/>
            <w:gridSpan w:val="2"/>
            <w:shd w:val="clear" w:color="auto" w:fill="BDD7EE"/>
            <w:vAlign w:val="center"/>
          </w:tcPr>
          <w:p w14:paraId="1216C083"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Calendrier indicatif d'achèvement</w:t>
            </w:r>
          </w:p>
        </w:tc>
        <w:tc>
          <w:tcPr>
            <w:tcW w:w="2981" w:type="dxa"/>
            <w:vMerge w:val="restart"/>
            <w:shd w:val="clear" w:color="auto" w:fill="BDD7EE"/>
            <w:vAlign w:val="center"/>
          </w:tcPr>
          <w:p w14:paraId="1216C084"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Description de chaque jalon et cible</w:t>
            </w:r>
          </w:p>
        </w:tc>
      </w:tr>
      <w:tr w:rsidR="003C4798" w14:paraId="1216C091" w14:textId="77777777" w:rsidTr="00DA6ACB">
        <w:trPr>
          <w:trHeight w:val="694"/>
          <w:jc w:val="center"/>
        </w:trPr>
        <w:tc>
          <w:tcPr>
            <w:tcW w:w="832" w:type="dxa"/>
            <w:vMerge/>
            <w:vAlign w:val="center"/>
          </w:tcPr>
          <w:p w14:paraId="1216C086"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519" w:type="dxa"/>
            <w:vMerge/>
            <w:vAlign w:val="center"/>
          </w:tcPr>
          <w:p w14:paraId="1216C087"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45" w:type="dxa"/>
            <w:vMerge/>
            <w:vAlign w:val="center"/>
          </w:tcPr>
          <w:p w14:paraId="1216C088" w14:textId="77777777" w:rsidR="003C4798" w:rsidRDefault="003C4798">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32" w:type="dxa"/>
            <w:vMerge/>
            <w:vAlign w:val="center"/>
          </w:tcPr>
          <w:p w14:paraId="1216C089"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19" w:type="dxa"/>
            <w:vMerge/>
            <w:vAlign w:val="center"/>
          </w:tcPr>
          <w:p w14:paraId="1216C08A"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69" w:type="dxa"/>
            <w:shd w:val="clear" w:color="auto" w:fill="BDD7EE"/>
            <w:vAlign w:val="center"/>
          </w:tcPr>
          <w:p w14:paraId="1216C08B"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Unité de mesure</w:t>
            </w:r>
          </w:p>
        </w:tc>
        <w:tc>
          <w:tcPr>
            <w:tcW w:w="969" w:type="dxa"/>
            <w:shd w:val="clear" w:color="auto" w:fill="BDD7EE"/>
            <w:vAlign w:val="center"/>
          </w:tcPr>
          <w:p w14:paraId="1216C08C"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Données de référence</w:t>
            </w:r>
          </w:p>
        </w:tc>
        <w:tc>
          <w:tcPr>
            <w:tcW w:w="1363" w:type="dxa"/>
            <w:shd w:val="clear" w:color="auto" w:fill="BDD7EE"/>
            <w:vAlign w:val="center"/>
          </w:tcPr>
          <w:p w14:paraId="1216C08D"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Objectif</w:t>
            </w:r>
          </w:p>
        </w:tc>
        <w:tc>
          <w:tcPr>
            <w:tcW w:w="1129" w:type="dxa"/>
            <w:shd w:val="clear" w:color="auto" w:fill="BDD7EE"/>
            <w:vAlign w:val="center"/>
          </w:tcPr>
          <w:p w14:paraId="1216C08E"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Trimestre</w:t>
            </w:r>
          </w:p>
        </w:tc>
        <w:tc>
          <w:tcPr>
            <w:tcW w:w="851" w:type="dxa"/>
            <w:shd w:val="clear" w:color="auto" w:fill="BDD7EE"/>
            <w:vAlign w:val="center"/>
          </w:tcPr>
          <w:p w14:paraId="1216C08F" w14:textId="77777777" w:rsidR="003C4798" w:rsidRDefault="00417595">
            <w:pPr>
              <w:pStyle w:val="P68B1DB1-Normal061"/>
              <w:pBdr>
                <w:top w:val="nil"/>
                <w:left w:val="nil"/>
                <w:bottom w:val="nil"/>
                <w:right w:val="nil"/>
                <w:between w:val="nil"/>
              </w:pBdr>
              <w:spacing w:after="0" w:line="240" w:lineRule="auto"/>
              <w:jc w:val="center"/>
              <w:rPr>
                <w:rFonts w:eastAsia="Times New Roman"/>
                <w:noProof/>
              </w:rPr>
            </w:pPr>
            <w:r>
              <w:rPr>
                <w:noProof/>
              </w:rPr>
              <w:t>Année</w:t>
            </w:r>
          </w:p>
        </w:tc>
        <w:tc>
          <w:tcPr>
            <w:tcW w:w="2981" w:type="dxa"/>
            <w:vMerge/>
            <w:vAlign w:val="center"/>
          </w:tcPr>
          <w:p w14:paraId="1216C090" w14:textId="77777777" w:rsidR="003C4798" w:rsidRDefault="003C4798">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C4798" w14:paraId="1216C0A1" w14:textId="77777777" w:rsidTr="00DA6ACB">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2"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E1L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3"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E1.2 Accroître la part des transports à émissions nulles et faibles, prévenir et réduire l'impact négatif des transports sur l'environnement</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4"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5" w14:textId="23C64B55"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Entrée en vigueur d’un acte juridique introduisant l’obligation de zones à faibles émissions pour certaines villes les plus polluées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6" w14:textId="0944CE3B" w:rsidR="003C4798" w:rsidRDefault="00417595">
            <w:pPr>
              <w:pStyle w:val="P68B1DB1-Normal062"/>
              <w:pBdr>
                <w:top w:val="nil"/>
                <w:left w:val="nil"/>
                <w:bottom w:val="nil"/>
                <w:right w:val="nil"/>
                <w:between w:val="nil"/>
              </w:pBdr>
              <w:spacing w:after="0" w:line="240" w:lineRule="auto"/>
              <w:rPr>
                <w:rFonts w:eastAsia="Times New Roman"/>
                <w:noProof/>
                <w:color w:val="000000" w:themeColor="text1"/>
              </w:rPr>
            </w:pPr>
            <w:r>
              <w:rPr>
                <w:noProof/>
              </w:rPr>
              <w:t>Disposition de l’acte juridique indiquant son entrée en vigueur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8"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9"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A"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B"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2024</w:t>
            </w:r>
          </w:p>
        </w:tc>
        <w:tc>
          <w:tcPr>
            <w:tcW w:w="2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C" w14:textId="200B939A" w:rsidR="003C4798" w:rsidRDefault="00417595">
            <w:pPr>
              <w:pStyle w:val="P68B1DB1-Normal021"/>
              <w:spacing w:after="0" w:line="240" w:lineRule="auto"/>
              <w:rPr>
                <w:noProof/>
                <w:color w:val="000000" w:themeColor="text1"/>
              </w:rPr>
            </w:pPr>
            <w:r>
              <w:rPr>
                <w:noProof/>
                <w:color w:val="000000" w:themeColor="text1"/>
              </w:rPr>
              <w:t xml:space="preserve">L’acte juridique prévoit l’obligation, à partir du premier trimestre 2025, de créer des zones de transport à faibles émissions dans les villes de plus de 100 000 habitants, en cas d’excès de substances nocives (NO2) par rapport aux seuils de pollution atmosphérique de l’Union. </w:t>
            </w:r>
          </w:p>
          <w:p w14:paraId="1216C09D" w14:textId="77777777" w:rsidR="003C4798" w:rsidRDefault="003C4798">
            <w:pPr>
              <w:pStyle w:val="Normal0"/>
              <w:spacing w:after="0" w:line="240" w:lineRule="auto"/>
              <w:rPr>
                <w:rFonts w:ascii="Times New Roman" w:hAnsi="Times New Roman" w:cs="Times New Roman"/>
                <w:noProof/>
                <w:color w:val="000000" w:themeColor="text1"/>
                <w:sz w:val="18"/>
                <w:szCs w:val="18"/>
              </w:rPr>
            </w:pPr>
          </w:p>
          <w:p w14:paraId="1216C09E" w14:textId="1FAFB105" w:rsidR="003C4798" w:rsidRDefault="00417595">
            <w:pPr>
              <w:pStyle w:val="P68B1DB1-Normal062"/>
              <w:spacing w:after="0" w:line="240" w:lineRule="auto"/>
              <w:rPr>
                <w:noProof/>
                <w:color w:val="000000" w:themeColor="text1"/>
              </w:rPr>
            </w:pPr>
            <w:r>
              <w:rPr>
                <w:noProof/>
              </w:rPr>
              <w:t>L’acte juridique précise que cette obligation s’applique à toutes les villes de plus de 100 000 habitants qui dépassent les limites de qualité de l’air définies dans le rapport sur la qualité de l’air qui doit être établi au plus tard le 30 avril de chaque année par l’inspection générale de la protection de l’environnement et que des zones de transport à faibles émissions sont établies dans ces villes à compter du 1er janvier de l’année suivante.</w:t>
            </w:r>
          </w:p>
          <w:p w14:paraId="1216C09F" w14:textId="77777777" w:rsidR="003C4798" w:rsidRDefault="003C4798">
            <w:pPr>
              <w:pStyle w:val="Normal0"/>
              <w:spacing w:after="0" w:line="240" w:lineRule="auto"/>
              <w:rPr>
                <w:rFonts w:ascii="Times New Roman" w:hAnsi="Times New Roman" w:cs="Times New Roman"/>
                <w:noProof/>
                <w:color w:val="000000" w:themeColor="text1"/>
                <w:sz w:val="18"/>
                <w:szCs w:val="18"/>
              </w:rPr>
            </w:pPr>
          </w:p>
          <w:p w14:paraId="1216C0A0" w14:textId="772A2F3E" w:rsidR="003C4798" w:rsidRDefault="00417595">
            <w:pPr>
              <w:pStyle w:val="P68B1DB1-Normal062"/>
              <w:spacing w:after="0" w:line="240" w:lineRule="auto"/>
              <w:rPr>
                <w:noProof/>
                <w:color w:val="000000" w:themeColor="text1"/>
              </w:rPr>
            </w:pPr>
            <w:r>
              <w:rPr>
                <w:noProof/>
              </w:rPr>
              <w:t>L’acte juridique continue également à prévoir la possibilité d’introduire des zones de transport à faibles émissions dans toutes les zones urbaines, quel que soit le nombre d’habitants.</w:t>
            </w:r>
          </w:p>
        </w:tc>
      </w:tr>
      <w:tr w:rsidR="003C4798" w14:paraId="1216C0AD" w14:textId="77777777" w:rsidTr="00DA6ACB">
        <w:trPr>
          <w:trHeight w:val="173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2"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E2L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3"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E1.2 Accroître la part des transports à émissions nulles et faibles, prévenir et réduire l'impact négatif des transports sur l'environnement</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4"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5" w14:textId="3226CDB5"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Zones de transport à faibles émissions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6"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Établissement de zones de transport à faibles émissions</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7"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8"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9" w14:textId="77777777" w:rsidR="003C4798" w:rsidRDefault="003C47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A"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0000" w:themeColor="text1"/>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B"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2025</w:t>
            </w:r>
          </w:p>
        </w:tc>
        <w:tc>
          <w:tcPr>
            <w:tcW w:w="2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C" w14:textId="15AE57C6" w:rsidR="003C4798" w:rsidRDefault="00417595">
            <w:pPr>
              <w:pStyle w:val="P68B1DB1-Normal062"/>
              <w:spacing w:after="0" w:line="240" w:lineRule="auto"/>
              <w:rPr>
                <w:noProof/>
                <w:color w:val="000000" w:themeColor="text1"/>
              </w:rPr>
            </w:pPr>
            <w:r>
              <w:rPr>
                <w:noProof/>
              </w:rPr>
              <w:t>Des zones de transport à faibles émissions sont établies dans les villes de plus de 100 000 habitants où les seuils de qualité de l’air sont dépassés, comme indiqué dans le dernier rapport sur la qualité de l’air de l’inspection générale de la protection de l’environnement disponible à partir de 2025.</w:t>
            </w:r>
          </w:p>
        </w:tc>
      </w:tr>
      <w:tr w:rsidR="003C4798" w14:paraId="1216C0B9" w14:textId="77777777" w:rsidTr="00DA6ACB">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E" w14:textId="77777777" w:rsidR="003C4798" w:rsidRDefault="00417595">
            <w:pPr>
              <w:pStyle w:val="P68B1DB1-Normal021"/>
              <w:pBdr>
                <w:top w:val="nil"/>
                <w:left w:val="nil"/>
                <w:bottom w:val="nil"/>
                <w:right w:val="nil"/>
                <w:between w:val="nil"/>
              </w:pBdr>
              <w:spacing w:after="0" w:line="240" w:lineRule="auto"/>
              <w:jc w:val="center"/>
              <w:rPr>
                <w:rFonts w:eastAsia="Times New Roman"/>
                <w:noProof/>
                <w:color w:val="006100"/>
              </w:rPr>
            </w:pPr>
            <w:r>
              <w:rPr>
                <w:noProof/>
              </w:rPr>
              <w:t>E4L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F" w14:textId="71C3DF46"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E1.2.1 Transports publics dans les villes (trams)</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0"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Objectif</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1" w14:textId="0259831C" w:rsidR="003C4798" w:rsidRDefault="00417595">
            <w:pPr>
              <w:pStyle w:val="P68B1DB1-Normal062"/>
              <w:spacing w:after="0" w:line="240" w:lineRule="auto"/>
              <w:rPr>
                <w:rFonts w:eastAsia="Times New Roman"/>
                <w:noProof/>
                <w:color w:val="006100"/>
              </w:rPr>
            </w:pPr>
            <w:r>
              <w:rPr>
                <w:noProof/>
              </w:rPr>
              <w:t xml:space="preserve">Tramway </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2" w14:textId="77777777" w:rsidR="003C4798" w:rsidRDefault="00417595">
            <w:pPr>
              <w:pStyle w:val="P68B1DB1-Normal062"/>
              <w:pBdr>
                <w:top w:val="nil"/>
                <w:left w:val="nil"/>
                <w:bottom w:val="nil"/>
                <w:right w:val="nil"/>
                <w:between w:val="nil"/>
              </w:pBdr>
              <w:spacing w:after="0" w:line="240" w:lineRule="auto"/>
              <w:rPr>
                <w:rFonts w:eastAsia="Times New Roman"/>
                <w:noProof/>
                <w:color w:val="006100"/>
              </w:rPr>
            </w:pPr>
            <w:r>
              <w:rPr>
                <w:noProof/>
              </w:rPr>
              <w:t xml:space="preserve"> </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3"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Numéro</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4"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0</w:t>
            </w: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5"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88</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6" w14:textId="3F077442" w:rsidR="003C4798" w:rsidRDefault="00417595">
            <w:pPr>
              <w:pStyle w:val="P68B1DB1-Normal062"/>
              <w:spacing w:after="0" w:line="240" w:lineRule="auto"/>
              <w:jc w:val="center"/>
              <w:rPr>
                <w:rFonts w:eastAsia="Times New Roman"/>
                <w:noProof/>
                <w:color w:val="006100"/>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7" w14:textId="77777777" w:rsidR="003C4798" w:rsidRDefault="00417595">
            <w:pPr>
              <w:pStyle w:val="P68B1DB1-Normal062"/>
              <w:pBdr>
                <w:top w:val="nil"/>
                <w:left w:val="nil"/>
                <w:bottom w:val="nil"/>
                <w:right w:val="nil"/>
                <w:between w:val="nil"/>
              </w:pBdr>
              <w:spacing w:after="0" w:line="240" w:lineRule="auto"/>
              <w:jc w:val="center"/>
              <w:rPr>
                <w:rFonts w:eastAsia="Times New Roman"/>
                <w:noProof/>
                <w:color w:val="006100"/>
              </w:rPr>
            </w:pPr>
            <w:r>
              <w:rPr>
                <w:noProof/>
              </w:rPr>
              <w:t>2026</w:t>
            </w:r>
          </w:p>
        </w:tc>
        <w:tc>
          <w:tcPr>
            <w:tcW w:w="2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8" w14:textId="6756A95C" w:rsidR="003C4798" w:rsidRDefault="00417595">
            <w:pPr>
              <w:pStyle w:val="P68B1DB1-Normal82"/>
              <w:spacing w:line="240" w:lineRule="auto"/>
              <w:rPr>
                <w:noProof/>
              </w:rPr>
            </w:pPr>
            <w:r>
              <w:rPr>
                <w:noProof/>
              </w:rPr>
              <w:t>Protocoles confirmant l'acceptation de 88 tramways.</w:t>
            </w:r>
          </w:p>
        </w:tc>
      </w:tr>
      <w:tr w:rsidR="003C4798" w14:paraId="1216C0C5" w14:textId="77777777" w:rsidTr="00DA6ACB">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A"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E5L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B"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E2.3 Améliorer l’accessibilité des transports, la sécurité et les solutions numériques</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C"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D"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Entrée en vigueur d'un acte juridique introduisant des améliorations des droits des passagers dans le domaine des exigences relatives au matériel roulant</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E"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Disposition des actes juridiques indiquant l’entrée en vigueur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F"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0"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1"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2"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3"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2022</w:t>
            </w:r>
          </w:p>
        </w:tc>
        <w:tc>
          <w:tcPr>
            <w:tcW w:w="2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4" w14:textId="1592D5D0" w:rsidR="003C4798" w:rsidRDefault="00417595">
            <w:pPr>
              <w:pStyle w:val="P68B1DB1-Normal021"/>
              <w:pBdr>
                <w:top w:val="nil"/>
                <w:left w:val="nil"/>
                <w:bottom w:val="nil"/>
                <w:right w:val="nil"/>
                <w:between w:val="nil"/>
              </w:pBdr>
              <w:spacing w:after="0" w:line="240" w:lineRule="auto"/>
              <w:rPr>
                <w:noProof/>
              </w:rPr>
            </w:pPr>
            <w:r>
              <w:rPr>
                <w:noProof/>
                <w:color w:val="000000" w:themeColor="text1"/>
              </w:rPr>
              <w:t>Des normes techniques et fonctionnelles pour les investissements ferroviaires</w:t>
            </w:r>
            <w:r>
              <w:rPr>
                <w:noProof/>
              </w:rPr>
              <w:t xml:space="preserve"> sont introduites par un acte juridique afin de garantir des solutions d’infrastructure adéquates répondant aux besoins des voyageurs à mobilité réduite. À cette fin, l’acte juridique abroge les dispositions nationales pertinentes dérogatoires au règlement (CE) n° 1371/2007 sur les droits et obligations des voyageurs ferroviaires.</w:t>
            </w:r>
          </w:p>
        </w:tc>
      </w:tr>
      <w:tr w:rsidR="003C4798" w14:paraId="1216C0D1" w14:textId="77777777" w:rsidTr="00DA6ACB">
        <w:trPr>
          <w:trHeight w:val="2178"/>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6" w14:textId="77777777" w:rsidR="003C4798" w:rsidRDefault="00417595">
            <w:pPr>
              <w:pStyle w:val="P68B1DB1-Normal021"/>
              <w:pBdr>
                <w:top w:val="nil"/>
                <w:left w:val="nil"/>
                <w:bottom w:val="nil"/>
                <w:right w:val="nil"/>
                <w:between w:val="nil"/>
              </w:pBdr>
              <w:spacing w:after="0" w:line="240" w:lineRule="auto"/>
              <w:jc w:val="center"/>
              <w:rPr>
                <w:noProof/>
                <w:color w:val="006100"/>
              </w:rPr>
            </w:pPr>
            <w:r>
              <w:rPr>
                <w:noProof/>
              </w:rPr>
              <w:t>E6L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7"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E2.3 Améliorer l’accessibilité des transports, la sécurité et les solutions numériques</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8"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9"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Obligation de mettre à niveau le matériel roulant national et international avec des exigences pour les passagers handicapés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A" w14:textId="77777777" w:rsidR="003C4798" w:rsidRDefault="00417595">
            <w:pPr>
              <w:pStyle w:val="P68B1DB1-Normal062"/>
              <w:pBdr>
                <w:top w:val="nil"/>
                <w:left w:val="nil"/>
                <w:bottom w:val="nil"/>
                <w:right w:val="nil"/>
                <w:between w:val="nil"/>
              </w:pBdr>
              <w:spacing w:after="0" w:line="240" w:lineRule="auto"/>
              <w:rPr>
                <w:noProof/>
                <w:color w:val="006100"/>
              </w:rPr>
            </w:pPr>
            <w:r>
              <w:rPr>
                <w:noProof/>
              </w:rPr>
              <w:t>Disposition de l’acte juridique indiquant l’entrée en vigueur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B"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C"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D" w14:textId="77777777" w:rsidR="003C4798" w:rsidRDefault="003C4798">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rPr>
            </w:pP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E"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F" w14:textId="77777777" w:rsidR="003C4798" w:rsidRDefault="00417595">
            <w:pPr>
              <w:pStyle w:val="P68B1DB1-Normal062"/>
              <w:pBdr>
                <w:top w:val="nil"/>
                <w:left w:val="nil"/>
                <w:bottom w:val="nil"/>
                <w:right w:val="nil"/>
                <w:between w:val="nil"/>
              </w:pBdr>
              <w:spacing w:after="0" w:line="240" w:lineRule="auto"/>
              <w:jc w:val="center"/>
              <w:rPr>
                <w:noProof/>
                <w:color w:val="006100"/>
              </w:rPr>
            </w:pPr>
            <w:r>
              <w:rPr>
                <w:noProof/>
              </w:rPr>
              <w:t>2024</w:t>
            </w:r>
          </w:p>
        </w:tc>
        <w:tc>
          <w:tcPr>
            <w:tcW w:w="2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0" w14:textId="5E19BD57" w:rsidR="003C4798" w:rsidRDefault="00417595">
            <w:pPr>
              <w:pStyle w:val="P68B1DB1-Normal062"/>
              <w:pBdr>
                <w:top w:val="nil"/>
                <w:left w:val="nil"/>
                <w:bottom w:val="nil"/>
                <w:right w:val="nil"/>
                <w:between w:val="nil"/>
              </w:pBdr>
              <w:spacing w:after="0" w:line="240" w:lineRule="auto"/>
              <w:rPr>
                <w:noProof/>
                <w:color w:val="006100"/>
              </w:rPr>
            </w:pPr>
            <w:r>
              <w:rPr>
                <w:noProof/>
              </w:rPr>
              <w:t>Entrée en vigueur des dispositions pertinentes visant à adapter le matériel roulant ferroviaire aux exigences en matière de droits des passagers, en adaptant l’article 9, paragraphe 3, du règlement (UE) 2021/782 (lorsque la modernisation est justifiée et rationnelle en ce qui concerne la durée d’exploitation prévue du matériel roulant) pour que le matériel roulant national et international soit modernisé en faveur des passagers handicapés et renforce les droits des passagers.</w:t>
            </w:r>
          </w:p>
        </w:tc>
      </w:tr>
      <w:tr w:rsidR="003C4798" w14:paraId="1216C0E4" w14:textId="77777777" w:rsidTr="00DA6ACB">
        <w:trPr>
          <w:trHeight w:val="3090"/>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2" w14:textId="77777777" w:rsidR="003C4798" w:rsidRDefault="00417595">
            <w:pPr>
              <w:pStyle w:val="P68B1DB1-Normal82"/>
              <w:spacing w:after="0" w:line="240" w:lineRule="auto"/>
              <w:jc w:val="center"/>
              <w:rPr>
                <w:noProof/>
              </w:rPr>
            </w:pPr>
            <w:r>
              <w:rPr>
                <w:noProof/>
              </w:rPr>
              <w:t>E7L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3" w14:textId="77777777" w:rsidR="003C4798" w:rsidRDefault="00417595">
            <w:pPr>
              <w:pStyle w:val="P68B1DB1-Normal82"/>
              <w:spacing w:after="0" w:line="240" w:lineRule="auto"/>
              <w:rPr>
                <w:noProof/>
              </w:rPr>
            </w:pPr>
            <w:r>
              <w:rPr>
                <w:noProof/>
              </w:rPr>
              <w:t>E3.1.1 Facilité de soutien à une économie à faible intensité de carbone</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4" w14:textId="77777777" w:rsidR="003C4798" w:rsidRDefault="00417595">
            <w:pPr>
              <w:pStyle w:val="P68B1DB1-Normal82"/>
              <w:spacing w:after="0" w:line="240" w:lineRule="auto"/>
              <w:jc w:val="center"/>
              <w:rPr>
                <w:noProof/>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5" w14:textId="77777777" w:rsidR="003C4798" w:rsidRDefault="00417595">
            <w:pPr>
              <w:pStyle w:val="P68B1DB1-Normal82"/>
              <w:spacing w:after="0" w:line="240" w:lineRule="auto"/>
              <w:rPr>
                <w:noProof/>
              </w:rPr>
            </w:pPr>
            <w:r>
              <w:rPr>
                <w:noProof/>
              </w:rPr>
              <w:t>Accord de mise en œuvre</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6" w14:textId="77777777" w:rsidR="003C4798" w:rsidRDefault="00417595">
            <w:pPr>
              <w:pStyle w:val="P68B1DB1-Normal82"/>
              <w:spacing w:after="0" w:line="240" w:lineRule="auto"/>
              <w:rPr>
                <w:noProof/>
              </w:rPr>
            </w:pPr>
            <w:r>
              <w:rPr>
                <w:noProof/>
              </w:rPr>
              <w:t>Signature de l'accord de mise en œuvre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7"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8"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9"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A" w14:textId="77777777" w:rsidR="003C4798" w:rsidRDefault="00417595">
            <w:pPr>
              <w:pStyle w:val="P68B1DB1-Normal82"/>
              <w:spacing w:after="0" w:line="240" w:lineRule="auto"/>
              <w:jc w:val="center"/>
              <w:rPr>
                <w:noProof/>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B" w14:textId="77777777" w:rsidR="003C4798" w:rsidRDefault="00417595">
            <w:pPr>
              <w:pStyle w:val="P68B1DB1-Normal82"/>
              <w:spacing w:after="0" w:line="240" w:lineRule="auto"/>
              <w:jc w:val="center"/>
              <w:rPr>
                <w:noProof/>
              </w:rPr>
            </w:pPr>
            <w:r>
              <w:rPr>
                <w:noProof/>
              </w:rPr>
              <w:t>2025</w:t>
            </w:r>
          </w:p>
        </w:tc>
        <w:tc>
          <w:tcPr>
            <w:tcW w:w="2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C" w14:textId="77777777" w:rsidR="003C4798" w:rsidRDefault="00417595">
            <w:pPr>
              <w:pStyle w:val="P68B1DB1-Normal82"/>
              <w:spacing w:after="0" w:line="240" w:lineRule="auto"/>
              <w:rPr>
                <w:noProof/>
              </w:rPr>
            </w:pPr>
            <w:r>
              <w:rPr>
                <w:noProof/>
              </w:rPr>
              <w:t>Signature de l'accord de mise en œuvre avec le Fonds national pour la protection de l'environnement et la gestion de l'eau. L'accord de mise en œuvre inclut la politique d'investissement de la facilité, qui précise que:</w:t>
            </w:r>
          </w:p>
          <w:p w14:paraId="1216C0DD" w14:textId="77777777" w:rsidR="003C4798" w:rsidRDefault="00417595">
            <w:pPr>
              <w:pStyle w:val="P68B1DB1-ListParagraph83"/>
              <w:numPr>
                <w:ilvl w:val="0"/>
                <w:numId w:val="25"/>
              </w:numPr>
              <w:spacing w:after="0" w:line="240" w:lineRule="auto"/>
              <w:rPr>
                <w:noProof/>
              </w:rPr>
            </w:pPr>
            <w:r>
              <w:rPr>
                <w:noProof/>
              </w:rPr>
              <w:t>la facilité est gérée par le Fonds national pour la protection de l’environnement et la gestion de l’eau (NFOŚiGW);</w:t>
            </w:r>
          </w:p>
          <w:p w14:paraId="1216C0DE" w14:textId="77777777" w:rsidR="003C4798" w:rsidRDefault="00417595">
            <w:pPr>
              <w:pStyle w:val="P68B1DB1-ListParagraph83"/>
              <w:numPr>
                <w:ilvl w:val="0"/>
                <w:numId w:val="25"/>
              </w:numPr>
              <w:spacing w:after="0" w:line="240" w:lineRule="auto"/>
              <w:rPr>
                <w:noProof/>
              </w:rPr>
            </w:pPr>
            <w:r>
              <w:rPr>
                <w:noProof/>
              </w:rPr>
              <w:t>la facilité fonctionne en fournissant des investissements en fonds propres directement au secteur privé ainsi qu’au secteur public exerçant des activités similaires;</w:t>
            </w:r>
          </w:p>
          <w:p w14:paraId="1216C0DF" w14:textId="77777777" w:rsidR="003C4798" w:rsidRDefault="00417595">
            <w:pPr>
              <w:pStyle w:val="P68B1DB1-ListParagraph83"/>
              <w:numPr>
                <w:ilvl w:val="0"/>
                <w:numId w:val="25"/>
              </w:numPr>
              <w:spacing w:after="0" w:line="240" w:lineRule="auto"/>
              <w:rPr>
                <w:noProof/>
              </w:rPr>
            </w:pPr>
            <w:r>
              <w:rPr>
                <w:noProof/>
              </w:rPr>
              <w:t>l’objectif de la facilité est de contribuer à accroître la capacité de production de nouveaux véhicules à émissions nulles et d’infrastructures pour le développement de l’électromobilité, ainsi que d’installations et de solutions industrielles axées sur la production et le stockage d’énergie à émissions nulles;</w:t>
            </w:r>
          </w:p>
          <w:p w14:paraId="1216C0E0" w14:textId="77777777" w:rsidR="003C4798" w:rsidRDefault="00417595">
            <w:pPr>
              <w:pStyle w:val="P68B1DB1-ListParagraph83"/>
              <w:numPr>
                <w:ilvl w:val="0"/>
                <w:numId w:val="25"/>
              </w:numPr>
              <w:spacing w:after="0" w:line="240" w:lineRule="auto"/>
              <w:rPr>
                <w:noProof/>
              </w:rPr>
            </w:pPr>
            <w:r>
              <w:rPr>
                <w:noProof/>
              </w:rPr>
              <w:t>les produits et technologies soutenus peuvent notamment inclure des processus de recherche et d’innovation; le transfert de technologies et la coopération entre entreprises axées sur l’économie à faible intensité de carbone, en mettant l’accent sur des solutions innovantes à émissions faibles ou nulles dans le domaine de la mobilité durable et des sources d’énergie à émissions nulles ou faibles;</w:t>
            </w:r>
          </w:p>
          <w:p w14:paraId="1216C0E1" w14:textId="77777777" w:rsidR="003C4798" w:rsidRDefault="00417595">
            <w:pPr>
              <w:pStyle w:val="P68B1DB1-ListParagraph83"/>
              <w:numPr>
                <w:ilvl w:val="0"/>
                <w:numId w:val="25"/>
              </w:numPr>
              <w:spacing w:after="0" w:line="240" w:lineRule="auto"/>
              <w:rPr>
                <w:noProof/>
              </w:rPr>
            </w:pPr>
            <w:r>
              <w:rPr>
                <w:noProof/>
              </w:rPr>
              <w:t>les bénéficiaires du soutien sont des entreprises, y compris des PME et des entreprises à moyenne capitalisation;</w:t>
            </w:r>
          </w:p>
          <w:p w14:paraId="1216C0E2" w14:textId="3D2153D2" w:rsidR="003C4798" w:rsidRDefault="00417595">
            <w:pPr>
              <w:pStyle w:val="P68B1DB1-ListParagraph83"/>
              <w:numPr>
                <w:ilvl w:val="0"/>
                <w:numId w:val="25"/>
              </w:numPr>
              <w:spacing w:after="0" w:line="240" w:lineRule="auto"/>
              <w:rPr>
                <w:noProof/>
              </w:rPr>
            </w:pPr>
            <w:r>
              <w:rPr>
                <w:noProof/>
              </w:rPr>
              <w:t>conformément au principe de non-discrimination, les entités publiques exerçant des activités similaires à celles des entités privées bénéficiant du régime financier pourraient également être acceptées en tant que bénéficiaires finaux du régime financier;</w:t>
            </w:r>
          </w:p>
          <w:p w14:paraId="1216C0E3" w14:textId="77777777" w:rsidR="003C4798" w:rsidRDefault="00417595">
            <w:pPr>
              <w:pStyle w:val="P68B1DB1-ListParagraph83"/>
              <w:numPr>
                <w:ilvl w:val="0"/>
                <w:numId w:val="25"/>
              </w:numPr>
              <w:spacing w:after="0" w:line="240" w:lineRule="auto"/>
              <w:rPr>
                <w:noProof/>
              </w:rPr>
            </w:pPr>
            <w:r>
              <w:rPr>
                <w:noProof/>
              </w:rPr>
              <w:t>la décision finale d’investissement de la facilité est prise par un comité d’investissement ou un autre organe directeur équivalent compétent et approuvée à la majorité des voix des membres indépendants du gouvernement.</w:t>
            </w:r>
          </w:p>
        </w:tc>
      </w:tr>
      <w:tr w:rsidR="003C4798" w14:paraId="1216C0F0" w14:textId="77777777" w:rsidTr="00DA6ACB">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5" w14:textId="77777777" w:rsidR="003C4798" w:rsidRDefault="00417595">
            <w:pPr>
              <w:pStyle w:val="P68B1DB1-Normal82"/>
              <w:spacing w:after="0" w:line="240" w:lineRule="auto"/>
              <w:jc w:val="center"/>
              <w:rPr>
                <w:noProof/>
              </w:rPr>
            </w:pPr>
            <w:r>
              <w:rPr>
                <w:noProof/>
              </w:rPr>
              <w:t>E9L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6" w14:textId="77777777" w:rsidR="003C4798" w:rsidRDefault="00417595">
            <w:pPr>
              <w:pStyle w:val="P68B1DB1-Normal82"/>
              <w:spacing w:after="0" w:line="240" w:lineRule="auto"/>
              <w:rPr>
                <w:noProof/>
              </w:rPr>
            </w:pPr>
            <w:r>
              <w:rPr>
                <w:noProof/>
              </w:rPr>
              <w:t>E3.1.1 Facilité de soutien à une économie à faible intensité de carbone</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7" w14:textId="77777777" w:rsidR="003C4798" w:rsidRDefault="00417595">
            <w:pPr>
              <w:pStyle w:val="P68B1DB1-Normal82"/>
              <w:spacing w:after="0" w:line="240" w:lineRule="auto"/>
              <w:jc w:val="center"/>
              <w:rPr>
                <w:noProof/>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8" w14:textId="77777777" w:rsidR="003C4798" w:rsidRDefault="00417595">
            <w:pPr>
              <w:pStyle w:val="P68B1DB1-Normal82"/>
              <w:spacing w:after="0" w:line="240" w:lineRule="auto"/>
              <w:rPr>
                <w:noProof/>
              </w:rPr>
            </w:pPr>
            <w:r>
              <w:rPr>
                <w:noProof/>
              </w:rPr>
              <w:t>Signature des accords de financement</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9" w14:textId="77777777" w:rsidR="003C4798" w:rsidRDefault="00417595">
            <w:pPr>
              <w:pStyle w:val="P68B1DB1-Normal82"/>
              <w:spacing w:after="0" w:line="240" w:lineRule="auto"/>
              <w:rPr>
                <w:noProof/>
              </w:rPr>
            </w:pPr>
            <w:r>
              <w:rPr>
                <w:noProof/>
              </w:rPr>
              <w:t>Signature d'accords de financement</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A"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B"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C"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D" w14:textId="77777777" w:rsidR="003C4798" w:rsidRDefault="00417595">
            <w:pPr>
              <w:pStyle w:val="P68B1DB1-Normal82"/>
              <w:spacing w:after="0" w:line="240" w:lineRule="auto"/>
              <w:jc w:val="center"/>
              <w:rPr>
                <w:noProof/>
              </w:rPr>
            </w:pPr>
            <w:r>
              <w:rPr>
                <w:noProof/>
              </w:rPr>
              <w:t>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E" w14:textId="77777777" w:rsidR="003C4798" w:rsidRDefault="00417595">
            <w:pPr>
              <w:pStyle w:val="P68B1DB1-Normal82"/>
              <w:spacing w:after="0" w:line="240" w:lineRule="auto"/>
              <w:jc w:val="center"/>
              <w:rPr>
                <w:noProof/>
              </w:rPr>
            </w:pPr>
            <w:r>
              <w:rPr>
                <w:noProof/>
              </w:rPr>
              <w:t>2026</w:t>
            </w:r>
          </w:p>
        </w:tc>
        <w:tc>
          <w:tcPr>
            <w:tcW w:w="2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F" w14:textId="2FEEFC17" w:rsidR="003C4798" w:rsidRDefault="00417595">
            <w:pPr>
              <w:pStyle w:val="P68B1DB1-Normal82"/>
              <w:spacing w:after="0" w:line="240" w:lineRule="auto"/>
              <w:rPr>
                <w:noProof/>
              </w:rPr>
            </w:pPr>
            <w:r>
              <w:rPr>
                <w:noProof/>
              </w:rPr>
              <w:t xml:space="preserve">Signature des accords de financement avec les bénéficiaires finaux pour un montant nécessaire à l’utilisation d’au </w:t>
            </w:r>
            <w:bookmarkStart w:id="16" w:name="_Hlk229740548"/>
            <w:r>
              <w:rPr>
                <w:noProof/>
              </w:rPr>
              <w:t>moins 75 % de l’investissement de la FRR dans la facilité.</w:t>
            </w:r>
            <w:bookmarkEnd w:id="16"/>
          </w:p>
        </w:tc>
      </w:tr>
      <w:tr w:rsidR="003C4798" w14:paraId="1216C0FC" w14:textId="77777777" w:rsidTr="00DA6ACB">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1" w14:textId="77777777" w:rsidR="003C4798" w:rsidRDefault="00417595">
            <w:pPr>
              <w:pStyle w:val="P68B1DB1-Normal82"/>
              <w:spacing w:after="0" w:line="240" w:lineRule="auto"/>
              <w:jc w:val="center"/>
              <w:rPr>
                <w:noProof/>
              </w:rPr>
            </w:pPr>
            <w:r>
              <w:rPr>
                <w:noProof/>
              </w:rPr>
              <w:t>E10L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2" w14:textId="77777777" w:rsidR="003C4798" w:rsidRDefault="00417595">
            <w:pPr>
              <w:pStyle w:val="P68B1DB1-Normal82"/>
              <w:spacing w:after="0" w:line="240" w:lineRule="auto"/>
              <w:rPr>
                <w:noProof/>
              </w:rPr>
            </w:pPr>
            <w:r>
              <w:rPr>
                <w:noProof/>
              </w:rPr>
              <w:t>E3.1.1 Facilité de soutien à une économie à faible intensité de carbone</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3" w14:textId="77777777" w:rsidR="003C4798" w:rsidRDefault="00417595">
            <w:pPr>
              <w:pStyle w:val="P68B1DB1-Normal82"/>
              <w:spacing w:after="0" w:line="240" w:lineRule="auto"/>
              <w:jc w:val="center"/>
              <w:rPr>
                <w:noProof/>
              </w:rPr>
            </w:pPr>
            <w:r>
              <w:rPr>
                <w:noProof/>
              </w:rPr>
              <w:t>Étape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4" w14:textId="0408C8C9" w:rsidR="003C4798" w:rsidRDefault="00417595">
            <w:pPr>
              <w:pStyle w:val="P68B1DB1-Normal82"/>
              <w:spacing w:after="0" w:line="240" w:lineRule="auto"/>
              <w:rPr>
                <w:noProof/>
              </w:rPr>
            </w:pPr>
            <w:r>
              <w:rPr>
                <w:noProof/>
              </w:rPr>
              <w:t>Achèvement des prises de participation</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5" w14:textId="10A1BD50" w:rsidR="003C4798" w:rsidRDefault="00417595">
            <w:pPr>
              <w:pStyle w:val="P68B1DB1-Normal82"/>
              <w:spacing w:after="0" w:line="240" w:lineRule="auto"/>
              <w:rPr>
                <w:noProof/>
              </w:rPr>
            </w:pPr>
            <w:r>
              <w:rPr>
                <w:noProof/>
              </w:rPr>
              <w:t>Certificats de transfert</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6"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7"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8"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9" w14:textId="77777777" w:rsidR="003C4798" w:rsidRDefault="00417595">
            <w:pPr>
              <w:pStyle w:val="P68B1DB1-Normal82"/>
              <w:spacing w:after="0" w:line="240" w:lineRule="auto"/>
              <w:jc w:val="center"/>
              <w:rPr>
                <w:noProof/>
              </w:rPr>
            </w:pPr>
            <w:r>
              <w:rPr>
                <w:noProof/>
              </w:rPr>
              <w:t>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A" w14:textId="77777777" w:rsidR="003C4798" w:rsidRDefault="00417595">
            <w:pPr>
              <w:pStyle w:val="P68B1DB1-Normal82"/>
              <w:spacing w:after="0" w:line="240" w:lineRule="auto"/>
              <w:jc w:val="center"/>
              <w:rPr>
                <w:noProof/>
              </w:rPr>
            </w:pPr>
            <w:r>
              <w:rPr>
                <w:noProof/>
              </w:rPr>
              <w:t>2026</w:t>
            </w:r>
          </w:p>
        </w:tc>
        <w:tc>
          <w:tcPr>
            <w:tcW w:w="2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9A017F" w14:textId="42996F2A" w:rsidR="003C4798" w:rsidRDefault="00417595">
            <w:pPr>
              <w:pStyle w:val="P68B1DB1-Normal22"/>
              <w:spacing w:after="0" w:line="240" w:lineRule="auto"/>
              <w:rPr>
                <w:noProof/>
              </w:rPr>
            </w:pPr>
            <w:r>
              <w:rPr>
                <w:noProof/>
              </w:rPr>
              <w:t>Signature des conventions de financement avec les bénéficiaires finaux pour un montant nécessaire à l’utilisation d’au moins 100 % de l’investissement de la FRR dans la facilité, ce qui correspond à au moins 1 042 197 050 EUR.</w:t>
            </w:r>
          </w:p>
          <w:p w14:paraId="46E051FF" w14:textId="7A6C1652" w:rsidR="003C4798" w:rsidRDefault="003C4798">
            <w:pPr>
              <w:spacing w:after="0" w:line="240" w:lineRule="auto"/>
              <w:rPr>
                <w:rFonts w:ascii="Times New Roman" w:hAnsi="Times New Roman" w:cs="Times New Roman"/>
                <w:noProof/>
                <w:sz w:val="18"/>
                <w:szCs w:val="18"/>
              </w:rPr>
            </w:pPr>
          </w:p>
          <w:p w14:paraId="5EAFC974" w14:textId="0AE5759F" w:rsidR="003C4798" w:rsidRDefault="00417595">
            <w:pPr>
              <w:pStyle w:val="P68B1DB1-Normal22"/>
              <w:spacing w:after="0" w:line="240" w:lineRule="auto"/>
              <w:rPr>
                <w:noProof/>
              </w:rPr>
            </w:pPr>
            <w:r>
              <w:rPr>
                <w:noProof/>
              </w:rPr>
              <w:t>Virement de 1 042 197 050 EUR</w:t>
            </w:r>
          </w:p>
          <w:p w14:paraId="1216C0FB" w14:textId="1FDDFC53" w:rsidR="003C4798" w:rsidRDefault="00417595">
            <w:pPr>
              <w:pStyle w:val="P68B1DB1-Normal22"/>
              <w:spacing w:after="0" w:line="240" w:lineRule="auto"/>
              <w:rPr>
                <w:rFonts w:eastAsia="Times New Roman"/>
                <w:noProof/>
              </w:rPr>
            </w:pPr>
            <w:r>
              <w:rPr>
                <w:noProof/>
              </w:rPr>
              <w:t>aux bénéficiaires finals et une redevance de gestion au Fonds national pour la protection de l'environnement et la gestion de l'eau.</w:t>
            </w:r>
          </w:p>
        </w:tc>
      </w:tr>
    </w:tbl>
    <w:p w14:paraId="1216C0FD" w14:textId="77777777" w:rsidR="003C4798" w:rsidRDefault="003C4798">
      <w:pPr>
        <w:rPr>
          <w:rFonts w:ascii="Times New Roman" w:hAnsi="Times New Roman" w:cs="Times New Roman"/>
          <w:noProof/>
        </w:rPr>
        <w:sectPr w:rsidR="003C4798" w:rsidSect="006C5441">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299"/>
        </w:sectPr>
      </w:pPr>
    </w:p>
    <w:p w14:paraId="1216C0FE" w14:textId="77777777" w:rsidR="003C4798" w:rsidRDefault="00417595">
      <w:pPr>
        <w:pStyle w:val="P68B1DB1-Normal84"/>
        <w:keepNext/>
        <w:spacing w:before="360" w:after="120" w:line="240" w:lineRule="auto"/>
        <w:rPr>
          <w:rFonts w:eastAsia="Times New Roman" w:cs="Times New Roman"/>
          <w:noProof/>
        </w:rPr>
      </w:pPr>
      <w:r>
        <w:rPr>
          <w:noProof/>
        </w:rPr>
        <w:t>F. Élément F: «AMÉLIORER LA QUALITÉ DES INSTITUTIONS ET LES CONDITIONS DE MISE EN ŒUVRE DU PRR»</w:t>
      </w:r>
    </w:p>
    <w:p w14:paraId="1216C0FF" w14:textId="77777777" w:rsidR="003C4798" w:rsidRDefault="00417595">
      <w:pPr>
        <w:pStyle w:val="P68B1DB1-Normal85"/>
        <w:spacing w:before="120" w:after="120" w:line="240" w:lineRule="auto"/>
        <w:jc w:val="both"/>
        <w:rPr>
          <w:rFonts w:eastAsia="Times New Roman" w:cs="Times New Roman"/>
          <w:noProof/>
          <w:color w:val="000000"/>
        </w:rPr>
      </w:pPr>
      <w:r>
        <w:rPr>
          <w:noProof/>
        </w:rPr>
        <w:t xml:space="preserve">La Pologne est confrontée à un certain nombre de défis de longue date liés au climat d’investissement, notamment en ce qui concerne le système judiciaire polonais ainsi que les processus décisionnels et législatifs. </w:t>
      </w:r>
    </w:p>
    <w:p w14:paraId="1216C100" w14:textId="77777777" w:rsidR="003C4798" w:rsidRDefault="00417595">
      <w:pPr>
        <w:pStyle w:val="P68B1DB1-Normal71"/>
        <w:spacing w:before="120" w:after="120" w:line="240" w:lineRule="auto"/>
        <w:jc w:val="both"/>
        <w:rPr>
          <w:rFonts w:eastAsia="Times New Roman" w:cs="Times New Roman"/>
          <w:noProof/>
          <w:color w:val="498205"/>
          <w:u w:val="single"/>
        </w:rPr>
      </w:pPr>
      <w:r>
        <w:rPr>
          <w:noProof/>
        </w:rPr>
        <w:t>Ce volet vise donc principalement à améliorer le climat d’investissement et à mettre en place les conditions d’une mise en œuvre efficace du plan polonais pour la reprise et la résilience. À cette fin, les réformes visent à: renforcer certains aspects de l'indépendance et de l'impartialité des tribunaux; remédier à la situation des juges affectés par les décisions de la chambre disciplinaire de la Cour suprême dans les affaires disciplinaires et les affaires d’immunité judiciaire en vue de leur réintégration à la suite d’une procédure de réexamen positive par la nouvelle chambre, qui doit être menée sans délai; renforcer la consultation des partenaires sociaux dans le processus législatif; accroître le recours aux analyses d'impact dans le processus législatif; réduire le recours aux procédures accélérées dans le processus législatif; veiller à ce que les partenaires sociaux et les parties prenantes soient dûment consultés dans le cadre de la mise en œuvre du plan pour la reprise et la résilience, y compris par la création d’un comité de suivi, et veiller à l’application de l’outil de notation des risques d’Arachne dans le cadre de la mise en œuvre du plan pour la reprise et la résilience.</w:t>
      </w:r>
    </w:p>
    <w:p w14:paraId="1216C101" w14:textId="77777777" w:rsidR="003C4798" w:rsidRDefault="00417595">
      <w:pPr>
        <w:pStyle w:val="P68B1DB1-Normal71"/>
        <w:spacing w:before="120" w:after="120" w:line="240" w:lineRule="auto"/>
        <w:jc w:val="both"/>
        <w:rPr>
          <w:rFonts w:eastAsia="Times New Roman" w:cs="Times New Roman"/>
          <w:noProof/>
        </w:rPr>
      </w:pPr>
      <w:r>
        <w:rPr>
          <w:noProof/>
        </w:rPr>
        <w:t>Ce volet contribue à donner suite à la recommandation par pays visant à «[améliorer] l’environnement réglementaire, notamment en renforçant le rôle des consultations des partenaires sociaux et des consultations publiques dans le processus législatif» (recommandation par pays no 3 de 2019) et à «[renforcer] le climat d’investissement, en particulier en préservant l’indépendance de la justice» ainsi qu’«[à] garantir des consultations publiques efficaces et la participation des partenaires sociaux au processus d’élaboration des politiques» (recommandation par pays no 4 de 2020).</w:t>
      </w:r>
    </w:p>
    <w:p w14:paraId="1216C102" w14:textId="77777777" w:rsidR="003C4798" w:rsidRDefault="003C4798">
      <w:pPr>
        <w:spacing w:line="240" w:lineRule="auto"/>
        <w:jc w:val="both"/>
        <w:rPr>
          <w:rFonts w:ascii="Times New Roman" w:eastAsia="Times New Roman" w:hAnsi="Times New Roman" w:cs="Times New Roman"/>
          <w:b/>
          <w:noProof/>
          <w:color w:val="000000"/>
          <w:u w:val="single"/>
        </w:rPr>
      </w:pPr>
    </w:p>
    <w:p w14:paraId="1216C103" w14:textId="77777777" w:rsidR="003C4798" w:rsidRDefault="00417595">
      <w:pPr>
        <w:pStyle w:val="P68B1DB1-Normal72"/>
        <w:spacing w:line="240" w:lineRule="auto"/>
        <w:jc w:val="both"/>
        <w:rPr>
          <w:rFonts w:eastAsia="Times New Roman" w:cs="Times New Roman"/>
          <w:noProof/>
          <w:color w:val="000000"/>
        </w:rPr>
      </w:pPr>
      <w:r>
        <w:rPr>
          <w:noProof/>
        </w:rPr>
        <w:t>F1 Système judiciaire</w:t>
      </w:r>
    </w:p>
    <w:p w14:paraId="1216C104" w14:textId="77777777" w:rsidR="003C4798" w:rsidRDefault="00417595">
      <w:pPr>
        <w:pStyle w:val="P68B1DB1-Normal85"/>
        <w:spacing w:line="240" w:lineRule="auto"/>
        <w:jc w:val="both"/>
        <w:rPr>
          <w:noProof/>
        </w:rPr>
      </w:pPr>
      <w:r>
        <w:rPr>
          <w:noProof/>
        </w:rPr>
        <w:t>L’objectif principal des réformes est de relever le niveau de protection juridictionnelle et d’améliorer le climat d’investissement en Pologne, ainsi que de soutenir le système de contrôle interne visé à l’article 22 du règlement (UE) 2021/241 du Parlement européen et du Conseil, en renforçant les garanties d’indépendance et d’impartialité des juridictions.</w:t>
      </w:r>
    </w:p>
    <w:p w14:paraId="1216C105" w14:textId="77777777" w:rsidR="003C4798" w:rsidRDefault="00417595">
      <w:pPr>
        <w:pStyle w:val="P68B1DB1-Normal85"/>
        <w:spacing w:line="240" w:lineRule="auto"/>
        <w:jc w:val="both"/>
        <w:rPr>
          <w:noProof/>
        </w:rPr>
      </w:pPr>
      <w:r>
        <w:rPr>
          <w:noProof/>
        </w:rPr>
        <w:t>La réforme se traduit par un renforcement de l’indépendance et de l’impartialité des juridictions et des juges institués par la loi conformément à l’article 19 du traité sur l’Union européenne et à l’acquis pertinent de l’Union. Conformément à l’article 24, paragraphe 3, du règlement (UE) 2021/241, toute autre réforme est entreprise sans affaiblir ce résultat et sans avoir d’incidence négative sur les éléments ci-dessous.</w:t>
      </w:r>
    </w:p>
    <w:p w14:paraId="1216C106" w14:textId="77777777" w:rsidR="003C4798" w:rsidRDefault="003C4798">
      <w:pPr>
        <w:spacing w:line="240" w:lineRule="auto"/>
        <w:jc w:val="both"/>
        <w:rPr>
          <w:rFonts w:ascii="Times New Roman" w:hAnsi="Times New Roman"/>
          <w:noProof/>
        </w:rPr>
      </w:pPr>
    </w:p>
    <w:p w14:paraId="1216C107" w14:textId="77777777" w:rsidR="003C4798" w:rsidRDefault="00417595">
      <w:pPr>
        <w:pStyle w:val="P68B1DB1-Normal86"/>
        <w:spacing w:line="240" w:lineRule="auto"/>
        <w:jc w:val="both"/>
        <w:rPr>
          <w:rFonts w:eastAsia="Times New Roman" w:cs="Times New Roman"/>
          <w:noProof/>
          <w:color w:val="000000"/>
        </w:rPr>
      </w:pPr>
      <w:r>
        <w:rPr>
          <w:noProof/>
        </w:rPr>
        <w:t>F1.1 Réforme renforçant l'indépendance et l'impartialité des tribunaux</w:t>
      </w:r>
    </w:p>
    <w:p w14:paraId="1216C108" w14:textId="77777777" w:rsidR="003C4798" w:rsidRDefault="00417595">
      <w:pPr>
        <w:pStyle w:val="P68B1DB1-Normal85"/>
        <w:spacing w:line="240" w:lineRule="auto"/>
        <w:jc w:val="both"/>
        <w:rPr>
          <w:noProof/>
        </w:rPr>
      </w:pPr>
      <w:r>
        <w:rPr>
          <w:noProof/>
        </w:rPr>
        <w:t>La réforme:</w:t>
      </w:r>
    </w:p>
    <w:p w14:paraId="1216C109" w14:textId="77777777" w:rsidR="003C4798" w:rsidRDefault="00417595">
      <w:pPr>
        <w:pStyle w:val="P68B1DB1-Normal85"/>
        <w:numPr>
          <w:ilvl w:val="0"/>
          <w:numId w:val="26"/>
        </w:numPr>
        <w:spacing w:line="240" w:lineRule="auto"/>
        <w:jc w:val="both"/>
        <w:rPr>
          <w:noProof/>
        </w:rPr>
      </w:pPr>
      <w:r>
        <w:rPr>
          <w:noProof/>
        </w:rPr>
        <w:t>dans toutes les affaires relatives aux juges, y compris la discipline et la levée de l’immunité judiciaire, déterminer l’étendue de la compétence de la chambre de la Cour suprême, autre que la chambre disciplinaire existante, répondant aux exigences découlant de l’article 19, paragraphe 1, du TUE. Cela garantit que les affaires susmentionnées seront examinées par un tribunal indépendant et impartial établi par la loi, tout en limitant le pouvoir discrétionnaire de désigner le tribunal disciplinaire compétent en première instance dans les affaires concernant les juges des juridictions de droit commun,</w:t>
      </w:r>
    </w:p>
    <w:p w14:paraId="1216C10A" w14:textId="77777777" w:rsidR="003C4798" w:rsidRDefault="00417595">
      <w:pPr>
        <w:pStyle w:val="P68B1DB1-Normal85"/>
        <w:numPr>
          <w:ilvl w:val="0"/>
          <w:numId w:val="26"/>
        </w:numPr>
        <w:spacing w:line="240" w:lineRule="auto"/>
        <w:jc w:val="both"/>
        <w:rPr>
          <w:noProof/>
        </w:rPr>
      </w:pPr>
      <w:r>
        <w:rPr>
          <w:noProof/>
        </w:rPr>
        <w:t>clarifier le champ d’application de la responsabilité disciplinaire des juges, en veillant à ce que le droit des juridictions polonaises de soumettre des demandes de décision préjudicielle à la CJUE ne soit pas limité. Cette demande ne constitue pas un motif d'ouverture d'une procédure disciplinaire à l'encontre d'un juge,</w:t>
      </w:r>
    </w:p>
    <w:p w14:paraId="1216C10B" w14:textId="77777777" w:rsidR="003C4798" w:rsidRDefault="00417595">
      <w:pPr>
        <w:pStyle w:val="P68B1DB1-Normal85"/>
        <w:numPr>
          <w:ilvl w:val="0"/>
          <w:numId w:val="26"/>
        </w:numPr>
        <w:spacing w:line="240" w:lineRule="auto"/>
        <w:jc w:val="both"/>
        <w:rPr>
          <w:noProof/>
        </w:rPr>
      </w:pPr>
      <w:r>
        <w:rPr>
          <w:noProof/>
        </w:rPr>
        <w:t>si les juges peuvent encore être tenus pour responsables de fautes professionnelles, y compris de violations flagrantes et flagrantes de la loi, déterminer que le contenu des décisions judiciaires n’est pas qualifié d’infraction disciplinaire,</w:t>
      </w:r>
    </w:p>
    <w:p w14:paraId="1216C10C" w14:textId="77777777" w:rsidR="003C4798" w:rsidRDefault="00417595">
      <w:pPr>
        <w:pStyle w:val="P68B1DB1-Normal85"/>
        <w:numPr>
          <w:ilvl w:val="0"/>
          <w:numId w:val="26"/>
        </w:numPr>
        <w:spacing w:line="240" w:lineRule="auto"/>
        <w:jc w:val="both"/>
        <w:rPr>
          <w:rFonts w:eastAsia="Times New Roman"/>
          <w:noProof/>
        </w:rPr>
      </w:pPr>
      <w:r>
        <w:rPr>
          <w:noProof/>
        </w:rPr>
        <w:t>veille à ce que l’ouverture de la vérification, dans le cadre de la procédure juridictionnelle, de la conformité d’un juge aux exigences d’indépendance, d’impartialité et d’«établissement par la loi», conformément à l’article 19 du TUE, soit possible pour une juridiction compétente lorsqu’un doute sérieux surgit sur ce point et que cette vérification n’est pas qualifiée d’infraction disciplinaire,</w:t>
      </w:r>
    </w:p>
    <w:p w14:paraId="1216C10D" w14:textId="77777777" w:rsidR="003C4798" w:rsidRDefault="00417595">
      <w:pPr>
        <w:pStyle w:val="P68B1DB1-Normal85"/>
        <w:numPr>
          <w:ilvl w:val="0"/>
          <w:numId w:val="26"/>
        </w:numPr>
        <w:spacing w:line="240" w:lineRule="auto"/>
        <w:jc w:val="both"/>
        <w:rPr>
          <w:noProof/>
        </w:rPr>
      </w:pPr>
      <w:r>
        <w:rPr>
          <w:noProof/>
        </w:rPr>
        <w:t>renforcer les garanties procédurales et les pouvoirs des parties dans les procédures disciplinaires concernant les juges, par</w:t>
      </w:r>
    </w:p>
    <w:p w14:paraId="1216C10E" w14:textId="77777777" w:rsidR="003C4798" w:rsidRDefault="00417595">
      <w:pPr>
        <w:pStyle w:val="P68B1DB1-Normal85"/>
        <w:spacing w:line="240" w:lineRule="auto"/>
        <w:ind w:left="720"/>
        <w:jc w:val="both"/>
        <w:rPr>
          <w:noProof/>
        </w:rPr>
      </w:pPr>
      <w:r>
        <w:rPr>
          <w:noProof/>
        </w:rPr>
        <w:t>i) en veillant à ce que les affaires disciplinaires contre les juges des juridictions de droit commun soient examinées dans un délai raisonnable,</w:t>
      </w:r>
    </w:p>
    <w:p w14:paraId="1216C10F" w14:textId="77777777" w:rsidR="003C4798" w:rsidRDefault="00417595">
      <w:pPr>
        <w:pStyle w:val="P68B1DB1-Normal85"/>
        <w:spacing w:line="240" w:lineRule="auto"/>
        <w:ind w:left="720"/>
        <w:jc w:val="both"/>
        <w:rPr>
          <w:noProof/>
        </w:rPr>
      </w:pPr>
      <w:r>
        <w:rPr>
          <w:noProof/>
        </w:rPr>
        <w:t>ii) en élaborant des règles plus précises sur la compétence territoriale des juridictions chargées d’examiner les affaires disciplinaires afin de garantir que la juridiction concernée puisse être directement déterminée conformément à l’acte législatif; et</w:t>
      </w:r>
    </w:p>
    <w:p w14:paraId="1216C110" w14:textId="77777777" w:rsidR="003C4798" w:rsidRDefault="00417595">
      <w:pPr>
        <w:pStyle w:val="P68B1DB1-Normal85"/>
        <w:spacing w:line="240" w:lineRule="auto"/>
        <w:ind w:left="720"/>
        <w:jc w:val="both"/>
        <w:rPr>
          <w:noProof/>
        </w:rPr>
      </w:pPr>
      <w:r>
        <w:rPr>
          <w:noProof/>
        </w:rPr>
        <w:t>iii) de veiller à ce que la nomination d ' un avocat de la défense dans le cadre d ' une procédure disciplinaire concernant un juge se fasse dans un délai raisonnable, et de prévoir le temps nécessaire à la préparation matérielle de l ' avocat de la défense pour qu ' il puisse s ' acquitter de ses fonctions dans le cadre de la procédure donnée. Simultanément, le tribunal suspend le déroulement de la procédure en cas d'absence dûment justifiée du juge inculpé ou de son avocat.</w:t>
      </w:r>
    </w:p>
    <w:p w14:paraId="1216C111" w14:textId="77777777" w:rsidR="003C4798" w:rsidRDefault="00417595">
      <w:pPr>
        <w:pStyle w:val="P68B1DB1-Normal85"/>
        <w:spacing w:line="240" w:lineRule="auto"/>
        <w:jc w:val="both"/>
        <w:rPr>
          <w:noProof/>
        </w:rPr>
      </w:pPr>
      <w:r>
        <w:rPr>
          <w:noProof/>
        </w:rPr>
        <w:t xml:space="preserve">La réforme entre en vigueur à la fin du deuxième trimestre de 2022. </w:t>
      </w:r>
    </w:p>
    <w:p w14:paraId="1216C112" w14:textId="77777777" w:rsidR="003C4798" w:rsidRDefault="003C4798">
      <w:pPr>
        <w:spacing w:line="240" w:lineRule="auto"/>
        <w:jc w:val="both"/>
        <w:rPr>
          <w:rFonts w:ascii="Times New Roman" w:hAnsi="Times New Roman"/>
          <w:noProof/>
        </w:rPr>
      </w:pPr>
    </w:p>
    <w:p w14:paraId="1216C113" w14:textId="77777777" w:rsidR="003C4798" w:rsidRDefault="00417595">
      <w:pPr>
        <w:pStyle w:val="P68B1DB1-Normal86"/>
        <w:spacing w:line="240" w:lineRule="auto"/>
        <w:jc w:val="both"/>
        <w:rPr>
          <w:noProof/>
        </w:rPr>
      </w:pPr>
      <w:r>
        <w:rPr>
          <w:noProof/>
        </w:rPr>
        <w:t>F1.2 Réforme visant à remédier à la situation des juges affectés par les décisions de la Chambre disciplinaire de la Cour suprême dans les affaires disciplinaires et les affaires d ' immunité judiciaire</w:t>
      </w:r>
    </w:p>
    <w:p w14:paraId="1216C114" w14:textId="77777777" w:rsidR="003C4798" w:rsidRDefault="00417595">
      <w:pPr>
        <w:pStyle w:val="P68B1DB1-Normal85"/>
        <w:spacing w:line="240" w:lineRule="auto"/>
        <w:jc w:val="both"/>
        <w:rPr>
          <w:noProof/>
        </w:rPr>
      </w:pPr>
      <w:r>
        <w:rPr>
          <w:noProof/>
        </w:rPr>
        <w:t>La réforme veille à ce que les juges concernés par les décisions de la chambre disciplinaire de la Cour suprême aient accès à la procédure de réexamen de leurs affaires. Ces affaires déjà tranchées par la chambre disciplinaire sont réexaminées par une juridiction qui satisfait aux exigences de l'article 19, paragraphe 1, du TUE, conformément aux règles à adopter sur la base de la réforme susmentionnée. L’acte législatif prévoit que la première audience du tribunal pour statuer sur ces affaires a lieu dans un délai de trois mois à compter de la réception de la requête du juge demandant un réexamen et que les affaires sont jugées dans un délai de douze mois à compter de la réception de cette requête. Les affaires qui sont encore pendantes devant la chambre disciplinaire sont renvoyées pour un examen plus approfondi devant le tribunal et conformément aux règles déterminées dans le cadre de la procédure susmentionnée.</w:t>
      </w:r>
    </w:p>
    <w:p w14:paraId="1216C115" w14:textId="77777777" w:rsidR="003C4798" w:rsidRDefault="00417595">
      <w:pPr>
        <w:pStyle w:val="P68B1DB1-Normal85"/>
        <w:spacing w:line="240" w:lineRule="auto"/>
        <w:jc w:val="both"/>
        <w:rPr>
          <w:noProof/>
        </w:rPr>
      </w:pPr>
      <w:r>
        <w:rPr>
          <w:noProof/>
        </w:rPr>
        <w:t>La réforme entre en vigueur à la fin du deuxième trimestre de 2022.</w:t>
      </w:r>
    </w:p>
    <w:p w14:paraId="1216C116" w14:textId="77777777" w:rsidR="003C4798" w:rsidRDefault="00417595">
      <w:pPr>
        <w:spacing w:line="240" w:lineRule="auto"/>
        <w:jc w:val="both"/>
        <w:rPr>
          <w:rFonts w:ascii="Times New Roman" w:hAnsi="Times New Roman"/>
          <w:bCs/>
          <w:noProof/>
        </w:rPr>
      </w:pPr>
      <w:r>
        <w:rPr>
          <w:rFonts w:ascii="Times New Roman" w:hAnsi="Times New Roman"/>
          <w:noProof/>
        </w:rPr>
        <w:t>Les deux réformes énumérées ci-dessus, dont la date d’achèvement est fixée au deuxième trimestre 2022, sont remplies avant que la première demande de paiement ne soit soumise à la Commission</w:t>
      </w:r>
      <w:r>
        <w:rPr>
          <w:noProof/>
        </w:rPr>
        <w:t xml:space="preserve"> </w:t>
      </w:r>
      <w:r>
        <w:rPr>
          <w:rFonts w:ascii="Times New Roman" w:hAnsi="Times New Roman"/>
          <w:noProof/>
        </w:rPr>
        <w:t>et constituent une condition préalable à tout paiement au titre de l’article 24 du règlement FRR.</w:t>
      </w:r>
    </w:p>
    <w:p w14:paraId="1216C117" w14:textId="77777777" w:rsidR="003C4798" w:rsidRDefault="003C4798">
      <w:pPr>
        <w:spacing w:line="240" w:lineRule="auto"/>
        <w:jc w:val="both"/>
        <w:rPr>
          <w:rFonts w:ascii="Times New Roman" w:hAnsi="Times New Roman"/>
          <w:bCs/>
          <w:noProof/>
        </w:rPr>
      </w:pPr>
    </w:p>
    <w:p w14:paraId="1216C118" w14:textId="77777777" w:rsidR="003C4798" w:rsidRDefault="00417595">
      <w:pPr>
        <w:pStyle w:val="P68B1DB1-Normal86"/>
        <w:spacing w:before="120" w:after="120" w:line="240" w:lineRule="auto"/>
        <w:jc w:val="both"/>
        <w:rPr>
          <w:rFonts w:eastAsia="Times New Roman" w:cs="Times New Roman"/>
          <w:bCs/>
          <w:noProof/>
        </w:rPr>
      </w:pPr>
      <w:r>
        <w:rPr>
          <w:noProof/>
        </w:rPr>
        <w:t>F2.1 Améliorer le processus législatif</w:t>
      </w:r>
    </w:p>
    <w:p w14:paraId="1216C119" w14:textId="77777777" w:rsidR="003C4798" w:rsidRDefault="00417595">
      <w:pPr>
        <w:pStyle w:val="P68B1DB1-Normal87"/>
        <w:spacing w:before="120" w:after="120" w:line="240" w:lineRule="auto"/>
        <w:jc w:val="both"/>
        <w:rPr>
          <w:noProof/>
        </w:rPr>
      </w:pPr>
      <w:r>
        <w:rPr>
          <w:noProof/>
        </w:rPr>
        <w:t>L'objectif de la réforme est l'adoption d'un amendement au Règlement de la Diète, du Sénat et du Conseil des ministres.</w:t>
      </w:r>
    </w:p>
    <w:p w14:paraId="1216C11A" w14:textId="77777777" w:rsidR="003C4798" w:rsidRDefault="003C4798">
      <w:pPr>
        <w:spacing w:before="120" w:after="120" w:line="240" w:lineRule="auto"/>
        <w:jc w:val="both"/>
        <w:rPr>
          <w:rFonts w:ascii="Times New Roman" w:hAnsi="Times New Roman"/>
          <w:b/>
          <w:noProof/>
          <w:color w:val="000000"/>
          <w:u w:val="single"/>
        </w:rPr>
      </w:pPr>
    </w:p>
    <w:p w14:paraId="1216C11B" w14:textId="77777777" w:rsidR="003C4798" w:rsidRDefault="00417595">
      <w:pPr>
        <w:pStyle w:val="P68B1DB1-Normal71"/>
        <w:spacing w:before="120" w:after="120" w:line="240" w:lineRule="auto"/>
        <w:jc w:val="both"/>
        <w:rPr>
          <w:rFonts w:eastAsia="Times New Roman" w:cs="Times New Roman"/>
          <w:b/>
          <w:bCs/>
          <w:noProof/>
        </w:rPr>
      </w:pPr>
      <w:r>
        <w:rPr>
          <w:b/>
          <w:noProof/>
          <w:u w:val="single"/>
        </w:rPr>
        <w:t>F3.1 Améliorer les conditions de mise en œuvre du PRR</w:t>
      </w:r>
      <w:r>
        <w:rPr>
          <w:noProof/>
        </w:rPr>
        <w:t xml:space="preserve"> </w:t>
      </w:r>
    </w:p>
    <w:p w14:paraId="210EAD81" w14:textId="77777777" w:rsidR="003C4798" w:rsidRDefault="00417595">
      <w:pPr>
        <w:pStyle w:val="P68B1DB1-Normal85"/>
        <w:spacing w:line="240" w:lineRule="auto"/>
        <w:jc w:val="both"/>
        <w:rPr>
          <w:noProof/>
        </w:rPr>
      </w:pPr>
      <w:r>
        <w:rPr>
          <w:noProof/>
        </w:rPr>
        <w:t xml:space="preserve">Afin de garantir une consultation appropriée des partenaires sociaux et des parties prenantes dans la mise en œuvre du plan pour la reprise et la résilience, la réforme comprend l’entrée en vigueur d’un acte législatif visant à créer un comité de suivi composé des parties prenantes et des partenaires sociaux participant à la mise en œuvre du plan pour la reprise et la résilience. </w:t>
      </w:r>
    </w:p>
    <w:p w14:paraId="1216C11C" w14:textId="4B22F8B7" w:rsidR="003C4798" w:rsidRDefault="00417595">
      <w:pPr>
        <w:pStyle w:val="P68B1DB1-Normal85"/>
        <w:spacing w:line="240" w:lineRule="auto"/>
        <w:jc w:val="both"/>
        <w:rPr>
          <w:noProof/>
        </w:rPr>
      </w:pPr>
      <w:r>
        <w:rPr>
          <w:noProof/>
        </w:rPr>
        <w:t>Le comité de suivi est chargé de superviser la mise en œuvre effective du plan pour la reprise et la résilience. L’acte législatif comporte une disposition prévoyant l’obligation légale de consulter le comité de suivi lors de la mise en œuvre du plan pour la reprise et la résilience. La réforme comprend également l’adoption des orientations établissant les règles relatives à la participation des parties prenantes et des partenaires sociaux à la programmation, à la mise en œuvre, au suivi et à l’évaluation du PRR.</w:t>
      </w:r>
    </w:p>
    <w:p w14:paraId="1216C11D" w14:textId="77777777" w:rsidR="003C4798" w:rsidRDefault="00417595">
      <w:pPr>
        <w:pStyle w:val="P68B1DB1-Normal85"/>
        <w:spacing w:line="240" w:lineRule="auto"/>
        <w:jc w:val="both"/>
        <w:rPr>
          <w:noProof/>
        </w:rPr>
      </w:pPr>
      <w:r>
        <w:rPr>
          <w:noProof/>
        </w:rPr>
        <w:t>La réforme comprend également la mise en place d’un système de répertoire conformément à l’article 22, paragraphe 2, point d), du règlement (UE) 2021/241 afin de permettre la collecte, le stockage et le suivi des données relatives aux jalons et cibles, y compris au niveau des destinataires finaux. Les données provenant de ce système de répertoire alimentent le système Arachne, qui est utilisé lors des audits et des contrôles pour prévenir, détecter et corriger les conflits d’intérêts, la fraude, la corruption et le double financement. Ce jalon est atteint avant que la première demande de paiement ne soit soumise à la Commission et constitue une condition préalable à tout paiement au titre de l’article 24 du règlement FRR.</w:t>
      </w:r>
    </w:p>
    <w:p w14:paraId="1216C11E" w14:textId="77777777" w:rsidR="003C4798" w:rsidRDefault="00417595">
      <w:pPr>
        <w:pStyle w:val="P68B1DB1-Normal85"/>
        <w:spacing w:line="240" w:lineRule="auto"/>
        <w:jc w:val="both"/>
        <w:rPr>
          <w:noProof/>
        </w:rPr>
      </w:pPr>
      <w:r>
        <w:rPr>
          <w:noProof/>
        </w:rPr>
        <w:t xml:space="preserve">Enfin, la réforme comprend également la préparation d’une analyse de la charge de travail pour l’évaluation de la capacité administrative à coordonner et à mettre en œuvre le plan pour la reprise et la résilience. </w:t>
      </w:r>
    </w:p>
    <w:p w14:paraId="1216C11F" w14:textId="77777777" w:rsidR="003C4798" w:rsidRDefault="00417595">
      <w:pPr>
        <w:pStyle w:val="P68B1DB1-Normal71"/>
        <w:spacing w:after="0" w:line="240" w:lineRule="auto"/>
        <w:rPr>
          <w:rFonts w:eastAsia="Times New Roman" w:cs="Times New Roman"/>
          <w:noProof/>
        </w:rPr>
        <w:sectPr w:rsidR="003C4798" w:rsidSect="006C5441">
          <w:headerReference w:type="even" r:id="rId144"/>
          <w:headerReference w:type="default" r:id="rId145"/>
          <w:footerReference w:type="even" r:id="rId146"/>
          <w:footerReference w:type="default" r:id="rId147"/>
          <w:headerReference w:type="first" r:id="rId148"/>
          <w:footerReference w:type="first" r:id="rId149"/>
          <w:pgSz w:w="11906" w:h="16838"/>
          <w:pgMar w:top="1134" w:right="1134" w:bottom="1134" w:left="1134" w:header="567" w:footer="567" w:gutter="0"/>
          <w:cols w:space="708"/>
          <w:docGrid w:linePitch="360"/>
        </w:sectPr>
      </w:pPr>
      <w:r>
        <w:rPr>
          <w:noProof/>
        </w:rPr>
        <w:t xml:space="preserve">La mise en œuvre de la réforme est achevée au plus tard le 30 juin 2024. </w:t>
      </w:r>
    </w:p>
    <w:p w14:paraId="1216C120" w14:textId="77777777" w:rsidR="003C4798" w:rsidRDefault="00417595">
      <w:pPr>
        <w:spacing w:after="0" w:line="240" w:lineRule="auto"/>
        <w:rPr>
          <w:rFonts w:ascii="Times New Roman" w:eastAsia="Times New Roman" w:hAnsi="Times New Roman" w:cs="Times New Roman"/>
          <w:noProof/>
          <w:color w:val="000000"/>
        </w:rPr>
      </w:pPr>
      <w:r>
        <w:rPr>
          <w:rFonts w:ascii="Times New Roman" w:hAnsi="Times New Roman"/>
          <w:b/>
          <w:noProof/>
          <w:color w:val="000000"/>
        </w:rPr>
        <w:t xml:space="preserve">F.2. </w:t>
      </w:r>
      <w:r>
        <w:rPr>
          <w:noProof/>
        </w:rPr>
        <w:t xml:space="preserve"> </w:t>
      </w:r>
      <w:r>
        <w:rPr>
          <w:rFonts w:ascii="Times New Roman" w:hAnsi="Times New Roman"/>
          <w:b/>
          <w:noProof/>
          <w:color w:val="000000"/>
        </w:rPr>
        <w:t>Étapes, cibles, indicateurs et calendrier pour le suivi et la mise en œuvre du soutien financier non remboursable</w:t>
      </w:r>
    </w:p>
    <w:p w14:paraId="1216C121" w14:textId="77777777" w:rsidR="003C4798" w:rsidRDefault="003C4798">
      <w:pPr>
        <w:spacing w:after="0" w:line="240" w:lineRule="auto"/>
        <w:rPr>
          <w:rFonts w:ascii="Times New Roman" w:eastAsia="Times New Roman" w:hAnsi="Times New Roman" w:cs="Times New Roman"/>
          <w:noProof/>
          <w:color w:val="000000"/>
        </w:rPr>
      </w:pP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846"/>
        <w:gridCol w:w="1417"/>
        <w:gridCol w:w="1134"/>
        <w:gridCol w:w="1181"/>
        <w:gridCol w:w="1578"/>
        <w:gridCol w:w="987"/>
        <w:gridCol w:w="1039"/>
        <w:gridCol w:w="885"/>
        <w:gridCol w:w="1134"/>
        <w:gridCol w:w="851"/>
        <w:gridCol w:w="4229"/>
        <w:gridCol w:w="28"/>
      </w:tblGrid>
      <w:tr w:rsidR="003C4798" w14:paraId="1216C12A" w14:textId="77777777" w:rsidTr="00DA6ACB">
        <w:trPr>
          <w:gridAfter w:val="1"/>
          <w:wAfter w:w="28" w:type="dxa"/>
          <w:trHeight w:val="705"/>
          <w:tblHeader/>
          <w:jc w:val="center"/>
        </w:trPr>
        <w:tc>
          <w:tcPr>
            <w:tcW w:w="846" w:type="dxa"/>
            <w:vMerge w:val="restart"/>
            <w:shd w:val="clear" w:color="auto" w:fill="BDD7EE"/>
            <w:vAlign w:val="center"/>
          </w:tcPr>
          <w:p w14:paraId="1216C122" w14:textId="77777777" w:rsidR="003C4798" w:rsidRDefault="00417595">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Seq. N°</w:t>
            </w:r>
          </w:p>
        </w:tc>
        <w:tc>
          <w:tcPr>
            <w:tcW w:w="1417" w:type="dxa"/>
            <w:vMerge w:val="restart"/>
            <w:shd w:val="clear" w:color="auto" w:fill="BDD7EE"/>
            <w:vAlign w:val="center"/>
          </w:tcPr>
          <w:p w14:paraId="1216C123" w14:textId="77777777" w:rsidR="003C4798" w:rsidRDefault="00417595">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Mesure connexe (réforme ou investissement)</w:t>
            </w:r>
          </w:p>
        </w:tc>
        <w:tc>
          <w:tcPr>
            <w:tcW w:w="1134" w:type="dxa"/>
            <w:vMerge w:val="restart"/>
            <w:shd w:val="clear" w:color="auto" w:fill="BDD7EE"/>
            <w:vAlign w:val="center"/>
          </w:tcPr>
          <w:p w14:paraId="1216C124" w14:textId="77777777" w:rsidR="003C4798" w:rsidRDefault="00417595">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Étape/cible</w:t>
            </w:r>
          </w:p>
        </w:tc>
        <w:tc>
          <w:tcPr>
            <w:tcW w:w="1181" w:type="dxa"/>
            <w:vMerge w:val="restart"/>
            <w:shd w:val="clear" w:color="auto" w:fill="BDD7EE"/>
            <w:vAlign w:val="center"/>
          </w:tcPr>
          <w:p w14:paraId="1216C125" w14:textId="77777777" w:rsidR="003C4798" w:rsidRDefault="00417595">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Nom</w:t>
            </w:r>
          </w:p>
        </w:tc>
        <w:tc>
          <w:tcPr>
            <w:tcW w:w="1578" w:type="dxa"/>
            <w:vMerge w:val="restart"/>
            <w:shd w:val="clear" w:color="auto" w:fill="BDD7EE"/>
            <w:vAlign w:val="center"/>
          </w:tcPr>
          <w:p w14:paraId="1216C126" w14:textId="1070F3C0" w:rsidR="003C4798" w:rsidRDefault="00417595">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Indicateurs qualitatifs (pour les jalons)</w:t>
            </w:r>
          </w:p>
        </w:tc>
        <w:tc>
          <w:tcPr>
            <w:tcW w:w="2911" w:type="dxa"/>
            <w:gridSpan w:val="3"/>
            <w:shd w:val="clear" w:color="auto" w:fill="BDD7EE"/>
            <w:vAlign w:val="center"/>
          </w:tcPr>
          <w:p w14:paraId="1216C127" w14:textId="3DF5376B" w:rsidR="003C4798" w:rsidRDefault="00417595">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Indicateurs quantitatifs (pour les objectifs)</w:t>
            </w:r>
          </w:p>
        </w:tc>
        <w:tc>
          <w:tcPr>
            <w:tcW w:w="1985" w:type="dxa"/>
            <w:gridSpan w:val="2"/>
            <w:shd w:val="clear" w:color="auto" w:fill="BDD7EE"/>
            <w:vAlign w:val="center"/>
          </w:tcPr>
          <w:p w14:paraId="1216C128" w14:textId="77777777" w:rsidR="003C4798" w:rsidRDefault="00417595">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Calendrier indicatif d'achèvement</w:t>
            </w:r>
          </w:p>
        </w:tc>
        <w:tc>
          <w:tcPr>
            <w:tcW w:w="4229" w:type="dxa"/>
            <w:vMerge w:val="restart"/>
            <w:shd w:val="clear" w:color="auto" w:fill="BDD7EE"/>
            <w:vAlign w:val="center"/>
          </w:tcPr>
          <w:p w14:paraId="1216C129" w14:textId="77777777" w:rsidR="003C4798" w:rsidRDefault="00417595">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Description de chaque jalon et cible</w:t>
            </w:r>
          </w:p>
        </w:tc>
      </w:tr>
      <w:tr w:rsidR="003C4798" w14:paraId="1216C136" w14:textId="77777777" w:rsidTr="00DA6ACB">
        <w:trPr>
          <w:gridAfter w:val="1"/>
          <w:wAfter w:w="28" w:type="dxa"/>
          <w:trHeight w:val="662"/>
          <w:jc w:val="center"/>
        </w:trPr>
        <w:tc>
          <w:tcPr>
            <w:tcW w:w="846" w:type="dxa"/>
            <w:vMerge/>
            <w:vAlign w:val="center"/>
          </w:tcPr>
          <w:p w14:paraId="1216C12B" w14:textId="77777777" w:rsidR="003C4798" w:rsidRDefault="003C4798">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417" w:type="dxa"/>
            <w:vMerge/>
            <w:vAlign w:val="center"/>
          </w:tcPr>
          <w:p w14:paraId="1216C12C" w14:textId="77777777" w:rsidR="003C4798" w:rsidRDefault="003C4798">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4" w:type="dxa"/>
            <w:vMerge/>
            <w:vAlign w:val="center"/>
          </w:tcPr>
          <w:p w14:paraId="1216C12D" w14:textId="77777777" w:rsidR="003C4798" w:rsidRDefault="003C4798">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181" w:type="dxa"/>
            <w:vMerge/>
            <w:vAlign w:val="center"/>
          </w:tcPr>
          <w:p w14:paraId="1216C12E" w14:textId="77777777" w:rsidR="003C4798" w:rsidRDefault="003C4798">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78" w:type="dxa"/>
            <w:vMerge/>
            <w:vAlign w:val="center"/>
          </w:tcPr>
          <w:p w14:paraId="1216C12F" w14:textId="77777777" w:rsidR="003C4798" w:rsidRDefault="003C4798">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87" w:type="dxa"/>
            <w:shd w:val="clear" w:color="auto" w:fill="BDD7EE"/>
            <w:vAlign w:val="center"/>
          </w:tcPr>
          <w:p w14:paraId="1216C130" w14:textId="77777777" w:rsidR="003C4798" w:rsidRDefault="00417595">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Unité de mesure</w:t>
            </w:r>
          </w:p>
        </w:tc>
        <w:tc>
          <w:tcPr>
            <w:tcW w:w="1039" w:type="dxa"/>
            <w:shd w:val="clear" w:color="auto" w:fill="BDD7EE"/>
            <w:vAlign w:val="center"/>
          </w:tcPr>
          <w:p w14:paraId="1216C131" w14:textId="77777777" w:rsidR="003C4798" w:rsidRDefault="00417595">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Données de référence</w:t>
            </w:r>
          </w:p>
        </w:tc>
        <w:tc>
          <w:tcPr>
            <w:tcW w:w="885" w:type="dxa"/>
            <w:shd w:val="clear" w:color="auto" w:fill="BDD7EE"/>
            <w:vAlign w:val="center"/>
          </w:tcPr>
          <w:p w14:paraId="1216C132" w14:textId="77777777" w:rsidR="003C4798" w:rsidRDefault="00417595">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Objectif</w:t>
            </w:r>
          </w:p>
        </w:tc>
        <w:tc>
          <w:tcPr>
            <w:tcW w:w="1134" w:type="dxa"/>
            <w:shd w:val="clear" w:color="auto" w:fill="BDD7EE"/>
            <w:vAlign w:val="center"/>
          </w:tcPr>
          <w:p w14:paraId="1216C133" w14:textId="77777777" w:rsidR="003C4798" w:rsidRDefault="00417595">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Trimestre</w:t>
            </w:r>
          </w:p>
        </w:tc>
        <w:tc>
          <w:tcPr>
            <w:tcW w:w="851" w:type="dxa"/>
            <w:shd w:val="clear" w:color="auto" w:fill="BDD7EE"/>
            <w:vAlign w:val="center"/>
          </w:tcPr>
          <w:p w14:paraId="1216C134" w14:textId="77777777" w:rsidR="003C4798" w:rsidRDefault="00417595">
            <w:pPr>
              <w:pStyle w:val="P68B1DB1-Normal88"/>
              <w:pBdr>
                <w:top w:val="nil"/>
                <w:left w:val="nil"/>
                <w:bottom w:val="nil"/>
                <w:right w:val="nil"/>
                <w:between w:val="nil"/>
              </w:pBdr>
              <w:spacing w:after="0" w:line="240" w:lineRule="auto"/>
              <w:jc w:val="center"/>
              <w:rPr>
                <w:rFonts w:eastAsia="Times New Roman" w:cs="Times New Roman"/>
                <w:noProof/>
                <w:szCs w:val="18"/>
              </w:rPr>
            </w:pPr>
            <w:r>
              <w:rPr>
                <w:noProof/>
              </w:rPr>
              <w:t>Année</w:t>
            </w:r>
          </w:p>
        </w:tc>
        <w:tc>
          <w:tcPr>
            <w:tcW w:w="4229" w:type="dxa"/>
            <w:vMerge/>
            <w:vAlign w:val="center"/>
          </w:tcPr>
          <w:p w14:paraId="1216C135" w14:textId="77777777" w:rsidR="003C4798" w:rsidRDefault="003C4798">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C4798" w14:paraId="1216C14C" w14:textId="77777777" w:rsidTr="00DA6ACB">
        <w:trPr>
          <w:gridAfter w:val="1"/>
          <w:wAfter w:w="28" w:type="dxa"/>
          <w:trHeight w:val="313"/>
          <w:jc w:val="center"/>
        </w:trPr>
        <w:tc>
          <w:tcPr>
            <w:tcW w:w="846" w:type="dxa"/>
            <w:shd w:val="clear" w:color="auto" w:fill="C6EFCE"/>
          </w:tcPr>
          <w:p w14:paraId="1216C137"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F1G</w:t>
            </w:r>
          </w:p>
        </w:tc>
        <w:tc>
          <w:tcPr>
            <w:tcW w:w="1417" w:type="dxa"/>
            <w:shd w:val="clear" w:color="auto" w:fill="C6EFCE"/>
          </w:tcPr>
          <w:p w14:paraId="1216C138" w14:textId="77777777" w:rsidR="003C4798" w:rsidRDefault="00417595">
            <w:pPr>
              <w:pStyle w:val="P68B1DB1-Normal89"/>
              <w:spacing w:line="240" w:lineRule="auto"/>
              <w:rPr>
                <w:rFonts w:eastAsia="Times New Roman" w:cs="Times New Roman"/>
                <w:noProof/>
                <w:color w:val="006100"/>
                <w:szCs w:val="18"/>
              </w:rPr>
            </w:pPr>
            <w:r>
              <w:rPr>
                <w:noProof/>
              </w:rPr>
              <w:t>F1.1 Réforme renforçant l'indépendance et l'impartialité des tribunaux</w:t>
            </w:r>
          </w:p>
        </w:tc>
        <w:tc>
          <w:tcPr>
            <w:tcW w:w="1134" w:type="dxa"/>
            <w:shd w:val="clear" w:color="auto" w:fill="C6EFCE"/>
          </w:tcPr>
          <w:p w14:paraId="1216C139"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Étape</w:t>
            </w:r>
          </w:p>
        </w:tc>
        <w:tc>
          <w:tcPr>
            <w:tcW w:w="1181" w:type="dxa"/>
            <w:shd w:val="clear" w:color="auto" w:fill="C6EFCE"/>
          </w:tcPr>
          <w:p w14:paraId="1216C13A" w14:textId="77777777" w:rsidR="003C4798" w:rsidRDefault="00417595">
            <w:pPr>
              <w:pStyle w:val="P68B1DB1-Normal89"/>
              <w:spacing w:line="240" w:lineRule="auto"/>
              <w:rPr>
                <w:rFonts w:eastAsia="Times New Roman" w:cs="Times New Roman"/>
                <w:noProof/>
                <w:color w:val="006100"/>
                <w:szCs w:val="18"/>
              </w:rPr>
            </w:pPr>
            <w:r>
              <w:rPr>
                <w:noProof/>
              </w:rPr>
              <w:t>Entrée en vigueur d'une réforme renforçant l'indépendance et l'impartialité des tribunaux</w:t>
            </w:r>
          </w:p>
        </w:tc>
        <w:tc>
          <w:tcPr>
            <w:tcW w:w="1578" w:type="dxa"/>
            <w:shd w:val="clear" w:color="auto" w:fill="C6EFCE"/>
          </w:tcPr>
          <w:p w14:paraId="1216C13B" w14:textId="77777777" w:rsidR="003C4798" w:rsidRDefault="00417595">
            <w:pPr>
              <w:pStyle w:val="P68B1DB1-Normal89"/>
              <w:spacing w:after="0" w:line="240" w:lineRule="auto"/>
              <w:rPr>
                <w:rFonts w:eastAsia="Times New Roman" w:cs="Times New Roman"/>
                <w:noProof/>
                <w:color w:val="006100"/>
                <w:szCs w:val="18"/>
              </w:rPr>
            </w:pPr>
            <w:r>
              <w:rPr>
                <w:noProof/>
              </w:rPr>
              <w:t>Disposition de l’acte juridique indiquant l’entrée en vigueur</w:t>
            </w:r>
          </w:p>
        </w:tc>
        <w:tc>
          <w:tcPr>
            <w:tcW w:w="987" w:type="dxa"/>
            <w:shd w:val="clear" w:color="auto" w:fill="C6EFCE"/>
          </w:tcPr>
          <w:p w14:paraId="1216C13C"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3D"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85" w:type="dxa"/>
            <w:shd w:val="clear" w:color="auto" w:fill="C6EFCE"/>
          </w:tcPr>
          <w:p w14:paraId="1216C13E"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C13F"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T2</w:t>
            </w:r>
          </w:p>
        </w:tc>
        <w:tc>
          <w:tcPr>
            <w:tcW w:w="851" w:type="dxa"/>
            <w:shd w:val="clear" w:color="auto" w:fill="C6EFCE"/>
          </w:tcPr>
          <w:p w14:paraId="1216C140"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229" w:type="dxa"/>
            <w:shd w:val="clear" w:color="auto" w:fill="C6EFCE"/>
          </w:tcPr>
          <w:p w14:paraId="1216C141" w14:textId="77777777" w:rsidR="003C4798" w:rsidRDefault="00417595">
            <w:pPr>
              <w:pStyle w:val="P68B1DB1-Normal89"/>
              <w:spacing w:line="240" w:lineRule="auto"/>
              <w:rPr>
                <w:rFonts w:cs="Times New Roman"/>
                <w:noProof/>
                <w:szCs w:val="18"/>
              </w:rPr>
            </w:pPr>
            <w:r>
              <w:rPr>
                <w:noProof/>
              </w:rPr>
              <w:t>Entrée en vigueur d'une réforme qui:</w:t>
            </w:r>
          </w:p>
          <w:p w14:paraId="1216C142" w14:textId="3FD005F0" w:rsidR="003C4798" w:rsidRDefault="00417595">
            <w:pPr>
              <w:pStyle w:val="P68B1DB1-Normal89"/>
              <w:numPr>
                <w:ilvl w:val="0"/>
                <w:numId w:val="27"/>
              </w:numPr>
              <w:spacing w:line="240" w:lineRule="auto"/>
              <w:ind w:left="468" w:hanging="394"/>
              <w:rPr>
                <w:rFonts w:cs="Times New Roman"/>
                <w:noProof/>
                <w:szCs w:val="18"/>
              </w:rPr>
            </w:pPr>
            <w:r>
              <w:rPr>
                <w:noProof/>
              </w:rPr>
              <w:t>dans toutes les affaires relatives aux juges, y compris la discipline et la levée de l’immunité judiciaire, déterminer l’étendue de la compétence de la chambre de la Cour suprême, autre que la chambre disciplinaire existante, répondant aux exigences découlant de l’article 19, paragraphe 1, du TUE. Cela garantit que les affaires susmentionnées seront examinées par un tribunal indépendant et impartial établi par la loi, tout en limitant le pouvoir discrétionnaire de désigner le tribunal disciplinaire compétent en première instance dans les affaires concernant les juges des juridictions de droit commun,</w:t>
            </w:r>
          </w:p>
          <w:p w14:paraId="1216C143" w14:textId="77777777" w:rsidR="003C4798" w:rsidRDefault="00417595">
            <w:pPr>
              <w:pStyle w:val="P68B1DB1-Normal89"/>
              <w:numPr>
                <w:ilvl w:val="0"/>
                <w:numId w:val="27"/>
              </w:numPr>
              <w:spacing w:line="240" w:lineRule="auto"/>
              <w:ind w:left="468" w:hanging="394"/>
              <w:rPr>
                <w:rFonts w:cs="Times New Roman"/>
                <w:noProof/>
                <w:szCs w:val="18"/>
              </w:rPr>
            </w:pPr>
            <w:r>
              <w:rPr>
                <w:noProof/>
              </w:rPr>
              <w:t>clarifier le champ d’application de la responsabilité disciplinaire des juges, en veillant à ce que le droit des juridictions polonaises de soumettre des demandes de décision préjudicielle à la CJUE ne soit pas limité. Cette demande ne constitue pas un motif d'ouverture d'une procédure disciplinaire à l'encontre d'un juge,</w:t>
            </w:r>
          </w:p>
          <w:p w14:paraId="1216C144" w14:textId="77777777" w:rsidR="003C4798" w:rsidRDefault="00417595">
            <w:pPr>
              <w:pStyle w:val="P68B1DB1-Normal89"/>
              <w:numPr>
                <w:ilvl w:val="0"/>
                <w:numId w:val="27"/>
              </w:numPr>
              <w:spacing w:line="240" w:lineRule="auto"/>
              <w:ind w:left="468" w:hanging="394"/>
              <w:rPr>
                <w:rFonts w:cs="Times New Roman"/>
                <w:noProof/>
                <w:szCs w:val="18"/>
              </w:rPr>
            </w:pPr>
            <w:r>
              <w:rPr>
                <w:noProof/>
              </w:rPr>
              <w:t>si les juges peuvent encore être tenus pour responsables de fautes professionnelles, y compris de violations flagrantes et flagrantes de la loi, déterminer que le contenu des décisions judiciaires n’est pas qualifié d’infraction disciplinaire,</w:t>
            </w:r>
          </w:p>
          <w:p w14:paraId="1216C145" w14:textId="22801794" w:rsidR="003C4798" w:rsidRDefault="00417595">
            <w:pPr>
              <w:pStyle w:val="P68B1DB1-Normal89"/>
              <w:numPr>
                <w:ilvl w:val="0"/>
                <w:numId w:val="27"/>
              </w:numPr>
              <w:spacing w:line="240" w:lineRule="auto"/>
              <w:ind w:left="468" w:hanging="394"/>
              <w:rPr>
                <w:rFonts w:cs="Times New Roman"/>
                <w:noProof/>
                <w:szCs w:val="18"/>
              </w:rPr>
            </w:pPr>
            <w:r>
              <w:rPr>
                <w:noProof/>
              </w:rPr>
              <w:t>veille à ce que l’ouverture de la vérification, dans le cadre de la procédure juridictionnelle, de la conformité d’un juge aux exigences d’indépendance, d’impartialité et d’«établissement par la loi», conformément à l’article 19 du TUE, soit possible pour une juridiction compétente lorsqu’un doute sérieux surgit sur ce point et que cette vérification n’est pas qualifiée d’infraction disciplinaire,</w:t>
            </w:r>
          </w:p>
          <w:p w14:paraId="1216C146" w14:textId="77777777" w:rsidR="003C4798" w:rsidRDefault="00417595">
            <w:pPr>
              <w:pStyle w:val="P68B1DB1-Normal89"/>
              <w:numPr>
                <w:ilvl w:val="0"/>
                <w:numId w:val="27"/>
              </w:numPr>
              <w:spacing w:line="240" w:lineRule="auto"/>
              <w:ind w:left="468" w:hanging="394"/>
              <w:rPr>
                <w:rFonts w:cs="Times New Roman"/>
                <w:noProof/>
                <w:szCs w:val="18"/>
              </w:rPr>
            </w:pPr>
            <w:r>
              <w:rPr>
                <w:noProof/>
              </w:rPr>
              <w:t>renforcer les garanties procédurales et les pouvoirs des parties dans les procédures disciplinaires concernant les juges, par</w:t>
            </w:r>
          </w:p>
          <w:p w14:paraId="1216C147" w14:textId="77777777" w:rsidR="003C4798" w:rsidRDefault="00417595">
            <w:pPr>
              <w:pStyle w:val="P68B1DB1-Normal89"/>
              <w:numPr>
                <w:ilvl w:val="0"/>
                <w:numId w:val="28"/>
              </w:numPr>
              <w:spacing w:line="240" w:lineRule="auto"/>
              <w:ind w:left="893" w:hanging="284"/>
              <w:contextualSpacing/>
              <w:rPr>
                <w:rFonts w:cs="Times New Roman"/>
                <w:noProof/>
                <w:szCs w:val="18"/>
              </w:rPr>
            </w:pPr>
            <w:r>
              <w:rPr>
                <w:noProof/>
              </w:rPr>
              <w:t>en veillant à ce que les affaires disciplinaires à l'encontre des juges des juridictions de droit commun soient examinées dans un délai raisonnable,</w:t>
            </w:r>
          </w:p>
          <w:p w14:paraId="1216C148" w14:textId="77777777" w:rsidR="003C4798" w:rsidRDefault="003C4798">
            <w:pPr>
              <w:spacing w:line="240" w:lineRule="auto"/>
              <w:ind w:left="893" w:hanging="284"/>
              <w:contextualSpacing/>
              <w:rPr>
                <w:rFonts w:ascii="Times New Roman" w:hAnsi="Times New Roman" w:cs="Times New Roman"/>
                <w:noProof/>
                <w:sz w:val="18"/>
                <w:szCs w:val="18"/>
              </w:rPr>
            </w:pPr>
          </w:p>
          <w:p w14:paraId="1216C149" w14:textId="77777777" w:rsidR="003C4798" w:rsidRDefault="00417595">
            <w:pPr>
              <w:pStyle w:val="P68B1DB1-Normal89"/>
              <w:numPr>
                <w:ilvl w:val="0"/>
                <w:numId w:val="28"/>
              </w:numPr>
              <w:spacing w:line="240" w:lineRule="auto"/>
              <w:ind w:left="893" w:hanging="284"/>
              <w:contextualSpacing/>
              <w:rPr>
                <w:rFonts w:cs="Times New Roman"/>
                <w:noProof/>
                <w:szCs w:val="18"/>
              </w:rPr>
            </w:pPr>
            <w:r>
              <w:rPr>
                <w:noProof/>
              </w:rPr>
              <w:t>des règles plus précises sur la compétence territoriale des juridictions chargées d'examiner les affaires disciplinaires afin de garantir que la juridiction concernée puisse être directement déterminée conformément à l'acte législatif; et</w:t>
            </w:r>
          </w:p>
          <w:p w14:paraId="1216C14A" w14:textId="77777777" w:rsidR="003C4798" w:rsidRDefault="003C4798">
            <w:pPr>
              <w:spacing w:line="240" w:lineRule="auto"/>
              <w:ind w:left="893" w:hanging="284"/>
              <w:contextualSpacing/>
              <w:rPr>
                <w:rFonts w:ascii="Times New Roman" w:hAnsi="Times New Roman" w:cs="Times New Roman"/>
                <w:noProof/>
                <w:sz w:val="18"/>
                <w:szCs w:val="18"/>
              </w:rPr>
            </w:pPr>
          </w:p>
          <w:p w14:paraId="1216C14B" w14:textId="77777777" w:rsidR="003C4798" w:rsidRDefault="00417595">
            <w:pPr>
              <w:pStyle w:val="P68B1DB1-Normal89"/>
              <w:numPr>
                <w:ilvl w:val="0"/>
                <w:numId w:val="28"/>
              </w:numPr>
              <w:spacing w:line="240" w:lineRule="auto"/>
              <w:ind w:left="893" w:hanging="284"/>
              <w:contextualSpacing/>
              <w:rPr>
                <w:rFonts w:eastAsia="Times New Roman" w:cs="Times New Roman"/>
                <w:noProof/>
                <w:color w:val="006100"/>
                <w:szCs w:val="18"/>
              </w:rPr>
            </w:pPr>
            <w:r>
              <w:rPr>
                <w:noProof/>
              </w:rPr>
              <w:t>veiller à ce que la nomination d’un avocat de la défense dans le cadre d’une procédure disciplinaire concernant un juge se fasse dans un délai raisonnable, et prévoir un délai pour la préparation au fond de l’avocat de la défense afin qu’il puisse exercer ses fonctions dans le cadre de la procédure donnée. Simultanément, le tribunal suspend le déroulement de la procédure en cas d'absence dûment justifiée du juge inculpé ou de son avocat.</w:t>
            </w:r>
          </w:p>
        </w:tc>
      </w:tr>
      <w:tr w:rsidR="003C4798" w14:paraId="1216C158" w14:textId="77777777" w:rsidTr="00DA6ACB">
        <w:trPr>
          <w:gridAfter w:val="1"/>
          <w:wAfter w:w="28" w:type="dxa"/>
          <w:trHeight w:val="313"/>
          <w:jc w:val="center"/>
        </w:trPr>
        <w:tc>
          <w:tcPr>
            <w:tcW w:w="846" w:type="dxa"/>
            <w:shd w:val="clear" w:color="auto" w:fill="C6EFCE"/>
          </w:tcPr>
          <w:p w14:paraId="1216C14D"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F2G</w:t>
            </w:r>
          </w:p>
        </w:tc>
        <w:tc>
          <w:tcPr>
            <w:tcW w:w="1417" w:type="dxa"/>
            <w:shd w:val="clear" w:color="auto" w:fill="C6EFCE"/>
          </w:tcPr>
          <w:p w14:paraId="1216C14E" w14:textId="77777777" w:rsidR="003C4798" w:rsidRDefault="00417595">
            <w:pPr>
              <w:pStyle w:val="P68B1DB1-Normal89"/>
              <w:spacing w:after="0" w:line="240" w:lineRule="auto"/>
              <w:rPr>
                <w:rFonts w:cs="Times New Roman"/>
                <w:noProof/>
                <w:szCs w:val="18"/>
              </w:rPr>
            </w:pPr>
            <w:r>
              <w:rPr>
                <w:noProof/>
              </w:rPr>
              <w:t>F1.2 Réforme visant à remédier à la situation des juges affectés par les décisions de la Chambre disciplinaire de la Cour suprême dans les affaires disciplinaires et les affaires d ' immunité judiciaire</w:t>
            </w:r>
          </w:p>
        </w:tc>
        <w:tc>
          <w:tcPr>
            <w:tcW w:w="1134" w:type="dxa"/>
            <w:shd w:val="clear" w:color="auto" w:fill="C6EFCE"/>
          </w:tcPr>
          <w:p w14:paraId="1216C14F"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Étape</w:t>
            </w:r>
          </w:p>
        </w:tc>
        <w:tc>
          <w:tcPr>
            <w:tcW w:w="1181" w:type="dxa"/>
            <w:shd w:val="clear" w:color="auto" w:fill="C6EFCE"/>
          </w:tcPr>
          <w:p w14:paraId="1216C150" w14:textId="42C699F3" w:rsidR="003C4798" w:rsidRDefault="00417595">
            <w:pPr>
              <w:pStyle w:val="P68B1DB1-Normal89"/>
              <w:pBdr>
                <w:top w:val="nil"/>
                <w:left w:val="nil"/>
                <w:bottom w:val="nil"/>
                <w:right w:val="nil"/>
                <w:between w:val="nil"/>
              </w:pBdr>
              <w:spacing w:after="0" w:line="240" w:lineRule="auto"/>
              <w:rPr>
                <w:rFonts w:eastAsia="Times New Roman" w:cs="Times New Roman"/>
                <w:noProof/>
                <w:color w:val="006100"/>
                <w:szCs w:val="18"/>
              </w:rPr>
            </w:pPr>
            <w:r>
              <w:rPr>
                <w:noProof/>
              </w:rPr>
              <w:t>Entrée en vigueur d’une réforme visant à remédier à la situation des juges affectés par les décisions de la chambre disciplinaire de la Cour suprême dans les affaires disciplinaires et les affaires d’immunité judiciaire</w:t>
            </w:r>
          </w:p>
        </w:tc>
        <w:tc>
          <w:tcPr>
            <w:tcW w:w="1578" w:type="dxa"/>
            <w:shd w:val="clear" w:color="auto" w:fill="C6EFCE"/>
          </w:tcPr>
          <w:p w14:paraId="1216C151" w14:textId="77777777" w:rsidR="003C4798" w:rsidRDefault="00417595">
            <w:pPr>
              <w:pStyle w:val="P68B1DB1-Normal89"/>
              <w:spacing w:after="0" w:line="240" w:lineRule="auto"/>
              <w:rPr>
                <w:rFonts w:eastAsia="Times New Roman" w:cs="Times New Roman"/>
                <w:noProof/>
                <w:color w:val="006100"/>
                <w:szCs w:val="18"/>
              </w:rPr>
            </w:pPr>
            <w:r>
              <w:rPr>
                <w:noProof/>
              </w:rPr>
              <w:t>Disposition de l’acte juridique indiquant l’entrée en vigueur</w:t>
            </w:r>
          </w:p>
        </w:tc>
        <w:tc>
          <w:tcPr>
            <w:tcW w:w="987" w:type="dxa"/>
            <w:shd w:val="clear" w:color="auto" w:fill="C6EFCE"/>
          </w:tcPr>
          <w:p w14:paraId="1216C152"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53"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85" w:type="dxa"/>
            <w:shd w:val="clear" w:color="auto" w:fill="C6EFCE"/>
          </w:tcPr>
          <w:p w14:paraId="1216C154"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C155"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0000"/>
                <w:szCs w:val="18"/>
              </w:rPr>
            </w:pPr>
            <w:r>
              <w:rPr>
                <w:noProof/>
              </w:rPr>
              <w:t>T2</w:t>
            </w:r>
          </w:p>
        </w:tc>
        <w:tc>
          <w:tcPr>
            <w:tcW w:w="851" w:type="dxa"/>
            <w:shd w:val="clear" w:color="auto" w:fill="C6EFCE"/>
          </w:tcPr>
          <w:p w14:paraId="1216C156"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229" w:type="dxa"/>
            <w:shd w:val="clear" w:color="auto" w:fill="C6EFCE"/>
          </w:tcPr>
          <w:p w14:paraId="1216C157" w14:textId="152B8CD6" w:rsidR="003C4798" w:rsidRDefault="00417595">
            <w:pPr>
              <w:pStyle w:val="P68B1DB1-Normal89"/>
              <w:pBdr>
                <w:top w:val="nil"/>
                <w:left w:val="nil"/>
                <w:bottom w:val="nil"/>
                <w:right w:val="nil"/>
                <w:between w:val="nil"/>
              </w:pBdr>
              <w:spacing w:after="0" w:line="240" w:lineRule="auto"/>
              <w:rPr>
                <w:rFonts w:eastAsia="Times New Roman" w:cs="Times New Roman"/>
                <w:noProof/>
                <w:color w:val="006100"/>
                <w:szCs w:val="18"/>
              </w:rPr>
            </w:pPr>
            <w:r>
              <w:rPr>
                <w:noProof/>
              </w:rPr>
              <w:t>Entrée en vigueur d’une réforme garantissant aux juges concernés par les décisions de la chambre disciplinaire de la Cour suprême l’accès à la procédure de réexamen de leurs affaires. Ces affaires déjà tranchées par la chambre disciplinaire sont réexaminées par une juridiction qui satisfait aux exigences de l’article 19, paragraphe 1, du TUE, conformément aux règles à adopter sur la base de l’étape F1G ci-dessus. L’acte législatif prévoit que la première audience du tribunal pour statuer sur ces affaires a lieu dans un délai de trois mois à compter de la réception de la requête du juge demandant un réexamen et que les affaires sont jugées dans un délai de douze mois à compter de la réception de cette requête. Les affaires qui sont encore pendantes devant la chambre disciplinaire sont renvoyées pour un examen plus approfondi devant le tribunal et conformément aux règles déterminées dans le cadre de la procédure susmentionnée.</w:t>
            </w:r>
          </w:p>
        </w:tc>
      </w:tr>
      <w:tr w:rsidR="003C4798" w14:paraId="1216C164" w14:textId="77777777" w:rsidTr="00DA6ACB">
        <w:trPr>
          <w:gridAfter w:val="1"/>
          <w:wAfter w:w="28" w:type="dxa"/>
          <w:trHeight w:val="313"/>
          <w:jc w:val="center"/>
        </w:trPr>
        <w:tc>
          <w:tcPr>
            <w:tcW w:w="846" w:type="dxa"/>
            <w:tcBorders>
              <w:top w:val="single" w:sz="4" w:space="0" w:color="000000"/>
              <w:left w:val="single" w:sz="4" w:space="0" w:color="000000"/>
              <w:bottom w:val="single" w:sz="4" w:space="0" w:color="000000"/>
              <w:right w:val="single" w:sz="4" w:space="0" w:color="000000"/>
            </w:tcBorders>
            <w:shd w:val="clear" w:color="auto" w:fill="C6EFCE"/>
          </w:tcPr>
          <w:p w14:paraId="1216C159" w14:textId="77777777" w:rsidR="003C4798" w:rsidRDefault="00417595">
            <w:pPr>
              <w:pStyle w:val="P68B1DB1-Normal89"/>
              <w:pBdr>
                <w:top w:val="nil"/>
                <w:left w:val="nil"/>
                <w:bottom w:val="nil"/>
                <w:right w:val="nil"/>
                <w:between w:val="nil"/>
              </w:pBdr>
              <w:spacing w:after="0" w:line="240" w:lineRule="auto"/>
              <w:jc w:val="center"/>
              <w:rPr>
                <w:rFonts w:cs="Times New Roman"/>
                <w:noProof/>
                <w:szCs w:val="18"/>
              </w:rPr>
            </w:pPr>
            <w:r>
              <w:rPr>
                <w:noProof/>
              </w:rPr>
              <w:t>F3G</w:t>
            </w:r>
          </w:p>
        </w:tc>
        <w:tc>
          <w:tcPr>
            <w:tcW w:w="1417" w:type="dxa"/>
            <w:tcBorders>
              <w:top w:val="single" w:sz="4" w:space="0" w:color="000000"/>
              <w:left w:val="single" w:sz="4" w:space="0" w:color="000000"/>
              <w:bottom w:val="single" w:sz="4" w:space="0" w:color="000000"/>
              <w:right w:val="single" w:sz="4" w:space="0" w:color="000000"/>
            </w:tcBorders>
            <w:shd w:val="clear" w:color="auto" w:fill="C6EFCE"/>
          </w:tcPr>
          <w:p w14:paraId="1216C15A" w14:textId="77777777" w:rsidR="003C4798" w:rsidRDefault="00417595">
            <w:pPr>
              <w:pStyle w:val="P68B1DB1-Normal89"/>
              <w:pBdr>
                <w:top w:val="nil"/>
                <w:left w:val="nil"/>
                <w:bottom w:val="nil"/>
                <w:right w:val="nil"/>
                <w:between w:val="nil"/>
              </w:pBdr>
              <w:spacing w:after="0" w:line="240" w:lineRule="auto"/>
              <w:rPr>
                <w:rFonts w:eastAsia="Times New Roman" w:cs="Times New Roman"/>
                <w:noProof/>
                <w:color w:val="000000"/>
                <w:szCs w:val="18"/>
              </w:rPr>
            </w:pPr>
            <w:r>
              <w:rPr>
                <w:noProof/>
              </w:rPr>
              <w:t>F1.2 Réforme visant à remédier à la situation des juges affectés par les décisions de la Chambre disciplinaire de la Cour suprême dans les affaires disciplinaires et les affaires d ' immunité judiciaire</w:t>
            </w:r>
          </w:p>
        </w:tc>
        <w:tc>
          <w:tcPr>
            <w:tcW w:w="1134" w:type="dxa"/>
            <w:tcBorders>
              <w:top w:val="single" w:sz="4" w:space="0" w:color="000000"/>
              <w:left w:val="single" w:sz="4" w:space="0" w:color="000000"/>
              <w:bottom w:val="single" w:sz="4" w:space="0" w:color="000000"/>
              <w:right w:val="single" w:sz="4" w:space="0" w:color="000000"/>
            </w:tcBorders>
            <w:shd w:val="clear" w:color="auto" w:fill="C6EFCE"/>
          </w:tcPr>
          <w:p w14:paraId="1216C15B"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0000"/>
                <w:szCs w:val="18"/>
              </w:rPr>
            </w:pPr>
            <w:r>
              <w:rPr>
                <w:noProof/>
              </w:rPr>
              <w:t>Étape</w:t>
            </w:r>
          </w:p>
        </w:tc>
        <w:tc>
          <w:tcPr>
            <w:tcW w:w="1181" w:type="dxa"/>
            <w:tcBorders>
              <w:top w:val="single" w:sz="4" w:space="0" w:color="000000"/>
              <w:left w:val="single" w:sz="4" w:space="0" w:color="000000"/>
              <w:bottom w:val="single" w:sz="4" w:space="0" w:color="000000"/>
              <w:right w:val="single" w:sz="4" w:space="0" w:color="000000"/>
            </w:tcBorders>
            <w:shd w:val="clear" w:color="auto" w:fill="C6EFCE"/>
          </w:tcPr>
          <w:p w14:paraId="1216C15C" w14:textId="580CDF8F" w:rsidR="003C4798" w:rsidRDefault="00417595">
            <w:pPr>
              <w:pStyle w:val="P68B1DB1-Normal89"/>
              <w:pBdr>
                <w:top w:val="nil"/>
                <w:left w:val="nil"/>
                <w:bottom w:val="nil"/>
                <w:right w:val="nil"/>
                <w:between w:val="nil"/>
              </w:pBdr>
              <w:spacing w:after="0" w:line="240" w:lineRule="auto"/>
              <w:rPr>
                <w:rFonts w:eastAsia="Times New Roman" w:cs="Times New Roman"/>
                <w:noProof/>
                <w:color w:val="000000"/>
                <w:szCs w:val="18"/>
              </w:rPr>
            </w:pPr>
            <w:r>
              <w:rPr>
                <w:noProof/>
              </w:rPr>
              <w:t>Réforme visant à remédier à la situation des juges affectés par les décisions de la chambre disciplinaire de la Cour suprême dans les affaires disciplinaires et les affaires d’immunité judiciaire</w:t>
            </w:r>
          </w:p>
        </w:tc>
        <w:tc>
          <w:tcPr>
            <w:tcW w:w="1578" w:type="dxa"/>
            <w:tcBorders>
              <w:top w:val="single" w:sz="4" w:space="0" w:color="000000"/>
              <w:left w:val="single" w:sz="4" w:space="0" w:color="000000"/>
              <w:bottom w:val="single" w:sz="4" w:space="0" w:color="000000"/>
              <w:right w:val="single" w:sz="4" w:space="0" w:color="000000"/>
            </w:tcBorders>
            <w:shd w:val="clear" w:color="auto" w:fill="C6EFCE"/>
          </w:tcPr>
          <w:p w14:paraId="1216C15D" w14:textId="77777777" w:rsidR="003C4798" w:rsidRDefault="00417595">
            <w:pPr>
              <w:pStyle w:val="P68B1DB1-Normal89"/>
              <w:pBdr>
                <w:top w:val="nil"/>
                <w:left w:val="nil"/>
                <w:bottom w:val="nil"/>
                <w:right w:val="nil"/>
                <w:between w:val="nil"/>
              </w:pBdr>
              <w:spacing w:after="0" w:line="240" w:lineRule="auto"/>
              <w:rPr>
                <w:rFonts w:eastAsia="Times New Roman" w:cs="Times New Roman"/>
                <w:noProof/>
                <w:color w:val="000000"/>
                <w:szCs w:val="18"/>
              </w:rPr>
            </w:pPr>
            <w:r>
              <w:rPr>
                <w:noProof/>
              </w:rPr>
              <w:t>Affaires jugées</w:t>
            </w:r>
          </w:p>
        </w:tc>
        <w:tc>
          <w:tcPr>
            <w:tcW w:w="987" w:type="dxa"/>
            <w:tcBorders>
              <w:top w:val="single" w:sz="4" w:space="0" w:color="000000"/>
              <w:left w:val="single" w:sz="4" w:space="0" w:color="000000"/>
              <w:bottom w:val="single" w:sz="4" w:space="0" w:color="000000"/>
              <w:right w:val="single" w:sz="4" w:space="0" w:color="000000"/>
            </w:tcBorders>
            <w:shd w:val="clear" w:color="auto" w:fill="C6EFCE"/>
          </w:tcPr>
          <w:p w14:paraId="1216C15E"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39" w:type="dxa"/>
            <w:tcBorders>
              <w:top w:val="single" w:sz="4" w:space="0" w:color="000000"/>
              <w:left w:val="single" w:sz="4" w:space="0" w:color="000000"/>
              <w:bottom w:val="single" w:sz="4" w:space="0" w:color="000000"/>
              <w:right w:val="single" w:sz="4" w:space="0" w:color="000000"/>
            </w:tcBorders>
            <w:shd w:val="clear" w:color="auto" w:fill="C6EFCE"/>
          </w:tcPr>
          <w:p w14:paraId="1216C15F"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885" w:type="dxa"/>
            <w:tcBorders>
              <w:top w:val="single" w:sz="4" w:space="0" w:color="000000"/>
              <w:left w:val="single" w:sz="4" w:space="0" w:color="000000"/>
              <w:bottom w:val="single" w:sz="4" w:space="0" w:color="000000"/>
              <w:right w:val="single" w:sz="4" w:space="0" w:color="000000"/>
            </w:tcBorders>
            <w:shd w:val="clear" w:color="auto" w:fill="C6EFCE"/>
          </w:tcPr>
          <w:p w14:paraId="1216C160"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C6EFCE"/>
          </w:tcPr>
          <w:p w14:paraId="1216C161"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0000"/>
                <w:szCs w:val="18"/>
              </w:rPr>
            </w:pPr>
            <w:r>
              <w:rPr>
                <w:noProof/>
              </w:rPr>
              <w:t>T4</w:t>
            </w:r>
          </w:p>
        </w:tc>
        <w:tc>
          <w:tcPr>
            <w:tcW w:w="851" w:type="dxa"/>
            <w:tcBorders>
              <w:top w:val="single" w:sz="4" w:space="0" w:color="000000"/>
              <w:left w:val="single" w:sz="4" w:space="0" w:color="000000"/>
              <w:bottom w:val="single" w:sz="4" w:space="0" w:color="000000"/>
              <w:right w:val="single" w:sz="4" w:space="0" w:color="000000"/>
            </w:tcBorders>
            <w:shd w:val="clear" w:color="auto" w:fill="C6EFCE"/>
          </w:tcPr>
          <w:p w14:paraId="1216C162"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0000"/>
                <w:szCs w:val="18"/>
              </w:rPr>
            </w:pPr>
            <w:r>
              <w:rPr>
                <w:noProof/>
              </w:rPr>
              <w:t>2023</w:t>
            </w:r>
          </w:p>
        </w:tc>
        <w:tc>
          <w:tcPr>
            <w:tcW w:w="4229" w:type="dxa"/>
            <w:tcBorders>
              <w:top w:val="single" w:sz="4" w:space="0" w:color="000000"/>
              <w:left w:val="single" w:sz="4" w:space="0" w:color="000000"/>
              <w:bottom w:val="single" w:sz="4" w:space="0" w:color="000000"/>
              <w:right w:val="single" w:sz="4" w:space="0" w:color="000000"/>
            </w:tcBorders>
            <w:shd w:val="clear" w:color="auto" w:fill="C6EFCE"/>
          </w:tcPr>
          <w:p w14:paraId="1216C163" w14:textId="77777777" w:rsidR="003C4798" w:rsidRDefault="00417595">
            <w:pPr>
              <w:pStyle w:val="P68B1DB1-Normal89"/>
              <w:pBdr>
                <w:top w:val="nil"/>
                <w:left w:val="nil"/>
                <w:bottom w:val="nil"/>
                <w:right w:val="nil"/>
                <w:between w:val="nil"/>
              </w:pBdr>
              <w:spacing w:after="0" w:line="240" w:lineRule="auto"/>
              <w:rPr>
                <w:rFonts w:eastAsia="Times New Roman" w:cs="Times New Roman"/>
                <w:noProof/>
                <w:color w:val="000000"/>
                <w:szCs w:val="18"/>
              </w:rPr>
            </w:pPr>
            <w:r>
              <w:rPr>
                <w:noProof/>
              </w:rPr>
              <w:t>Toutes les affaires de réexamen lancées conformément à l’étape F2G sont jugées, sauf dans des circonstances exceptionnelles dûment justifiées.</w:t>
            </w:r>
          </w:p>
        </w:tc>
      </w:tr>
      <w:tr w:rsidR="003C4798" w14:paraId="1216C176" w14:textId="77777777" w:rsidTr="00DA6ACB">
        <w:trPr>
          <w:gridAfter w:val="1"/>
          <w:wAfter w:w="28" w:type="dxa"/>
          <w:trHeight w:val="313"/>
          <w:jc w:val="center"/>
        </w:trPr>
        <w:tc>
          <w:tcPr>
            <w:tcW w:w="846" w:type="dxa"/>
            <w:shd w:val="clear" w:color="auto" w:fill="C6EFCE"/>
          </w:tcPr>
          <w:p w14:paraId="1216C165"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F4G</w:t>
            </w:r>
          </w:p>
        </w:tc>
        <w:tc>
          <w:tcPr>
            <w:tcW w:w="1417" w:type="dxa"/>
            <w:shd w:val="clear" w:color="auto" w:fill="C6EFCE"/>
          </w:tcPr>
          <w:p w14:paraId="1216C166" w14:textId="77777777" w:rsidR="003C4798" w:rsidRDefault="00417595">
            <w:pPr>
              <w:pStyle w:val="P68B1DB1-Normal89"/>
              <w:spacing w:after="0" w:line="240" w:lineRule="auto"/>
              <w:rPr>
                <w:rFonts w:eastAsia="Times New Roman" w:cs="Times New Roman"/>
                <w:noProof/>
                <w:color w:val="006100"/>
                <w:szCs w:val="18"/>
              </w:rPr>
            </w:pPr>
            <w:r>
              <w:rPr>
                <w:noProof/>
              </w:rPr>
              <w:t>F2.1 Améliorer le processus législatif</w:t>
            </w:r>
          </w:p>
        </w:tc>
        <w:tc>
          <w:tcPr>
            <w:tcW w:w="1134" w:type="dxa"/>
            <w:shd w:val="clear" w:color="auto" w:fill="C6EFCE"/>
          </w:tcPr>
          <w:p w14:paraId="1216C167" w14:textId="77777777" w:rsidR="003C4798" w:rsidRDefault="00417595">
            <w:pPr>
              <w:pStyle w:val="P68B1DB1-Normal89"/>
              <w:spacing w:after="0" w:line="240" w:lineRule="auto"/>
              <w:jc w:val="center"/>
              <w:rPr>
                <w:rFonts w:eastAsia="Times New Roman" w:cs="Times New Roman"/>
                <w:noProof/>
                <w:color w:val="006100"/>
                <w:szCs w:val="18"/>
              </w:rPr>
            </w:pPr>
            <w:r>
              <w:rPr>
                <w:noProof/>
              </w:rPr>
              <w:t>Étape</w:t>
            </w:r>
          </w:p>
        </w:tc>
        <w:tc>
          <w:tcPr>
            <w:tcW w:w="1181" w:type="dxa"/>
            <w:shd w:val="clear" w:color="auto" w:fill="C6EFCE"/>
          </w:tcPr>
          <w:p w14:paraId="1216C168" w14:textId="00E95A74" w:rsidR="003C4798" w:rsidRDefault="00417595">
            <w:pPr>
              <w:pStyle w:val="P68B1DB1-Normal75"/>
              <w:pBdr>
                <w:top w:val="nil"/>
                <w:left w:val="nil"/>
                <w:bottom w:val="nil"/>
                <w:right w:val="nil"/>
                <w:between w:val="nil"/>
              </w:pBdr>
              <w:spacing w:after="0" w:line="240" w:lineRule="auto"/>
              <w:rPr>
                <w:noProof/>
                <w:color w:val="006100"/>
              </w:rPr>
            </w:pPr>
            <w:r>
              <w:rPr>
                <w:noProof/>
              </w:rPr>
              <w:t>Entrée en vigueur des amendements au Règlement de la Diète, du Sénat et du Conseil des ministres</w:t>
            </w:r>
          </w:p>
        </w:tc>
        <w:tc>
          <w:tcPr>
            <w:tcW w:w="1578" w:type="dxa"/>
            <w:shd w:val="clear" w:color="auto" w:fill="C6EFCE"/>
          </w:tcPr>
          <w:p w14:paraId="1216C169" w14:textId="77777777" w:rsidR="003C4798" w:rsidRDefault="00417595">
            <w:pPr>
              <w:pStyle w:val="P68B1DB1-Normal89"/>
              <w:spacing w:after="0" w:line="240" w:lineRule="auto"/>
              <w:rPr>
                <w:rFonts w:eastAsia="Times New Roman" w:cs="Times New Roman"/>
                <w:noProof/>
                <w:color w:val="006100"/>
                <w:szCs w:val="18"/>
              </w:rPr>
            </w:pPr>
            <w:r>
              <w:rPr>
                <w:noProof/>
              </w:rPr>
              <w:t>Dispositions des actes juridiques indiquant l'entrée en vigueur</w:t>
            </w:r>
          </w:p>
        </w:tc>
        <w:tc>
          <w:tcPr>
            <w:tcW w:w="987" w:type="dxa"/>
            <w:shd w:val="clear" w:color="auto" w:fill="C6EFCE"/>
          </w:tcPr>
          <w:p w14:paraId="1216C16A"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6B"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85" w:type="dxa"/>
            <w:shd w:val="clear" w:color="auto" w:fill="C6EFCE"/>
          </w:tcPr>
          <w:p w14:paraId="1216C16C"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C16D"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T3</w:t>
            </w:r>
          </w:p>
        </w:tc>
        <w:tc>
          <w:tcPr>
            <w:tcW w:w="851" w:type="dxa"/>
            <w:shd w:val="clear" w:color="auto" w:fill="C6EFCE"/>
          </w:tcPr>
          <w:p w14:paraId="1216C16E"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229" w:type="dxa"/>
            <w:shd w:val="clear" w:color="auto" w:fill="C6EFCE"/>
          </w:tcPr>
          <w:p w14:paraId="1216C16F" w14:textId="77777777" w:rsidR="003C4798" w:rsidRDefault="00417595">
            <w:pPr>
              <w:pStyle w:val="P68B1DB1-Normal82"/>
              <w:spacing w:after="0" w:line="240" w:lineRule="auto"/>
              <w:rPr>
                <w:noProof/>
              </w:rPr>
            </w:pPr>
            <w:r>
              <w:rPr>
                <w:noProof/>
              </w:rPr>
              <w:t>Entrée en vigueur des amendements au règlement intérieur de la Diète qui limitent le recours aux procédures accélérées aux cas justifiés et introduisent, pour les projets de loi proposés par les députés, l’exigence d’une analyse d’impact et d’une consultation publique, sauf dans les cas justifiés.</w:t>
            </w:r>
          </w:p>
          <w:p w14:paraId="1216C170" w14:textId="77777777" w:rsidR="003C4798" w:rsidRDefault="003C4798">
            <w:pPr>
              <w:spacing w:after="0" w:line="240" w:lineRule="auto"/>
              <w:rPr>
                <w:rFonts w:ascii="Times New Roman" w:eastAsia="Times New Roman" w:hAnsi="Times New Roman" w:cs="Times New Roman"/>
                <w:noProof/>
                <w:sz w:val="18"/>
                <w:szCs w:val="18"/>
              </w:rPr>
            </w:pPr>
          </w:p>
          <w:p w14:paraId="1216C171" w14:textId="77777777" w:rsidR="003C4798" w:rsidRDefault="00417595">
            <w:pPr>
              <w:pStyle w:val="P68B1DB1-Normal82"/>
              <w:spacing w:after="0" w:line="240" w:lineRule="auto"/>
              <w:rPr>
                <w:noProof/>
              </w:rPr>
            </w:pPr>
            <w:r>
              <w:rPr>
                <w:noProof/>
              </w:rPr>
              <w:t xml:space="preserve">Entrée en vigueur des amendements au Règlement </w:t>
            </w:r>
          </w:p>
          <w:p w14:paraId="1216C172" w14:textId="77777777" w:rsidR="003C4798" w:rsidRDefault="00417595">
            <w:pPr>
              <w:pStyle w:val="P68B1DB1-Normal82"/>
              <w:spacing w:after="0" w:line="240" w:lineRule="auto"/>
              <w:rPr>
                <w:noProof/>
              </w:rPr>
            </w:pPr>
            <w:r>
              <w:rPr>
                <w:noProof/>
              </w:rPr>
              <w:t>Procédure du Conseil des ministres qui limite le recours aux procédures accélérées aux cas justifiés.</w:t>
            </w:r>
          </w:p>
          <w:p w14:paraId="1216C173" w14:textId="77777777" w:rsidR="003C4798" w:rsidRDefault="003C4798">
            <w:pPr>
              <w:spacing w:after="0" w:line="240" w:lineRule="auto"/>
              <w:rPr>
                <w:rFonts w:ascii="Times New Roman" w:eastAsia="Times New Roman" w:hAnsi="Times New Roman" w:cs="Times New Roman"/>
                <w:noProof/>
                <w:sz w:val="18"/>
                <w:szCs w:val="18"/>
              </w:rPr>
            </w:pPr>
          </w:p>
          <w:p w14:paraId="1216C175" w14:textId="133FBE07" w:rsidR="003C4798" w:rsidRDefault="00417595">
            <w:pPr>
              <w:pStyle w:val="P68B1DB1-Normal82"/>
              <w:spacing w:after="0" w:line="240" w:lineRule="auto"/>
              <w:rPr>
                <w:noProof/>
              </w:rPr>
            </w:pPr>
            <w:r>
              <w:rPr>
                <w:noProof/>
              </w:rPr>
              <w:t>Entrée en vigueur des amendements au Règlement du Sénat qui introduisent pour les projets de loi proposés par le Sénat l'exigence que, sauf cas justifiés, il y ait une analyse d'impact.</w:t>
            </w:r>
          </w:p>
        </w:tc>
      </w:tr>
      <w:tr w:rsidR="003C4798" w14:paraId="1216C182" w14:textId="77777777" w:rsidTr="00DA6ACB">
        <w:trPr>
          <w:gridAfter w:val="1"/>
          <w:wAfter w:w="28" w:type="dxa"/>
          <w:trHeight w:val="313"/>
          <w:jc w:val="center"/>
        </w:trPr>
        <w:tc>
          <w:tcPr>
            <w:tcW w:w="846" w:type="dxa"/>
            <w:shd w:val="clear" w:color="auto" w:fill="C6EFCE"/>
          </w:tcPr>
          <w:p w14:paraId="1216C177"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F5G</w:t>
            </w:r>
          </w:p>
        </w:tc>
        <w:tc>
          <w:tcPr>
            <w:tcW w:w="1417" w:type="dxa"/>
            <w:shd w:val="clear" w:color="auto" w:fill="C6EFCE"/>
          </w:tcPr>
          <w:p w14:paraId="1216C178" w14:textId="77777777" w:rsidR="003C4798" w:rsidRDefault="00417595">
            <w:pPr>
              <w:pStyle w:val="P68B1DB1-Normal89"/>
              <w:pBdr>
                <w:top w:val="nil"/>
                <w:left w:val="nil"/>
                <w:bottom w:val="nil"/>
                <w:right w:val="nil"/>
                <w:between w:val="nil"/>
              </w:pBdr>
              <w:spacing w:after="0" w:line="240" w:lineRule="auto"/>
              <w:ind w:left="-49"/>
              <w:rPr>
                <w:rFonts w:eastAsia="Times New Roman" w:cs="Times New Roman"/>
                <w:noProof/>
                <w:color w:val="006100"/>
                <w:szCs w:val="18"/>
              </w:rPr>
            </w:pPr>
            <w:r>
              <w:rPr>
                <w:noProof/>
              </w:rPr>
              <w:t>F3.1 Améliorer les conditions de mise en œuvre du PRR</w:t>
            </w:r>
          </w:p>
        </w:tc>
        <w:tc>
          <w:tcPr>
            <w:tcW w:w="1134" w:type="dxa"/>
            <w:shd w:val="clear" w:color="auto" w:fill="C6EFCE"/>
          </w:tcPr>
          <w:p w14:paraId="1216C179"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Étape</w:t>
            </w:r>
          </w:p>
        </w:tc>
        <w:tc>
          <w:tcPr>
            <w:tcW w:w="1181" w:type="dxa"/>
            <w:shd w:val="clear" w:color="auto" w:fill="C6EFCE"/>
          </w:tcPr>
          <w:p w14:paraId="1216C17A" w14:textId="77777777" w:rsidR="003C4798" w:rsidRDefault="00417595">
            <w:pPr>
              <w:pStyle w:val="P68B1DB1-Normal89"/>
              <w:pBdr>
                <w:top w:val="nil"/>
                <w:left w:val="nil"/>
                <w:bottom w:val="nil"/>
                <w:right w:val="nil"/>
                <w:between w:val="nil"/>
              </w:pBdr>
              <w:spacing w:after="0" w:line="240" w:lineRule="auto"/>
              <w:rPr>
                <w:rFonts w:eastAsia="Times New Roman" w:cs="Times New Roman"/>
                <w:noProof/>
                <w:color w:val="006100"/>
                <w:szCs w:val="18"/>
              </w:rPr>
            </w:pPr>
            <w:r>
              <w:rPr>
                <w:noProof/>
              </w:rPr>
              <w:t>Entrée en vigueur d’un acte juridique qui crée un comité de suivi et lui confie la supervision de la mise en œuvre effective du PRR</w:t>
            </w:r>
          </w:p>
        </w:tc>
        <w:tc>
          <w:tcPr>
            <w:tcW w:w="1578" w:type="dxa"/>
            <w:shd w:val="clear" w:color="auto" w:fill="C6EFCE"/>
          </w:tcPr>
          <w:p w14:paraId="1216C17B" w14:textId="77777777" w:rsidR="003C4798" w:rsidRDefault="00417595">
            <w:pPr>
              <w:pStyle w:val="P68B1DB1-Normal89"/>
              <w:pBdr>
                <w:top w:val="nil"/>
                <w:left w:val="nil"/>
                <w:bottom w:val="nil"/>
                <w:right w:val="nil"/>
                <w:between w:val="nil"/>
              </w:pBdr>
              <w:spacing w:after="0" w:line="240" w:lineRule="auto"/>
              <w:rPr>
                <w:rFonts w:eastAsia="Times New Roman" w:cs="Times New Roman"/>
                <w:noProof/>
                <w:color w:val="006100"/>
                <w:szCs w:val="18"/>
              </w:rPr>
            </w:pPr>
            <w:r>
              <w:rPr>
                <w:noProof/>
              </w:rPr>
              <w:t>Disposition de l’acte juridique indiquant l’entrée en vigueur</w:t>
            </w:r>
          </w:p>
        </w:tc>
        <w:tc>
          <w:tcPr>
            <w:tcW w:w="987" w:type="dxa"/>
            <w:shd w:val="clear" w:color="auto" w:fill="C6EFCE"/>
          </w:tcPr>
          <w:p w14:paraId="1216C17C"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7D"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85" w:type="dxa"/>
            <w:shd w:val="clear" w:color="auto" w:fill="C6EFCE"/>
          </w:tcPr>
          <w:p w14:paraId="1216C17E"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C17F"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T1</w:t>
            </w:r>
          </w:p>
        </w:tc>
        <w:tc>
          <w:tcPr>
            <w:tcW w:w="851" w:type="dxa"/>
            <w:shd w:val="clear" w:color="auto" w:fill="C6EFCE"/>
          </w:tcPr>
          <w:p w14:paraId="1216C180"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229" w:type="dxa"/>
            <w:shd w:val="clear" w:color="auto" w:fill="C6EFCE"/>
          </w:tcPr>
          <w:p w14:paraId="1216C181" w14:textId="77777777" w:rsidR="003C4798" w:rsidRDefault="00417595">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r>
              <w:rPr>
                <w:rFonts w:ascii="Times New Roman" w:hAnsi="Times New Roman"/>
                <w:noProof/>
                <w:sz w:val="18"/>
              </w:rPr>
              <w:t>À la suite d'une consultation publique, entrée en vigueur d'un acte juridique qui:</w:t>
            </w:r>
            <w:r>
              <w:rPr>
                <w:noProof/>
              </w:rPr>
              <w:br/>
            </w:r>
            <w:r>
              <w:rPr>
                <w:rFonts w:ascii="Times New Roman" w:hAnsi="Times New Roman"/>
                <w:noProof/>
                <w:sz w:val="18"/>
              </w:rPr>
              <w:t>1) Créer un comité de suivi, chargé de surveiller la mise en œuvre effective du PRR, composé des parties prenantes et des partenaires sociaux concernés par la mise en œuvre du PRR, y compris des représentants des organismes représentant la société civile et promouvant les droits fondamentaux et la non-discrimination;</w:t>
            </w:r>
            <w:r>
              <w:rPr>
                <w:noProof/>
              </w:rPr>
              <w:br/>
            </w:r>
            <w:r>
              <w:rPr>
                <w:rFonts w:ascii="Times New Roman" w:hAnsi="Times New Roman"/>
                <w:noProof/>
                <w:sz w:val="18"/>
              </w:rPr>
              <w:t>2) Faire de la consultation du comité de suivi pendant la mise en œuvre du PRR une obligation légale.</w:t>
            </w:r>
          </w:p>
        </w:tc>
      </w:tr>
      <w:tr w:rsidR="003C4798" w14:paraId="1216C190" w14:textId="77777777" w:rsidTr="00DA6ACB">
        <w:trPr>
          <w:gridAfter w:val="1"/>
          <w:wAfter w:w="28" w:type="dxa"/>
          <w:trHeight w:val="313"/>
          <w:jc w:val="center"/>
        </w:trPr>
        <w:tc>
          <w:tcPr>
            <w:tcW w:w="846" w:type="dxa"/>
            <w:shd w:val="clear" w:color="auto" w:fill="C6EFCE"/>
          </w:tcPr>
          <w:p w14:paraId="1216C183" w14:textId="77777777" w:rsidR="003C4798" w:rsidRDefault="00417595">
            <w:pPr>
              <w:pStyle w:val="P68B1DB1-Normal89"/>
              <w:spacing w:after="0" w:line="240" w:lineRule="auto"/>
              <w:jc w:val="center"/>
              <w:rPr>
                <w:rFonts w:cs="Times New Roman"/>
                <w:noProof/>
                <w:szCs w:val="18"/>
              </w:rPr>
            </w:pPr>
            <w:r>
              <w:rPr>
                <w:noProof/>
              </w:rPr>
              <w:t>F6G</w:t>
            </w:r>
          </w:p>
        </w:tc>
        <w:tc>
          <w:tcPr>
            <w:tcW w:w="1417" w:type="dxa"/>
            <w:shd w:val="clear" w:color="auto" w:fill="C6EFCE"/>
          </w:tcPr>
          <w:p w14:paraId="1216C184" w14:textId="77777777" w:rsidR="003C4798" w:rsidRDefault="00417595">
            <w:pPr>
              <w:pStyle w:val="P68B1DB1-Normal89"/>
              <w:spacing w:after="0" w:line="240" w:lineRule="auto"/>
              <w:ind w:left="-49"/>
              <w:rPr>
                <w:rFonts w:eastAsia="Times New Roman" w:cs="Times New Roman"/>
                <w:noProof/>
                <w:szCs w:val="18"/>
              </w:rPr>
            </w:pPr>
            <w:r>
              <w:rPr>
                <w:noProof/>
              </w:rPr>
              <w:t>F3.1 Améliorer les conditions de mise en œuvre du PRR</w:t>
            </w:r>
          </w:p>
        </w:tc>
        <w:tc>
          <w:tcPr>
            <w:tcW w:w="1134" w:type="dxa"/>
            <w:shd w:val="clear" w:color="auto" w:fill="C6EFCE"/>
          </w:tcPr>
          <w:p w14:paraId="1216C185" w14:textId="77777777" w:rsidR="003C4798" w:rsidRDefault="00417595">
            <w:pPr>
              <w:pStyle w:val="P68B1DB1-Normal89"/>
              <w:spacing w:after="0" w:line="240" w:lineRule="auto"/>
              <w:jc w:val="center"/>
              <w:rPr>
                <w:rFonts w:cs="Times New Roman"/>
                <w:noProof/>
                <w:szCs w:val="18"/>
              </w:rPr>
            </w:pPr>
            <w:r>
              <w:rPr>
                <w:noProof/>
              </w:rPr>
              <w:t>Étape</w:t>
            </w:r>
          </w:p>
        </w:tc>
        <w:tc>
          <w:tcPr>
            <w:tcW w:w="1181" w:type="dxa"/>
            <w:shd w:val="clear" w:color="auto" w:fill="C6EFCE"/>
          </w:tcPr>
          <w:p w14:paraId="1216C186" w14:textId="77777777" w:rsidR="003C4798" w:rsidRDefault="00417595">
            <w:pPr>
              <w:pStyle w:val="P68B1DB1-Normal89"/>
              <w:spacing w:after="0" w:line="240" w:lineRule="auto"/>
              <w:rPr>
                <w:rFonts w:eastAsia="Times New Roman" w:cs="Times New Roman"/>
                <w:noProof/>
                <w:szCs w:val="18"/>
              </w:rPr>
            </w:pPr>
            <w:r>
              <w:rPr>
                <w:noProof/>
              </w:rPr>
              <w:t>Adoption des orientations par le ministre chargé du développement régional établissant les règles relatives à la participation des parties prenantes et des partenaires sociaux à la mise en œuvre du PRR</w:t>
            </w:r>
          </w:p>
        </w:tc>
        <w:tc>
          <w:tcPr>
            <w:tcW w:w="1578" w:type="dxa"/>
            <w:shd w:val="clear" w:color="auto" w:fill="C6EFCE"/>
          </w:tcPr>
          <w:p w14:paraId="1216C187" w14:textId="77777777" w:rsidR="003C4798" w:rsidRDefault="00417595">
            <w:pPr>
              <w:pStyle w:val="P68B1DB1-Normal89"/>
              <w:spacing w:after="0" w:line="240" w:lineRule="auto"/>
              <w:rPr>
                <w:rFonts w:eastAsia="Times New Roman" w:cs="Times New Roman"/>
                <w:noProof/>
                <w:szCs w:val="18"/>
              </w:rPr>
            </w:pPr>
            <w:r>
              <w:rPr>
                <w:noProof/>
              </w:rPr>
              <w:t>Publication des orientations sur le site web du ministère des fonds de développement et de la politique régionale</w:t>
            </w:r>
          </w:p>
        </w:tc>
        <w:tc>
          <w:tcPr>
            <w:tcW w:w="987" w:type="dxa"/>
            <w:shd w:val="clear" w:color="auto" w:fill="C6EFCE"/>
          </w:tcPr>
          <w:p w14:paraId="1216C188" w14:textId="77777777" w:rsidR="003C4798" w:rsidRDefault="003C4798">
            <w:pPr>
              <w:spacing w:after="0" w:line="240" w:lineRule="auto"/>
              <w:jc w:val="center"/>
              <w:rPr>
                <w:rFonts w:ascii="Times New Roman" w:hAnsi="Times New Roman" w:cs="Times New Roman"/>
                <w:noProof/>
                <w:sz w:val="18"/>
                <w:szCs w:val="18"/>
              </w:rPr>
            </w:pPr>
          </w:p>
        </w:tc>
        <w:tc>
          <w:tcPr>
            <w:tcW w:w="1039" w:type="dxa"/>
            <w:shd w:val="clear" w:color="auto" w:fill="C6EFCE"/>
          </w:tcPr>
          <w:p w14:paraId="1216C189" w14:textId="77777777" w:rsidR="003C4798" w:rsidRDefault="003C4798">
            <w:pPr>
              <w:spacing w:after="0" w:line="240" w:lineRule="auto"/>
              <w:jc w:val="center"/>
              <w:rPr>
                <w:rFonts w:ascii="Times New Roman" w:hAnsi="Times New Roman" w:cs="Times New Roman"/>
                <w:noProof/>
                <w:sz w:val="18"/>
                <w:szCs w:val="18"/>
              </w:rPr>
            </w:pPr>
          </w:p>
        </w:tc>
        <w:tc>
          <w:tcPr>
            <w:tcW w:w="885" w:type="dxa"/>
            <w:shd w:val="clear" w:color="auto" w:fill="C6EFCE"/>
          </w:tcPr>
          <w:p w14:paraId="1216C18A" w14:textId="77777777" w:rsidR="003C4798" w:rsidRDefault="003C4798">
            <w:pPr>
              <w:spacing w:after="0" w:line="240" w:lineRule="auto"/>
              <w:jc w:val="center"/>
              <w:rPr>
                <w:rFonts w:ascii="Times New Roman" w:hAnsi="Times New Roman" w:cs="Times New Roman"/>
                <w:noProof/>
                <w:sz w:val="18"/>
                <w:szCs w:val="18"/>
              </w:rPr>
            </w:pPr>
          </w:p>
        </w:tc>
        <w:tc>
          <w:tcPr>
            <w:tcW w:w="1134" w:type="dxa"/>
            <w:shd w:val="clear" w:color="auto" w:fill="C6EFCE"/>
          </w:tcPr>
          <w:p w14:paraId="1216C18B" w14:textId="77777777" w:rsidR="003C4798" w:rsidRDefault="00417595">
            <w:pPr>
              <w:pStyle w:val="P68B1DB1-Normal89"/>
              <w:spacing w:after="0" w:line="240" w:lineRule="auto"/>
              <w:jc w:val="center"/>
              <w:rPr>
                <w:rFonts w:cs="Times New Roman"/>
                <w:noProof/>
                <w:szCs w:val="18"/>
              </w:rPr>
            </w:pPr>
            <w:r>
              <w:rPr>
                <w:noProof/>
              </w:rPr>
              <w:t>T2</w:t>
            </w:r>
          </w:p>
        </w:tc>
        <w:tc>
          <w:tcPr>
            <w:tcW w:w="851" w:type="dxa"/>
            <w:shd w:val="clear" w:color="auto" w:fill="C6EFCE"/>
          </w:tcPr>
          <w:p w14:paraId="1216C18C" w14:textId="77777777" w:rsidR="003C4798" w:rsidRDefault="00417595">
            <w:pPr>
              <w:pStyle w:val="P68B1DB1-Normal89"/>
              <w:spacing w:after="0" w:line="240" w:lineRule="auto"/>
              <w:jc w:val="center"/>
              <w:rPr>
                <w:rFonts w:cs="Times New Roman"/>
                <w:noProof/>
                <w:szCs w:val="18"/>
              </w:rPr>
            </w:pPr>
            <w:r>
              <w:rPr>
                <w:noProof/>
              </w:rPr>
              <w:t>2022</w:t>
            </w:r>
          </w:p>
        </w:tc>
        <w:tc>
          <w:tcPr>
            <w:tcW w:w="4229" w:type="dxa"/>
            <w:shd w:val="clear" w:color="auto" w:fill="C6EFCE"/>
          </w:tcPr>
          <w:p w14:paraId="1216C18D" w14:textId="77777777" w:rsidR="003C4798" w:rsidRDefault="00417595">
            <w:pPr>
              <w:pStyle w:val="P68B1DB1-Normal89"/>
              <w:spacing w:after="0" w:line="240" w:lineRule="auto"/>
              <w:rPr>
                <w:rFonts w:cs="Times New Roman"/>
                <w:noProof/>
                <w:szCs w:val="18"/>
              </w:rPr>
            </w:pPr>
            <w:r>
              <w:rPr>
                <w:noProof/>
              </w:rPr>
              <w:t>À la suite d’une consultation publique, adoption des orientations visant à garantir la participation effective des parties prenantes et des partenaires sociaux à la programmation, à la mise en œuvre, au suivi et à l’évaluation du PRR.</w:t>
            </w:r>
          </w:p>
          <w:p w14:paraId="1216C18E" w14:textId="77777777" w:rsidR="003C4798" w:rsidRDefault="00417595">
            <w:pPr>
              <w:pStyle w:val="P68B1DB1-Normal89"/>
              <w:spacing w:after="0" w:line="240" w:lineRule="auto"/>
              <w:rPr>
                <w:rFonts w:cs="Times New Roman"/>
                <w:noProof/>
                <w:szCs w:val="18"/>
              </w:rPr>
            </w:pPr>
            <w:r>
              <w:rPr>
                <w:noProof/>
              </w:rPr>
              <w:t>Les orientations harmonisent les mesures à prendre par les institutions chargées de la mise en œuvre des réformes et des investissements au titre du PRR.</w:t>
            </w:r>
          </w:p>
          <w:p w14:paraId="1216C18F" w14:textId="77777777" w:rsidR="003C4798" w:rsidRDefault="00417595">
            <w:pPr>
              <w:pStyle w:val="P68B1DB1-Normal89"/>
              <w:spacing w:after="0" w:line="240" w:lineRule="auto"/>
              <w:rPr>
                <w:rFonts w:eastAsia="Times New Roman" w:cs="Times New Roman"/>
                <w:noProof/>
                <w:szCs w:val="18"/>
              </w:rPr>
            </w:pPr>
            <w:r>
              <w:rPr>
                <w:noProof/>
              </w:rPr>
              <w:t>Les orientations comprennent des mécanismes de suivi et d’évaluation de la participation des parties prenantes et des partenaires sociaux.</w:t>
            </w:r>
          </w:p>
        </w:tc>
      </w:tr>
      <w:tr w:rsidR="003C4798" w14:paraId="1216C19D" w14:textId="77777777" w:rsidTr="00DA6ACB">
        <w:trPr>
          <w:gridAfter w:val="1"/>
          <w:wAfter w:w="28" w:type="dxa"/>
          <w:trHeight w:val="313"/>
          <w:jc w:val="center"/>
        </w:trPr>
        <w:tc>
          <w:tcPr>
            <w:tcW w:w="846" w:type="dxa"/>
            <w:shd w:val="clear" w:color="auto" w:fill="C6EFCE"/>
          </w:tcPr>
          <w:p w14:paraId="1216C191"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F7G</w:t>
            </w:r>
          </w:p>
        </w:tc>
        <w:tc>
          <w:tcPr>
            <w:tcW w:w="1417" w:type="dxa"/>
            <w:shd w:val="clear" w:color="auto" w:fill="C6EFCE"/>
          </w:tcPr>
          <w:p w14:paraId="1216C192" w14:textId="77777777" w:rsidR="003C4798" w:rsidRDefault="00417595">
            <w:pPr>
              <w:pStyle w:val="P68B1DB1-Normal89"/>
              <w:pBdr>
                <w:top w:val="nil"/>
                <w:left w:val="nil"/>
                <w:bottom w:val="nil"/>
                <w:right w:val="nil"/>
                <w:between w:val="nil"/>
              </w:pBdr>
              <w:spacing w:after="0" w:line="240" w:lineRule="auto"/>
              <w:ind w:left="-49"/>
              <w:rPr>
                <w:rFonts w:eastAsia="Times New Roman" w:cs="Times New Roman"/>
                <w:noProof/>
                <w:color w:val="006100"/>
                <w:szCs w:val="18"/>
              </w:rPr>
            </w:pPr>
            <w:r>
              <w:rPr>
                <w:noProof/>
              </w:rPr>
              <w:t>F3.1 Améliorer les conditions de mise en œuvre du PRR</w:t>
            </w:r>
          </w:p>
        </w:tc>
        <w:tc>
          <w:tcPr>
            <w:tcW w:w="1134" w:type="dxa"/>
            <w:shd w:val="clear" w:color="auto" w:fill="C6EFCE"/>
          </w:tcPr>
          <w:p w14:paraId="1216C193"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Étape</w:t>
            </w:r>
          </w:p>
        </w:tc>
        <w:tc>
          <w:tcPr>
            <w:tcW w:w="1181" w:type="dxa"/>
            <w:shd w:val="clear" w:color="auto" w:fill="C6EFCE"/>
          </w:tcPr>
          <w:p w14:paraId="1216C194" w14:textId="0E7A2BB8" w:rsidR="003C4798" w:rsidRDefault="00417595">
            <w:pPr>
              <w:pStyle w:val="P68B1DB1-Normal89"/>
              <w:spacing w:after="0" w:line="240" w:lineRule="auto"/>
              <w:rPr>
                <w:rFonts w:cs="Times New Roman"/>
                <w:noProof/>
                <w:szCs w:val="18"/>
              </w:rPr>
            </w:pPr>
            <w:r>
              <w:rPr>
                <w:noProof/>
              </w:rPr>
              <w:t>Garantir un audit et un contrôle efficaces dans le cadre de la mise en œuvre de la FRR protégeant les intérêts financiers de l’Union</w:t>
            </w:r>
          </w:p>
        </w:tc>
        <w:tc>
          <w:tcPr>
            <w:tcW w:w="1578" w:type="dxa"/>
            <w:shd w:val="clear" w:color="auto" w:fill="C6EFCE"/>
          </w:tcPr>
          <w:p w14:paraId="1216C195" w14:textId="77777777" w:rsidR="003C4798" w:rsidRDefault="00417595">
            <w:pPr>
              <w:pStyle w:val="P68B1DB1-Normal89"/>
              <w:spacing w:after="0" w:line="240" w:lineRule="auto"/>
              <w:rPr>
                <w:rFonts w:cs="Times New Roman"/>
                <w:noProof/>
                <w:szCs w:val="18"/>
              </w:rPr>
            </w:pPr>
            <w:r>
              <w:rPr>
                <w:noProof/>
              </w:rPr>
              <w:t>Rapport d’audit confirmant les fonctionnalités du système de répertoires</w:t>
            </w:r>
          </w:p>
        </w:tc>
        <w:tc>
          <w:tcPr>
            <w:tcW w:w="987" w:type="dxa"/>
            <w:shd w:val="clear" w:color="auto" w:fill="C6EFCE"/>
          </w:tcPr>
          <w:p w14:paraId="1216C196"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97"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885" w:type="dxa"/>
            <w:shd w:val="clear" w:color="auto" w:fill="C6EFCE"/>
          </w:tcPr>
          <w:p w14:paraId="1216C198"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134" w:type="dxa"/>
            <w:shd w:val="clear" w:color="auto" w:fill="C6EFCE"/>
          </w:tcPr>
          <w:p w14:paraId="1216C199"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T2</w:t>
            </w:r>
          </w:p>
        </w:tc>
        <w:tc>
          <w:tcPr>
            <w:tcW w:w="851" w:type="dxa"/>
            <w:shd w:val="clear" w:color="auto" w:fill="C6EFCE"/>
          </w:tcPr>
          <w:p w14:paraId="1216C19A"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color w:val="006100"/>
                <w:szCs w:val="18"/>
              </w:rPr>
            </w:pPr>
            <w:r>
              <w:rPr>
                <w:noProof/>
              </w:rPr>
              <w:t>2022</w:t>
            </w:r>
          </w:p>
        </w:tc>
        <w:tc>
          <w:tcPr>
            <w:tcW w:w="4229" w:type="dxa"/>
            <w:shd w:val="clear" w:color="auto" w:fill="C6EFCE"/>
          </w:tcPr>
          <w:p w14:paraId="1216C19B" w14:textId="77777777" w:rsidR="003C4798" w:rsidRDefault="00417595">
            <w:pPr>
              <w:spacing w:line="240" w:lineRule="auto"/>
              <w:rPr>
                <w:rFonts w:ascii="Times New Roman" w:hAnsi="Times New Roman" w:cs="Times New Roman"/>
                <w:noProof/>
                <w:sz w:val="18"/>
                <w:szCs w:val="18"/>
              </w:rPr>
            </w:pPr>
            <w:r>
              <w:rPr>
                <w:rFonts w:ascii="Times New Roman" w:hAnsi="Times New Roman"/>
                <w:noProof/>
                <w:sz w:val="18"/>
              </w:rPr>
              <w:t>Un système de répertoire pour le suivi de la mise en œuvre de la FRR est en place et opérationnel. Le système comprend, au minimum, les fonctionnalités suivantes:</w:t>
            </w:r>
            <w:r>
              <w:rPr>
                <w:noProof/>
              </w:rPr>
              <w:t xml:space="preserve"> </w:t>
            </w:r>
            <w:r>
              <w:rPr>
                <w:noProof/>
              </w:rPr>
              <w:br/>
            </w:r>
            <w:r>
              <w:rPr>
                <w:rFonts w:ascii="Times New Roman" w:hAnsi="Times New Roman"/>
                <w:noProof/>
                <w:sz w:val="18"/>
              </w:rPr>
              <w:t>a) la collecte de données et le suivi de la réalisation des jalons et cibles;</w:t>
            </w:r>
            <w:r>
              <w:rPr>
                <w:noProof/>
              </w:rPr>
              <w:t xml:space="preserve"> </w:t>
            </w:r>
            <w:r>
              <w:rPr>
                <w:noProof/>
              </w:rPr>
              <w:br/>
            </w:r>
            <w:r>
              <w:rPr>
                <w:rFonts w:ascii="Times New Roman" w:hAnsi="Times New Roman"/>
                <w:noProof/>
                <w:sz w:val="18"/>
              </w:rPr>
              <w:t xml:space="preserve">b) la collecte, le stockage et la garantie de l’accès aux données requises par l’article 22, paragraphe 2, point d) i) à iii), du règlement FRR. </w:t>
            </w:r>
          </w:p>
          <w:p w14:paraId="1216C19C" w14:textId="77777777" w:rsidR="003C4798" w:rsidRDefault="00417595">
            <w:pPr>
              <w:pStyle w:val="P68B1DB1-Normal89"/>
              <w:pBdr>
                <w:top w:val="nil"/>
                <w:left w:val="nil"/>
                <w:bottom w:val="nil"/>
                <w:right w:val="nil"/>
                <w:between w:val="nil"/>
              </w:pBdr>
              <w:spacing w:after="0" w:line="240" w:lineRule="auto"/>
              <w:rPr>
                <w:rFonts w:cs="Times New Roman"/>
                <w:noProof/>
                <w:szCs w:val="18"/>
              </w:rPr>
            </w:pPr>
            <w:r>
              <w:rPr>
                <w:noProof/>
              </w:rPr>
              <w:t>L'accès à ces données est accordé à tous les organismes nationaux et européens compétents aux fins d'audit et de contrôle. Les données provenant de ce système de répertoire alimentent le système Arachne sur une base trimestrielle. Le système Arachne est utilisé lors des audits et des contrôles afin de prévenir et de détecter et de corriger les conflits d’intérêts, la fraude, la corruption et le double financement.</w:t>
            </w:r>
          </w:p>
        </w:tc>
      </w:tr>
      <w:tr w:rsidR="003C4798" w14:paraId="1216C1A9" w14:textId="77777777" w:rsidTr="00DA6ACB">
        <w:trPr>
          <w:trHeight w:val="313"/>
          <w:jc w:val="center"/>
        </w:trPr>
        <w:tc>
          <w:tcPr>
            <w:tcW w:w="846" w:type="dxa"/>
            <w:shd w:val="clear" w:color="auto" w:fill="C6EFCE"/>
          </w:tcPr>
          <w:p w14:paraId="1216C19E" w14:textId="77777777" w:rsidR="003C4798" w:rsidRDefault="00417595">
            <w:pPr>
              <w:pStyle w:val="P68B1DB1-Normal45"/>
              <w:pBdr>
                <w:top w:val="nil"/>
                <w:left w:val="nil"/>
                <w:bottom w:val="nil"/>
                <w:right w:val="nil"/>
                <w:between w:val="nil"/>
              </w:pBdr>
              <w:spacing w:after="0" w:line="240" w:lineRule="auto"/>
              <w:jc w:val="center"/>
              <w:rPr>
                <w:rFonts w:cs="Times New Roman"/>
                <w:noProof/>
              </w:rPr>
            </w:pPr>
            <w:r>
              <w:rPr>
                <w:noProof/>
              </w:rPr>
              <w:t>F8G</w:t>
            </w:r>
          </w:p>
        </w:tc>
        <w:tc>
          <w:tcPr>
            <w:tcW w:w="1417" w:type="dxa"/>
            <w:shd w:val="clear" w:color="auto" w:fill="C6EFCE"/>
          </w:tcPr>
          <w:p w14:paraId="1216C19F" w14:textId="77777777" w:rsidR="003C4798" w:rsidRDefault="00417595">
            <w:pPr>
              <w:pStyle w:val="P68B1DB1-Normal89"/>
              <w:pBdr>
                <w:top w:val="nil"/>
                <w:left w:val="nil"/>
                <w:bottom w:val="nil"/>
                <w:right w:val="nil"/>
                <w:between w:val="nil"/>
              </w:pBdr>
              <w:spacing w:after="0" w:line="240" w:lineRule="auto"/>
              <w:ind w:left="-49"/>
              <w:rPr>
                <w:rFonts w:eastAsia="Times New Roman" w:cs="Times New Roman"/>
                <w:noProof/>
                <w:szCs w:val="18"/>
              </w:rPr>
            </w:pPr>
            <w:r>
              <w:rPr>
                <w:noProof/>
              </w:rPr>
              <w:t>F3.1 Améliorer les conditions de mise en œuvre du PRR</w:t>
            </w:r>
          </w:p>
        </w:tc>
        <w:tc>
          <w:tcPr>
            <w:tcW w:w="1134" w:type="dxa"/>
            <w:shd w:val="clear" w:color="auto" w:fill="C6EFCE"/>
          </w:tcPr>
          <w:p w14:paraId="1216C1A0"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szCs w:val="18"/>
              </w:rPr>
            </w:pPr>
            <w:r>
              <w:rPr>
                <w:noProof/>
              </w:rPr>
              <w:t>Étape</w:t>
            </w:r>
          </w:p>
        </w:tc>
        <w:tc>
          <w:tcPr>
            <w:tcW w:w="1181" w:type="dxa"/>
            <w:shd w:val="clear" w:color="auto" w:fill="C6EFCE"/>
          </w:tcPr>
          <w:p w14:paraId="1216C1A1" w14:textId="6AF5076C" w:rsidR="003C4798" w:rsidRDefault="00417595">
            <w:pPr>
              <w:pStyle w:val="P68B1DB1-Normal45"/>
              <w:spacing w:after="0" w:line="240" w:lineRule="auto"/>
              <w:rPr>
                <w:rFonts w:eastAsia="Times New Roman" w:cs="Times New Roman"/>
                <w:noProof/>
              </w:rPr>
            </w:pPr>
            <w:r>
              <w:rPr>
                <w:noProof/>
              </w:rPr>
              <w:t>Une analyse de la charge de travail préparée par le ministère des Fonds de développement et de la Politique régionale</w:t>
            </w:r>
          </w:p>
        </w:tc>
        <w:tc>
          <w:tcPr>
            <w:tcW w:w="1578" w:type="dxa"/>
            <w:shd w:val="clear" w:color="auto" w:fill="C6EFCE"/>
          </w:tcPr>
          <w:p w14:paraId="1216C1A2" w14:textId="552AB3E1" w:rsidR="003C4798" w:rsidRDefault="00417595">
            <w:pPr>
              <w:pStyle w:val="P68B1DB1-Normal45"/>
              <w:spacing w:line="240" w:lineRule="auto"/>
              <w:rPr>
                <w:rFonts w:eastAsia="Times New Roman" w:cs="Times New Roman"/>
                <w:noProof/>
              </w:rPr>
            </w:pPr>
            <w:r>
              <w:rPr>
                <w:noProof/>
              </w:rPr>
              <w:t>Une analyse de la charge de travail préparée par le ministère des Fonds de développement et de la Politique régionale</w:t>
            </w:r>
          </w:p>
        </w:tc>
        <w:tc>
          <w:tcPr>
            <w:tcW w:w="987" w:type="dxa"/>
            <w:shd w:val="clear" w:color="auto" w:fill="C6EFCE"/>
          </w:tcPr>
          <w:p w14:paraId="1216C1A3"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1039" w:type="dxa"/>
            <w:shd w:val="clear" w:color="auto" w:fill="C6EFCE"/>
          </w:tcPr>
          <w:p w14:paraId="1216C1A4"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885" w:type="dxa"/>
            <w:shd w:val="clear" w:color="auto" w:fill="C6EFCE"/>
          </w:tcPr>
          <w:p w14:paraId="1216C1A5" w14:textId="77777777" w:rsidR="003C4798" w:rsidRDefault="003C4798">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1134" w:type="dxa"/>
            <w:shd w:val="clear" w:color="auto" w:fill="C6EFCE"/>
          </w:tcPr>
          <w:p w14:paraId="1216C1A6"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szCs w:val="18"/>
              </w:rPr>
            </w:pPr>
            <w:r>
              <w:rPr>
                <w:noProof/>
              </w:rPr>
              <w:t>T2</w:t>
            </w:r>
          </w:p>
        </w:tc>
        <w:tc>
          <w:tcPr>
            <w:tcW w:w="851" w:type="dxa"/>
            <w:shd w:val="clear" w:color="auto" w:fill="C6EFCE"/>
          </w:tcPr>
          <w:p w14:paraId="1216C1A7" w14:textId="77777777" w:rsidR="003C4798" w:rsidRDefault="00417595">
            <w:pPr>
              <w:pStyle w:val="P68B1DB1-Normal89"/>
              <w:pBdr>
                <w:top w:val="nil"/>
                <w:left w:val="nil"/>
                <w:bottom w:val="nil"/>
                <w:right w:val="nil"/>
                <w:between w:val="nil"/>
              </w:pBdr>
              <w:spacing w:after="0" w:line="240" w:lineRule="auto"/>
              <w:jc w:val="center"/>
              <w:rPr>
                <w:rFonts w:eastAsia="Times New Roman" w:cs="Times New Roman"/>
                <w:noProof/>
                <w:szCs w:val="18"/>
              </w:rPr>
            </w:pPr>
            <w:r>
              <w:rPr>
                <w:noProof/>
              </w:rPr>
              <w:t>2024</w:t>
            </w:r>
          </w:p>
        </w:tc>
        <w:tc>
          <w:tcPr>
            <w:tcW w:w="4257" w:type="dxa"/>
            <w:gridSpan w:val="2"/>
            <w:shd w:val="clear" w:color="auto" w:fill="C6EFCE"/>
          </w:tcPr>
          <w:p w14:paraId="1216C1A8" w14:textId="77777777" w:rsidR="003C4798" w:rsidRDefault="00417595">
            <w:pPr>
              <w:pStyle w:val="P68B1DB1-Normal45"/>
              <w:spacing w:line="240" w:lineRule="auto"/>
              <w:rPr>
                <w:rFonts w:eastAsia="Times New Roman" w:cs="Times New Roman"/>
                <w:noProof/>
              </w:rPr>
            </w:pPr>
            <w:r>
              <w:rPr>
                <w:noProof/>
              </w:rPr>
              <w:t>Une analyse de la charge de travail est effectuée pour les établissements participant à la mise en œuvre du plan pour la reprise et la résilience. Si l’analyse de la charge de travail détermine que des effectifs supplémentaires sont nécessaires, une décision du gouvernement d’allouer des postes supplémentaires aux institutions coordonnant et mettant en œuvre le plan pour la reprise et la résilience est adoptée.</w:t>
            </w:r>
          </w:p>
        </w:tc>
      </w:tr>
    </w:tbl>
    <w:p w14:paraId="1216C1AA" w14:textId="77777777" w:rsidR="003C4798" w:rsidRDefault="003C4798">
      <w:pPr>
        <w:rPr>
          <w:rFonts w:ascii="Times New Roman" w:eastAsia="Times New Roman" w:hAnsi="Times New Roman" w:cs="Times New Roman"/>
          <w:noProof/>
          <w:color w:val="000000"/>
        </w:rPr>
        <w:sectPr w:rsidR="003C4798" w:rsidSect="006C5441">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299"/>
        </w:sectPr>
      </w:pPr>
    </w:p>
    <w:p w14:paraId="1216C1AB" w14:textId="77777777" w:rsidR="003C4798" w:rsidRDefault="00417595">
      <w:pPr>
        <w:pStyle w:val="P68B1DB1-Normal90"/>
        <w:spacing w:before="120" w:after="120" w:line="240" w:lineRule="auto"/>
        <w:jc w:val="both"/>
        <w:rPr>
          <w:noProof/>
        </w:rPr>
      </w:pPr>
      <w:r>
        <w:rPr>
          <w:noProof/>
          <w:color w:val="000000"/>
        </w:rPr>
        <w:t>G</w:t>
      </w:r>
      <w:r>
        <w:rPr>
          <w:noProof/>
        </w:rPr>
        <w:t>. Élément G: «REPOWEREU»</w:t>
      </w:r>
    </w:p>
    <w:p w14:paraId="1216C1AC" w14:textId="77777777" w:rsidR="003C4798" w:rsidRDefault="00417595">
      <w:pPr>
        <w:pStyle w:val="P68B1DB1-Normal85"/>
        <w:spacing w:before="120" w:after="120" w:line="240" w:lineRule="auto"/>
        <w:jc w:val="both"/>
        <w:rPr>
          <w:rFonts w:cs="Times New Roman"/>
          <w:noProof/>
        </w:rPr>
      </w:pPr>
      <w:r>
        <w:rPr>
          <w:noProof/>
        </w:rPr>
        <w:t>Le volet REPowerEU vise à contribuer à réduire la dépendance à l’égard des combustibles fossiles en Pologne et à permettre davantage la transition énergétique, en soutenant le déploiement des sources d’énergie renouvelables et en augmentant la capacité des réseaux électriques à intégrer ces sources d’énergie. Ces objectifs sont également rendus possibles par des mesures visant à améliorer l'efficacité énergétique, y compris pour les maisons. Le volet vise également à améliorer la sécurité de l'approvisionnement énergétique.</w:t>
      </w:r>
    </w:p>
    <w:p w14:paraId="1216C1AD" w14:textId="77777777" w:rsidR="003C4798" w:rsidRDefault="00417595">
      <w:pPr>
        <w:spacing w:before="120" w:after="120" w:line="240" w:lineRule="auto"/>
        <w:jc w:val="both"/>
        <w:rPr>
          <w:rFonts w:ascii="Times New Roman" w:hAnsi="Times New Roman"/>
          <w:noProof/>
        </w:rPr>
      </w:pPr>
      <w:r>
        <w:rPr>
          <w:rFonts w:ascii="Times New Roman" w:hAnsi="Times New Roman"/>
          <w:noProof/>
        </w:rPr>
        <w:t>À cet égard, les mesures du volet visent à donner suite aux recommandations par pays adressées à la Pologne dans le cadre du Semestre européen en 2022 et 2023. En particulier, les mesures envisagées contribuent à accélérer la transition vers une énergie propre, notamment en rationalisant les procédures d’autorisation pour déployer plus rapidement les énergies renouvelables, en élargissant et en modernisant les réseaux afin de permettre les nouvelles capacités renouvelables construites, en soutenant les installations de stockage d’électricité et en encourageant les investissements dans les réseaux de transport et de distribution dans les zones rurales afin d’accroître la</w:t>
      </w:r>
      <w:r>
        <w:rPr>
          <w:noProof/>
        </w:rPr>
        <w:t xml:space="preserve"> </w:t>
      </w:r>
      <w:r>
        <w:rPr>
          <w:rFonts w:ascii="Times New Roman" w:hAnsi="Times New Roman"/>
          <w:noProof/>
        </w:rPr>
        <w:t xml:space="preserve">capacité de connexion de nouvelles sources d’énergie renouvelables au réseau, et en soutenant le développement de parcs éoliens en mer. Elle contribue également à éliminer les obstacles au développement des communautés locales d’énergie renouvelable et à soutenir leur déploiement. Cela contribue à donner suite efficacement aux recommandations visant à accélérer l’élimination progressive des combustibles fossiles et le déploiement des énergies renouvelables, à réformer le cadre juridique pour l’octroi de permis de raccordement au réseau et pour les sources d’énergie renouvelables, y compris les communautés énergétiques, le biométhane et l’hydrogène renouvelable (recommandation 6.1-6.2 en 2022, recommandation 4.1-4.2 en 2023). Afin de mettre en œuvre les recommandations visant à promouvoir les modes de transport public durables (recommandation 4.4 en 2023) et l’adoption de véhicules électriques (recommandation 6.4 en 2022), le volet comprend des mesures visant à décarboner le secteur des transports, notamment en remplaçant les véhicules de transport public urbains polluants par des véhicules à émissions nulles et en adoptant un plan d’action pour les transports verts conformément aux objectifs climatiques de l’UE. En outre, le volet comprend des mesures visant à soutenir les services intégrés de rénovation domiciliaire et à éliminer progressivement les combustibles fossiles dans le chauffage domestique, conformément aux recommandations visant à promouvoir les économies d’énergie, à accroître les investissements dans l’efficacité énergétique des bâtiments et à décarboner l’approvisionnement en chaleur dans le chauffage urbain afin de lutter contre la précarité énergétique (recommandation 6.3). 2022 et recommandation par pays 4.3. 2023). Le volet vise également à mettre à jour les cadres sectoriels de certification pour la transition écologique, comme l’encouragent les recommandations visant à intensifier les efforts stratégiques visant à fournir et à acquérir les aptitudes et les compétences nécessaires à la transition écologique (recommandation no 4.5 2023). Enfin, un investissement ciblé concernant les infrastructures gazières vise à répondre de manière proportionnée et ciblée aux besoins immédiats de la Pologne en matière de sécurité d’approvisionnement. Le Fonds de soutien à l’énergie vise à mobiliser des investissements privés et à améliorer l’accès au financement dans les secteurs cruciaux pour la transition énergétique. Cela contribue à donner suite aux recommandations visant à accroître les investissements publics en faveur de la transition numérique et de la sécurité énergétique, notamment en recourant à la FRR, à REPowerEU et à d’autres fonds de l’UE. (recommandation 1.2 en 2022 et recommandation 1.3 en 2023). </w:t>
      </w:r>
    </w:p>
    <w:p w14:paraId="1216C1AE" w14:textId="77777777" w:rsidR="003C4798" w:rsidRDefault="00417595">
      <w:pPr>
        <w:pStyle w:val="P68B1DB1-Normal85"/>
        <w:spacing w:before="120" w:after="120" w:line="240" w:lineRule="auto"/>
        <w:jc w:val="both"/>
        <w:rPr>
          <w:rFonts w:eastAsia="Times New Roman" w:cs="Times New Roman"/>
          <w:noProof/>
        </w:rPr>
      </w:pPr>
      <w:r>
        <w:rPr>
          <w:noProof/>
        </w:rPr>
        <w:t>La plupart des mesures du volet ont une dimension transfrontière ou plurinationale. En effet, plusieurs mesures garantissent l’approvisionnement énergétique dans l’ensemble de l’Union, notamment les réformes visant à faciliter le déploiement des sources d’énergie renouvelables, y compris par les communautés énergétiques, et le raccordement de ces sources d’énergie au réseau électrique. En outre, le volet comprend des investissements qui visent à bénéficier à des projets dans le domaine des énergies renouvelables et à améliorer l’intégration des énergies renouvelables dans le réseau. D’autres réformes et investissements contribuent à accélérer le rythme de rénovation des bâtiments et à améliorer l’efficacité énergétique, réduisant ainsi la dépendance à l’égard des combustibles fossiles et la demande d’énergie. Ces mesures représentent également une contribution à l’action plus large en matière d’énergie et de climat au niveau de l’UE.</w:t>
      </w:r>
    </w:p>
    <w:p w14:paraId="1216C1AF" w14:textId="77777777" w:rsidR="003C4798" w:rsidRDefault="00417595">
      <w:pPr>
        <w:spacing w:before="120" w:after="120" w:line="240" w:lineRule="auto"/>
        <w:jc w:val="both"/>
        <w:rPr>
          <w:rFonts w:ascii="Times New Roman" w:hAnsi="Times New Roman"/>
          <w:noProof/>
        </w:rPr>
      </w:pPr>
      <w:r>
        <w:rPr>
          <w:rFonts w:ascii="Times New Roman" w:hAnsi="Times New Roman"/>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[C(2023) 6454 final],</w:t>
      </w:r>
      <w:r>
        <w:rPr>
          <w:noProof/>
        </w:rPr>
        <w:t xml:space="preserve"> </w:t>
      </w:r>
      <w:r>
        <w:rPr>
          <w:rFonts w:ascii="Times New Roman" w:hAnsi="Times New Roman"/>
          <w:noProof/>
        </w:rPr>
        <w:t>tandis que le principe consistant à «ne pas causer de préjudice important» ne s’applique pas à la mesure G3.2.1. «Construction d’infrastructures de gaz naturel pour garantir la sécurité énergétique», conformément à l’article 21 quater, paragraphe 6, du règlement (UE) 2021/241.</w:t>
      </w:r>
    </w:p>
    <w:p w14:paraId="1216C1B0" w14:textId="77777777" w:rsidR="003C4798" w:rsidRDefault="003C4798">
      <w:pPr>
        <w:spacing w:before="120" w:after="120" w:line="240" w:lineRule="auto"/>
        <w:jc w:val="both"/>
        <w:rPr>
          <w:rFonts w:ascii="Times New Roman" w:hAnsi="Times New Roman" w:cs="Times New Roman"/>
          <w:noProof/>
        </w:rPr>
      </w:pPr>
    </w:p>
    <w:p w14:paraId="54F05DDD" w14:textId="77777777" w:rsidR="003C4798" w:rsidRDefault="00417595">
      <w:pPr>
        <w:pStyle w:val="P68B1DB1-Normal91"/>
        <w:rPr>
          <w:b/>
          <w:noProof/>
        </w:rPr>
      </w:pPr>
      <w:r>
        <w:rPr>
          <w:noProof/>
        </w:rPr>
        <w:br w:type="page"/>
      </w:r>
    </w:p>
    <w:p w14:paraId="1216C1B1" w14:textId="4C57875A" w:rsidR="003C4798" w:rsidRDefault="00417595">
      <w:pPr>
        <w:pStyle w:val="P68B1DB1-Normal91"/>
        <w:spacing w:before="120" w:after="120" w:line="240" w:lineRule="auto"/>
        <w:jc w:val="both"/>
        <w:rPr>
          <w:b/>
          <w:noProof/>
        </w:rPr>
      </w:pPr>
      <w:r>
        <w:rPr>
          <w:b/>
          <w:noProof/>
        </w:rPr>
        <w:t xml:space="preserve">G1. </w:t>
      </w:r>
      <w:r>
        <w:rPr>
          <w:noProof/>
        </w:rPr>
        <w:t xml:space="preserve"> </w:t>
      </w:r>
      <w:r>
        <w:rPr>
          <w:b/>
          <w:noProof/>
        </w:rPr>
        <w:t>Description des réformes et des investissements pour le soutien financier non remboursable</w:t>
      </w:r>
    </w:p>
    <w:p w14:paraId="1216C1B2" w14:textId="77777777" w:rsidR="003C4798" w:rsidRDefault="003C4798">
      <w:pPr>
        <w:spacing w:before="120" w:after="120" w:line="240" w:lineRule="auto"/>
        <w:rPr>
          <w:noProof/>
        </w:rPr>
      </w:pPr>
    </w:p>
    <w:p w14:paraId="1216C1B3" w14:textId="35BCA9CF" w:rsidR="003C4798" w:rsidRDefault="00417595">
      <w:pPr>
        <w:pStyle w:val="P68B1DB1-Normal92"/>
        <w:spacing w:before="120" w:after="120" w:line="240" w:lineRule="auto"/>
        <w:jc w:val="both"/>
        <w:rPr>
          <w:noProof/>
        </w:rPr>
      </w:pPr>
      <w:r>
        <w:rPr>
          <w:noProof/>
        </w:rPr>
        <w:t>Sous-composante G1.1 – Stimuler les investissements dans les sources d’énergie renouvelables</w:t>
      </w:r>
    </w:p>
    <w:p w14:paraId="1216C1B4" w14:textId="77777777" w:rsidR="003C4798" w:rsidRDefault="00417595">
      <w:pPr>
        <w:pStyle w:val="P68B1DB1-Normal85"/>
        <w:spacing w:before="120" w:after="120" w:line="240" w:lineRule="auto"/>
        <w:jc w:val="both"/>
        <w:rPr>
          <w:rFonts w:cs="Times New Roman"/>
          <w:noProof/>
        </w:rPr>
      </w:pPr>
      <w:r>
        <w:rPr>
          <w:noProof/>
        </w:rPr>
        <w:t>La sous-composante vise à encourager le développement d’installations renouvelables exploitées par des communautés énergétiques, notamment en améliorant le cadre pour encourager le déploiement accéléré de ces communautés. En outre, cette sous-composante comprend des mesures visant à soutenir le stockage de l’électricité afin d’intégrer les sources d’énergie renouvelables dans le réseau, ainsi que des mesures renforçant la capacité administrative et organisationnelle des institutions participant à la mise en œuvre des réformes et des investissements REPowerEU et aux processus relatifs aux projets dans le domaine des énergies renouvelables.</w:t>
      </w:r>
    </w:p>
    <w:p w14:paraId="1216C1B5" w14:textId="77777777" w:rsidR="003C4798" w:rsidRDefault="003C4798">
      <w:pPr>
        <w:spacing w:before="120" w:after="120" w:line="240" w:lineRule="auto"/>
        <w:jc w:val="both"/>
        <w:rPr>
          <w:rFonts w:ascii="Times New Roman" w:hAnsi="Times New Roman" w:cs="Times New Roman"/>
          <w:noProof/>
        </w:rPr>
      </w:pPr>
    </w:p>
    <w:p w14:paraId="1216C1B6" w14:textId="77777777" w:rsidR="003C4798" w:rsidRDefault="00417595">
      <w:pPr>
        <w:pStyle w:val="P68B1DB1-Normal86"/>
        <w:spacing w:before="120" w:after="120" w:line="240" w:lineRule="auto"/>
        <w:jc w:val="both"/>
        <w:rPr>
          <w:noProof/>
        </w:rPr>
      </w:pPr>
      <w:r>
        <w:rPr>
          <w:noProof/>
        </w:rPr>
        <w:t>G1.1.1 Définir un environnement réglementaire favorable aux communautés énergétiques</w:t>
      </w:r>
    </w:p>
    <w:p w14:paraId="1216C1B7" w14:textId="77777777" w:rsidR="003C4798" w:rsidRDefault="00417595">
      <w:pPr>
        <w:pStyle w:val="P68B1DB1-Normal85"/>
        <w:spacing w:before="120" w:after="120" w:line="240" w:lineRule="auto"/>
        <w:jc w:val="both"/>
        <w:rPr>
          <w:rFonts w:cs="Times New Roman"/>
          <w:noProof/>
        </w:rPr>
      </w:pPr>
      <w:r>
        <w:rPr>
          <w:noProof/>
        </w:rPr>
        <w:t>L’objectif de la réforme est de relever les défis de l’environnement réglementaire pour les communautés énergétiques en Pologne. Cette mesure consiste en la publication d’une analyse des obstacles juridiques, organisationnels et administratifs au développement des communautés énergétiques, des pôles énergétiques ou des coopératives énergétiques.</w:t>
      </w:r>
    </w:p>
    <w:p w14:paraId="1216C1B8" w14:textId="77777777" w:rsidR="003C4798" w:rsidRDefault="003C4798">
      <w:pPr>
        <w:spacing w:before="120" w:after="120" w:line="240" w:lineRule="auto"/>
        <w:jc w:val="both"/>
        <w:rPr>
          <w:noProof/>
        </w:rPr>
      </w:pPr>
    </w:p>
    <w:p w14:paraId="1216C1B9" w14:textId="77777777" w:rsidR="003C4798" w:rsidRDefault="00417595">
      <w:pPr>
        <w:pStyle w:val="P68B1DB1-Normal86"/>
        <w:spacing w:before="120" w:after="120" w:line="240" w:lineRule="auto"/>
        <w:jc w:val="both"/>
        <w:rPr>
          <w:rFonts w:cs="Times New Roman"/>
          <w:noProof/>
        </w:rPr>
      </w:pPr>
      <w:r>
        <w:rPr>
          <w:noProof/>
        </w:rPr>
        <w:t>G1.1.2 Soutenir l'expansion des communautés énergétiques</w:t>
      </w:r>
    </w:p>
    <w:p w14:paraId="1216C1BA" w14:textId="77777777" w:rsidR="003C4798" w:rsidRDefault="00417595">
      <w:pPr>
        <w:pStyle w:val="P68B1DB1-Normal85"/>
        <w:spacing w:before="120" w:after="120" w:line="240" w:lineRule="auto"/>
        <w:jc w:val="both"/>
        <w:rPr>
          <w:rFonts w:cs="Times New Roman"/>
          <w:noProof/>
        </w:rPr>
      </w:pPr>
      <w:r>
        <w:rPr>
          <w:noProof/>
        </w:rPr>
        <w:t xml:space="preserve">L’objectif de cet investissement est de soutenir l’augmentation des sources d’énergie renouvelables mises en œuvre par les communautés énergétiques, y compris les grappes énergétiques, les coopératives énergétiques et d’autres communautés énergétiques. </w:t>
      </w:r>
    </w:p>
    <w:p w14:paraId="1216C1BB" w14:textId="21CB2A91" w:rsidR="003C4798" w:rsidRDefault="00417595">
      <w:pPr>
        <w:pStyle w:val="P68B1DB1-Normal85"/>
        <w:spacing w:before="120" w:after="120" w:line="240" w:lineRule="auto"/>
        <w:jc w:val="both"/>
        <w:rPr>
          <w:rFonts w:cs="Times New Roman"/>
          <w:noProof/>
        </w:rPr>
      </w:pPr>
      <w:r>
        <w:rPr>
          <w:noProof/>
        </w:rPr>
        <w:t>Cette mesure consiste à: (i) les conventions de subvention signées avec les bénéficiaires au titre de la partie «préinvestissement» et (ii) les conventions de subvention signées avec les bénéficiaires au titre de la partie «investissement».</w:t>
      </w:r>
    </w:p>
    <w:p w14:paraId="1216C1BC" w14:textId="77777777" w:rsidR="003C4798" w:rsidRDefault="003C4798">
      <w:pPr>
        <w:spacing w:before="120" w:after="120" w:line="240" w:lineRule="auto"/>
        <w:jc w:val="both"/>
        <w:rPr>
          <w:rFonts w:ascii="Times New Roman" w:hAnsi="Times New Roman" w:cs="Times New Roman"/>
          <w:noProof/>
        </w:rPr>
      </w:pPr>
    </w:p>
    <w:p w14:paraId="1216C1BD" w14:textId="77777777" w:rsidR="003C4798" w:rsidRDefault="00417595">
      <w:pPr>
        <w:pStyle w:val="P68B1DB1-Normal86"/>
        <w:keepNext/>
        <w:spacing w:before="120" w:after="120" w:line="240" w:lineRule="auto"/>
        <w:jc w:val="both"/>
        <w:rPr>
          <w:noProof/>
        </w:rPr>
      </w:pPr>
      <w:r>
        <w:rPr>
          <w:noProof/>
        </w:rPr>
        <w:t>G1.1.3 Systèmes de stockage d'énergie (soutien non remboursable)</w:t>
      </w:r>
    </w:p>
    <w:p w14:paraId="1216C1BE" w14:textId="77777777" w:rsidR="003C4798" w:rsidRDefault="00417595">
      <w:pPr>
        <w:pStyle w:val="P68B1DB1-Normal85"/>
        <w:spacing w:before="120" w:after="120" w:line="240" w:lineRule="auto"/>
        <w:jc w:val="both"/>
        <w:rPr>
          <w:noProof/>
        </w:rPr>
      </w:pPr>
      <w:r>
        <w:rPr>
          <w:noProof/>
        </w:rPr>
        <w:t>L’objectif de cet investissement est d’assurer la continuité de l’approvisionnement en électricité des clients et d’accroître l’efficacité de l’utilisation des sources d’énergie renouvelables (SER). Cette mesure consiste en l'installation d'un système de stockage d'énergie par batterie (BESS).</w:t>
      </w:r>
    </w:p>
    <w:p w14:paraId="1216C1BF" w14:textId="77777777" w:rsidR="003C4798" w:rsidRDefault="003C4798">
      <w:pPr>
        <w:spacing w:before="120" w:after="120" w:line="240" w:lineRule="auto"/>
        <w:jc w:val="both"/>
        <w:rPr>
          <w:rFonts w:ascii="Times New Roman" w:hAnsi="Times New Roman" w:cs="Times New Roman"/>
          <w:noProof/>
        </w:rPr>
      </w:pPr>
    </w:p>
    <w:p w14:paraId="1216C1C0" w14:textId="77777777" w:rsidR="003C4798" w:rsidRDefault="00417595">
      <w:pPr>
        <w:pStyle w:val="P68B1DB1-Normal86"/>
        <w:keepNext/>
        <w:spacing w:before="120" w:after="120" w:line="240" w:lineRule="auto"/>
        <w:jc w:val="both"/>
        <w:rPr>
          <w:rFonts w:cs="Times New Roman"/>
          <w:noProof/>
        </w:rPr>
      </w:pPr>
      <w:r>
        <w:rPr>
          <w:noProof/>
        </w:rPr>
        <w:t>G1.1.4 Soutien aux institutions mettant en œuvre les réformes et les investissements REPowerEU</w:t>
      </w:r>
    </w:p>
    <w:p w14:paraId="1216C1C1" w14:textId="3D8A5A23" w:rsidR="003C4798" w:rsidRDefault="00417595">
      <w:pPr>
        <w:pStyle w:val="P68B1DB1-Normal85"/>
        <w:spacing w:before="120" w:after="120" w:line="240" w:lineRule="auto"/>
        <w:jc w:val="both"/>
        <w:rPr>
          <w:rFonts w:cs="Times New Roman"/>
          <w:noProof/>
        </w:rPr>
      </w:pPr>
      <w:r>
        <w:rPr>
          <w:noProof/>
        </w:rPr>
        <w:t>L’objectif de cet investissement est d’accroître la capacité administrative et organisationnelle des principales institutions publiques participant au soutien des réformes et des investissements REPowerEU. Cette mesure consiste en i) la création de 106 nouveaux postes dans l'administration, avec des tâches assignées, y compris des travaux sur les réformes et les investissements REPowerEU , ii) un soutien financier aux ONG réalisant des projets de renforcement des capacités à l'appui des réformes et des investissements REPowerEU, et iii) la conclusion d'une phase d'essai d'un outil informatique soutenant les activités de l'Office de régulation de l'énergie.</w:t>
      </w:r>
    </w:p>
    <w:p w14:paraId="1216C1C2" w14:textId="77777777" w:rsidR="003C4798" w:rsidRDefault="00417595">
      <w:pPr>
        <w:pStyle w:val="P68B1DB1-Normal92"/>
        <w:pageBreakBefore/>
        <w:spacing w:before="120" w:after="120" w:line="240" w:lineRule="auto"/>
        <w:jc w:val="both"/>
        <w:rPr>
          <w:noProof/>
        </w:rPr>
      </w:pPr>
      <w:r>
        <w:rPr>
          <w:noProof/>
        </w:rPr>
        <w:t>Sous-composante G1.2 – Révision des réseaux électriques pour accélérer l’intégration des sources d’énergie renouvelables</w:t>
      </w:r>
    </w:p>
    <w:p w14:paraId="1216C1C3" w14:textId="77777777" w:rsidR="003C4798" w:rsidRDefault="00417595">
      <w:pPr>
        <w:spacing w:before="120" w:after="120" w:line="240" w:lineRule="auto"/>
        <w:jc w:val="both"/>
        <w:rPr>
          <w:rFonts w:ascii="Times New Roman" w:hAnsi="Times New Roman" w:cs="Times New Roman"/>
          <w:noProof/>
        </w:rPr>
      </w:pPr>
      <w:r>
        <w:rPr>
          <w:rFonts w:ascii="Times New Roman" w:hAnsi="Times New Roman"/>
          <w:noProof/>
        </w:rPr>
        <w:t>La sous-composante vise à mettre en place les outils et les mises à niveau nécessaires au développement accéléré de nouvelles installations produisant de l’électricité à partir de sources renouvelables.</w:t>
      </w:r>
      <w:r>
        <w:rPr>
          <w:noProof/>
        </w:rPr>
        <w:t xml:space="preserve"> </w:t>
      </w:r>
      <w:r>
        <w:rPr>
          <w:rFonts w:ascii="Times New Roman" w:hAnsi="Times New Roman"/>
          <w:noProof/>
        </w:rPr>
        <w:t>Il s’agit de supprimer les obstacles au raccordement aux réseaux, de construire de nouvelles infrastructures et de moderniser les réseaux existants afin d’acheminer l’énergie renouvelable d’où elle est produite vers l’endroit où elle est utilisée.</w:t>
      </w:r>
    </w:p>
    <w:p w14:paraId="1216C1C4" w14:textId="77777777" w:rsidR="003C4798" w:rsidRDefault="003C4798">
      <w:pPr>
        <w:spacing w:before="120" w:after="120" w:line="240" w:lineRule="auto"/>
        <w:jc w:val="both"/>
        <w:rPr>
          <w:rFonts w:ascii="Times New Roman" w:hAnsi="Times New Roman" w:cs="Times New Roman"/>
          <w:noProof/>
        </w:rPr>
      </w:pPr>
    </w:p>
    <w:p w14:paraId="1216C1C5" w14:textId="77777777" w:rsidR="003C4798" w:rsidRDefault="00417595">
      <w:pPr>
        <w:pStyle w:val="P68B1DB1-Normal86"/>
        <w:spacing w:before="120" w:after="120" w:line="240" w:lineRule="auto"/>
        <w:jc w:val="both"/>
        <w:rPr>
          <w:rFonts w:cs="Times New Roman"/>
          <w:bCs/>
          <w:noProof/>
        </w:rPr>
      </w:pPr>
      <w:r>
        <w:rPr>
          <w:noProof/>
        </w:rPr>
        <w:t>G1.2.1 Solutions réglementaires pour une intégration accélérée des énergies renouvelables dans les réseaux de distribution</w:t>
      </w:r>
    </w:p>
    <w:p w14:paraId="1216C1C6" w14:textId="77777777" w:rsidR="003C4798" w:rsidRDefault="00417595">
      <w:pPr>
        <w:spacing w:before="120" w:after="120" w:line="240" w:lineRule="auto"/>
        <w:jc w:val="both"/>
        <w:rPr>
          <w:rFonts w:ascii="Times New Roman" w:hAnsi="Times New Roman" w:cs="Times New Roman"/>
          <w:noProof/>
        </w:rPr>
      </w:pPr>
      <w:r>
        <w:rPr>
          <w:rFonts w:ascii="Times New Roman" w:hAnsi="Times New Roman"/>
          <w:noProof/>
        </w:rPr>
        <w:t>L'objectif de cette réforme est de soutenir les investissements prioritaires pour le développement du réseau</w:t>
      </w:r>
      <w:r>
        <w:rPr>
          <w:noProof/>
        </w:rPr>
        <w:t xml:space="preserve"> </w:t>
      </w:r>
      <w:r>
        <w:rPr>
          <w:rFonts w:ascii="Times New Roman" w:hAnsi="Times New Roman"/>
          <w:noProof/>
        </w:rPr>
        <w:t>en vue de réduire les obstacles au développement des sources d'énergie renouvelables. Cette mesure consiste en la publication d’un cadre réglementaire permettant à l’Office de régulation de l’énergie d’identifier les investissements prioritaires pour le développement du réseau et de refléter les investissements prioritaires dans les tarifs du réseau de distribution.</w:t>
      </w:r>
    </w:p>
    <w:p w14:paraId="1216C1C7" w14:textId="77777777" w:rsidR="003C4798" w:rsidRDefault="003C4798">
      <w:pPr>
        <w:spacing w:before="120" w:after="120" w:line="240" w:lineRule="auto"/>
        <w:jc w:val="both"/>
        <w:rPr>
          <w:rFonts w:ascii="Times New Roman" w:hAnsi="Times New Roman" w:cs="Times New Roman"/>
          <w:noProof/>
        </w:rPr>
      </w:pPr>
    </w:p>
    <w:p w14:paraId="1216C1C8" w14:textId="77777777" w:rsidR="003C4798" w:rsidRDefault="00417595">
      <w:pPr>
        <w:pStyle w:val="P68B1DB1-Normal86"/>
        <w:keepNext/>
        <w:spacing w:before="120" w:after="120" w:line="240" w:lineRule="auto"/>
        <w:jc w:val="both"/>
        <w:rPr>
          <w:rFonts w:cs="Times New Roman"/>
          <w:noProof/>
        </w:rPr>
      </w:pPr>
      <w:r>
        <w:rPr>
          <w:noProof/>
        </w:rPr>
        <w:t>G1.2.2 Suppression des obstacles à l'intégration des sources d'énergie renouvelables dans les réseaux électriques</w:t>
      </w:r>
    </w:p>
    <w:p w14:paraId="2B4F29BE" w14:textId="0A2CB147" w:rsidR="003C4798" w:rsidRDefault="00417595">
      <w:pPr>
        <w:pStyle w:val="P68B1DB1-Normal85"/>
        <w:spacing w:before="120" w:after="120" w:line="240" w:lineRule="auto"/>
        <w:jc w:val="both"/>
        <w:rPr>
          <w:noProof/>
        </w:rPr>
      </w:pPr>
      <w:r>
        <w:rPr>
          <w:noProof/>
        </w:rPr>
        <w:t>L'objectif de cette réforme est de supprimer les obstacles réglementaires à l'intégration des sources d'énergie renouvelables dans les réseaux de transport et de distribution d'électricité. Cette mesure consiste en i) l’établissement d’un cadre juridique pour le raccordement de plusieurs sources d’énergie renouvelables à un point de raccordement unique; et ii) l’entrée en vigueur d’un ou de plusieurs actes juridiques concernant le traitement des demandes de connexion.</w:t>
      </w:r>
    </w:p>
    <w:p w14:paraId="2536260B" w14:textId="77777777" w:rsidR="003C4798" w:rsidRDefault="003C4798">
      <w:pPr>
        <w:spacing w:before="120" w:after="120" w:line="240" w:lineRule="auto"/>
        <w:jc w:val="both"/>
        <w:rPr>
          <w:rFonts w:ascii="Times New Roman" w:hAnsi="Times New Roman"/>
          <w:noProof/>
        </w:rPr>
      </w:pPr>
    </w:p>
    <w:p w14:paraId="1216C1CB" w14:textId="17013AB6" w:rsidR="003C4798" w:rsidRDefault="00417595">
      <w:pPr>
        <w:pStyle w:val="P68B1DB1-Normal86"/>
        <w:spacing w:before="120" w:after="120" w:line="240" w:lineRule="auto"/>
        <w:jc w:val="both"/>
        <w:rPr>
          <w:rFonts w:cs="Times New Roman"/>
          <w:bCs/>
          <w:noProof/>
        </w:rPr>
      </w:pPr>
      <w:r>
        <w:rPr>
          <w:noProof/>
        </w:rPr>
        <w:t>G1.2.3 Réseaux de transport et infrastructures électriques intelligentes</w:t>
      </w:r>
    </w:p>
    <w:p w14:paraId="1216C1CC" w14:textId="77777777" w:rsidR="003C4798" w:rsidRDefault="00417595">
      <w:pPr>
        <w:pStyle w:val="P68B1DB1-Normal85"/>
        <w:spacing w:before="120" w:after="120" w:line="240" w:lineRule="auto"/>
        <w:jc w:val="both"/>
        <w:rPr>
          <w:noProof/>
        </w:rPr>
      </w:pPr>
      <w:r>
        <w:rPr>
          <w:noProof/>
          <w:color w:val="000000"/>
        </w:rPr>
        <w:t xml:space="preserve">L’objectif de cet investissement est d’étendre, de moderniser et de numériser les réseaux de transport et de </w:t>
      </w:r>
      <w:r>
        <w:rPr>
          <w:noProof/>
        </w:rPr>
        <w:t xml:space="preserve">faciliter l’intégration des énergies renouvelables dans le système électrique. </w:t>
      </w:r>
    </w:p>
    <w:p w14:paraId="1216C1CD" w14:textId="6F99B7E6" w:rsidR="003C4798" w:rsidRDefault="00417595">
      <w:pPr>
        <w:pStyle w:val="P68B1DB1-Normal85"/>
        <w:spacing w:before="120" w:after="120" w:line="240" w:lineRule="auto"/>
        <w:jc w:val="both"/>
        <w:rPr>
          <w:rFonts w:eastAsia="Times New Roman" w:cs="Times New Roman"/>
          <w:noProof/>
        </w:rPr>
      </w:pPr>
      <w:r>
        <w:rPr>
          <w:noProof/>
          <w:color w:val="000000" w:themeColor="text1"/>
        </w:rPr>
        <w:t>Cette mesure consiste à: (i) la construction, la mise à niveau ou la modernisation de lignes de transport d’électricité, (ii) les (sous-)stations nouvelles, étendues ou modernisées du réseau de transport d’électricité, (iii) l’installation d’un système central d’information sur le marché de l’énergie (CSIRE) et de systèmes de surveillance de la qualité de l’électricité, et (iv) l’installation de trois systèmes informatiques nouveaux, modernisés ou étendus pour le gestionnaire de réseau de transport.</w:t>
      </w:r>
    </w:p>
    <w:p w14:paraId="1216C1CE" w14:textId="77777777" w:rsidR="003C4798" w:rsidRDefault="003C4798">
      <w:pPr>
        <w:spacing w:before="120" w:after="120" w:line="240" w:lineRule="auto"/>
        <w:jc w:val="both"/>
        <w:rPr>
          <w:rFonts w:ascii="Times New Roman" w:hAnsi="Times New Roman" w:cs="Times New Roman"/>
          <w:noProof/>
        </w:rPr>
      </w:pPr>
    </w:p>
    <w:p w14:paraId="1216C1CF" w14:textId="77777777" w:rsidR="003C4798" w:rsidRDefault="00417595">
      <w:pPr>
        <w:pStyle w:val="P68B1DB1-Normal86"/>
        <w:keepNext/>
        <w:spacing w:before="120" w:after="120" w:line="240" w:lineRule="auto"/>
        <w:jc w:val="both"/>
        <w:rPr>
          <w:rFonts w:cs="Times New Roman"/>
          <w:noProof/>
        </w:rPr>
      </w:pPr>
      <w:r>
        <w:rPr>
          <w:noProof/>
        </w:rPr>
        <w:t>G1.2.4 Construction ou modernisation de réseaux de distribution d'électricité</w:t>
      </w:r>
    </w:p>
    <w:p w14:paraId="1216C1D0" w14:textId="77777777" w:rsidR="003C4798" w:rsidRDefault="00417595">
      <w:pPr>
        <w:pStyle w:val="P68B1DB1-Normal85"/>
        <w:spacing w:before="120" w:after="120" w:line="240" w:lineRule="auto"/>
        <w:jc w:val="both"/>
        <w:rPr>
          <w:rFonts w:cs="Times New Roman"/>
          <w:noProof/>
        </w:rPr>
      </w:pPr>
      <w:r>
        <w:rPr>
          <w:noProof/>
        </w:rPr>
        <w:t xml:space="preserve">L’objectif de cet investissement est de soutenir la </w:t>
      </w:r>
      <w:r>
        <w:rPr>
          <w:noProof/>
          <w:color w:val="000000"/>
        </w:rPr>
        <w:t>construction, la modernisation et la numérisation de réseaux de distribution d’électricité desservant principalement les zones rurales,</w:t>
      </w:r>
      <w:r>
        <w:rPr>
          <w:noProof/>
        </w:rPr>
        <w:t xml:space="preserve"> en vue de permettre le raccordement de nouvelles sources d’énergie renouvelables dans ces zones.</w:t>
      </w:r>
    </w:p>
    <w:p w14:paraId="1216C1D1" w14:textId="7730DADA" w:rsidR="003C4798" w:rsidRDefault="00417595">
      <w:pPr>
        <w:pStyle w:val="P68B1DB1-Normal85"/>
        <w:spacing w:before="120" w:after="120" w:line="240" w:lineRule="auto"/>
        <w:jc w:val="both"/>
        <w:rPr>
          <w:rFonts w:cs="Times New Roman"/>
          <w:noProof/>
        </w:rPr>
      </w:pPr>
      <w:r>
        <w:rPr>
          <w:noProof/>
        </w:rPr>
        <w:t>Cette mesure consiste en la construction ou la modernisation de réseaux de distribution.</w:t>
      </w:r>
    </w:p>
    <w:p w14:paraId="1216C1D2" w14:textId="77777777" w:rsidR="003C4798" w:rsidRDefault="003C4798">
      <w:pPr>
        <w:spacing w:before="120" w:after="120" w:line="257" w:lineRule="auto"/>
        <w:jc w:val="both"/>
        <w:rPr>
          <w:rFonts w:ascii="Times New Roman" w:hAnsi="Times New Roman" w:cs="Times New Roman"/>
          <w:noProof/>
        </w:rPr>
      </w:pPr>
    </w:p>
    <w:p w14:paraId="1216C1D3" w14:textId="77777777" w:rsidR="003C4798" w:rsidRDefault="00417595">
      <w:pPr>
        <w:pStyle w:val="P68B1DB1-Normal93"/>
        <w:spacing w:before="120" w:after="120" w:line="240" w:lineRule="auto"/>
        <w:jc w:val="both"/>
        <w:rPr>
          <w:noProof/>
        </w:rPr>
      </w:pPr>
      <w:r>
        <w:rPr>
          <w:noProof/>
        </w:rPr>
        <w:t>Sous-composante G1.3 – Développement de transports durables</w:t>
      </w:r>
    </w:p>
    <w:p w14:paraId="151AA09E" w14:textId="2848D768" w:rsidR="003C4798" w:rsidRDefault="00417595">
      <w:pPr>
        <w:pStyle w:val="P68B1DB1-Normal85"/>
        <w:spacing w:before="120" w:after="120" w:line="240" w:lineRule="auto"/>
        <w:jc w:val="both"/>
        <w:rPr>
          <w:noProof/>
        </w:rPr>
      </w:pPr>
      <w:r>
        <w:rPr>
          <w:noProof/>
        </w:rPr>
        <w:t>La sous-composante vise à soutenir le transport durable.</w:t>
      </w:r>
    </w:p>
    <w:p w14:paraId="76C12DA6" w14:textId="77777777" w:rsidR="003C4798" w:rsidRDefault="003C4798">
      <w:pPr>
        <w:spacing w:before="120" w:after="120" w:line="240" w:lineRule="auto"/>
        <w:jc w:val="both"/>
        <w:rPr>
          <w:rFonts w:ascii="Times New Roman" w:hAnsi="Times New Roman"/>
          <w:noProof/>
        </w:rPr>
      </w:pPr>
    </w:p>
    <w:p w14:paraId="1216C1D6" w14:textId="39907ABB" w:rsidR="003C4798" w:rsidRDefault="00417595">
      <w:pPr>
        <w:pStyle w:val="P68B1DB1-Normal86"/>
        <w:spacing w:before="120" w:after="120" w:line="240" w:lineRule="auto"/>
        <w:jc w:val="both"/>
        <w:rPr>
          <w:rFonts w:cs="Times New Roman"/>
          <w:bCs/>
          <w:noProof/>
        </w:rPr>
      </w:pPr>
      <w:r>
        <w:rPr>
          <w:noProof/>
        </w:rPr>
        <w:t>G1.3.2 Transport collectif à émissions nulles (autobus)</w:t>
      </w:r>
    </w:p>
    <w:p w14:paraId="1216C1D7" w14:textId="77777777" w:rsidR="003C4798" w:rsidRDefault="00417595">
      <w:pPr>
        <w:pStyle w:val="P68B1DB1-Normal85"/>
        <w:spacing w:before="120" w:after="120" w:line="240" w:lineRule="auto"/>
        <w:jc w:val="both"/>
        <w:rPr>
          <w:rFonts w:cs="Times New Roman"/>
          <w:noProof/>
        </w:rPr>
      </w:pPr>
      <w:r>
        <w:rPr>
          <w:noProof/>
        </w:rPr>
        <w:t>L'objectif de cet investissement est de rendre les transports publics plus propres et d'accroître leur attractivité.</w:t>
      </w:r>
    </w:p>
    <w:p w14:paraId="1216C1D8" w14:textId="6ADF3756" w:rsidR="003C4798" w:rsidRDefault="00417595">
      <w:pPr>
        <w:pStyle w:val="P68B1DB1-Normal85"/>
        <w:spacing w:before="120" w:after="120" w:line="240" w:lineRule="auto"/>
        <w:jc w:val="both"/>
        <w:rPr>
          <w:noProof/>
        </w:rPr>
      </w:pPr>
      <w:r>
        <w:rPr>
          <w:noProof/>
        </w:rPr>
        <w:t>L’investissement consiste en la livraison d’autobus à émissions nulles.</w:t>
      </w:r>
    </w:p>
    <w:p w14:paraId="1216C1D9" w14:textId="77777777" w:rsidR="003C4798" w:rsidRDefault="003C4798">
      <w:pPr>
        <w:rPr>
          <w:rFonts w:ascii="Times New Roman" w:eastAsia="Times New Roman" w:hAnsi="Times New Roman" w:cs="Times New Roman"/>
          <w:noProof/>
          <w:color w:val="000000"/>
        </w:rPr>
        <w:sectPr w:rsidR="003C4798" w:rsidSect="006C5441">
          <w:headerReference w:type="even" r:id="rId156"/>
          <w:headerReference w:type="default" r:id="rId157"/>
          <w:footerReference w:type="even" r:id="rId158"/>
          <w:footerReference w:type="default" r:id="rId159"/>
          <w:headerReference w:type="first" r:id="rId160"/>
          <w:footerReference w:type="first" r:id="rId161"/>
          <w:pgSz w:w="11906" w:h="16838"/>
          <w:pgMar w:top="1134" w:right="1134" w:bottom="1134" w:left="1134" w:header="567" w:footer="567" w:gutter="0"/>
          <w:cols w:space="708"/>
          <w:docGrid w:linePitch="360"/>
        </w:sectPr>
      </w:pPr>
    </w:p>
    <w:p w14:paraId="1216C1DA" w14:textId="77777777" w:rsidR="003C4798" w:rsidRDefault="00417595">
      <w:pPr>
        <w:pStyle w:val="P68B1DB1-Normal91"/>
        <w:spacing w:before="120" w:after="120" w:line="240" w:lineRule="auto"/>
        <w:jc w:val="both"/>
        <w:rPr>
          <w:b/>
          <w:smallCaps/>
          <w:noProof/>
        </w:rPr>
      </w:pPr>
      <w:r>
        <w:rPr>
          <w:b/>
          <w:noProof/>
        </w:rPr>
        <w:t xml:space="preserve">G2. </w:t>
      </w:r>
      <w:r>
        <w:rPr>
          <w:noProof/>
        </w:rPr>
        <w:t xml:space="preserve"> </w:t>
      </w:r>
      <w:r>
        <w:rPr>
          <w:b/>
          <w:noProof/>
        </w:rPr>
        <w:t>Étapes, cibles, indicateurs et calendrier pour le suivi et la mise en œuvre du soutien financier non remboursable</w:t>
      </w:r>
    </w:p>
    <w:p w14:paraId="1216C1DB" w14:textId="77777777" w:rsidR="003C4798" w:rsidRDefault="00417595">
      <w:pPr>
        <w:pStyle w:val="P68B1DB1-Normal93"/>
        <w:spacing w:before="120" w:after="120" w:line="240" w:lineRule="auto"/>
        <w:jc w:val="both"/>
        <w:rPr>
          <w:noProof/>
        </w:rPr>
      </w:pPr>
      <w:r>
        <w:rPr>
          <w:noProof/>
        </w:rPr>
        <w:t>Sous-composante G1.1 – Stimuler les investissements dans les sources d’énergie renouvelables</w:t>
      </w: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2A0" w:firstRow="1" w:lastRow="0" w:firstColumn="1" w:lastColumn="0" w:noHBand="1" w:noVBand="0"/>
      </w:tblPr>
      <w:tblGrid>
        <w:gridCol w:w="988"/>
        <w:gridCol w:w="1393"/>
        <w:gridCol w:w="1158"/>
        <w:gridCol w:w="1790"/>
        <w:gridCol w:w="1754"/>
        <w:gridCol w:w="1027"/>
        <w:gridCol w:w="957"/>
        <w:gridCol w:w="851"/>
        <w:gridCol w:w="992"/>
        <w:gridCol w:w="709"/>
        <w:gridCol w:w="3685"/>
      </w:tblGrid>
      <w:tr w:rsidR="003C4798" w14:paraId="1216C1E4" w14:textId="77777777" w:rsidTr="00DA6ACB">
        <w:trPr>
          <w:trHeight w:val="720"/>
          <w:tblHeader/>
          <w:jc w:val="center"/>
        </w:trPr>
        <w:tc>
          <w:tcPr>
            <w:tcW w:w="988" w:type="dxa"/>
            <w:vMerge w:val="restart"/>
            <w:shd w:val="clear" w:color="auto" w:fill="BDD7EE"/>
            <w:vAlign w:val="center"/>
            <w:hideMark/>
          </w:tcPr>
          <w:p w14:paraId="1216C1DC" w14:textId="77777777" w:rsidR="003C4798" w:rsidRDefault="00417595">
            <w:pPr>
              <w:pStyle w:val="P68B1DB1-Normal94"/>
              <w:spacing w:after="0" w:line="240" w:lineRule="auto"/>
              <w:ind w:left="-25"/>
              <w:jc w:val="center"/>
              <w:rPr>
                <w:rFonts w:eastAsia="Times New Roman"/>
                <w:noProof/>
              </w:rPr>
            </w:pPr>
            <w:r>
              <w:rPr>
                <w:noProof/>
              </w:rPr>
              <w:t>Seq. N°</w:t>
            </w:r>
          </w:p>
        </w:tc>
        <w:tc>
          <w:tcPr>
            <w:tcW w:w="1393" w:type="dxa"/>
            <w:vMerge w:val="restart"/>
            <w:shd w:val="clear" w:color="auto" w:fill="BDD7EE"/>
            <w:vAlign w:val="center"/>
            <w:hideMark/>
          </w:tcPr>
          <w:p w14:paraId="1216C1DD" w14:textId="77777777" w:rsidR="003C4798" w:rsidRDefault="00417595">
            <w:pPr>
              <w:pStyle w:val="P68B1DB1-Normal95"/>
              <w:spacing w:after="0" w:line="240" w:lineRule="auto"/>
              <w:jc w:val="center"/>
              <w:rPr>
                <w:rFonts w:eastAsia="Times New Roman"/>
                <w:noProof/>
              </w:rPr>
            </w:pPr>
            <w:r>
              <w:rPr>
                <w:noProof/>
              </w:rPr>
              <w:t>Mesure connexe (réforme ou investissement)</w:t>
            </w:r>
          </w:p>
        </w:tc>
        <w:tc>
          <w:tcPr>
            <w:tcW w:w="1158" w:type="dxa"/>
            <w:vMerge w:val="restart"/>
            <w:shd w:val="clear" w:color="auto" w:fill="BDD7EE"/>
            <w:vAlign w:val="center"/>
            <w:hideMark/>
          </w:tcPr>
          <w:p w14:paraId="1216C1DE" w14:textId="77777777" w:rsidR="003C4798" w:rsidRDefault="00417595">
            <w:pPr>
              <w:pStyle w:val="P68B1DB1-Normal95"/>
              <w:spacing w:after="0" w:line="240" w:lineRule="auto"/>
              <w:jc w:val="center"/>
              <w:rPr>
                <w:rFonts w:eastAsia="Times New Roman"/>
                <w:noProof/>
              </w:rPr>
            </w:pPr>
            <w:r>
              <w:rPr>
                <w:noProof/>
              </w:rPr>
              <w:t>Étape/cible</w:t>
            </w:r>
          </w:p>
        </w:tc>
        <w:tc>
          <w:tcPr>
            <w:tcW w:w="1790" w:type="dxa"/>
            <w:vMerge w:val="restart"/>
            <w:shd w:val="clear" w:color="auto" w:fill="BDD7EE"/>
            <w:vAlign w:val="center"/>
            <w:hideMark/>
          </w:tcPr>
          <w:p w14:paraId="1216C1DF" w14:textId="77777777" w:rsidR="003C4798" w:rsidRDefault="00417595">
            <w:pPr>
              <w:pStyle w:val="P68B1DB1-Normal95"/>
              <w:spacing w:after="0" w:line="240" w:lineRule="auto"/>
              <w:jc w:val="center"/>
              <w:rPr>
                <w:rFonts w:eastAsia="Times New Roman"/>
                <w:noProof/>
              </w:rPr>
            </w:pPr>
            <w:r>
              <w:rPr>
                <w:noProof/>
              </w:rPr>
              <w:t>Nom</w:t>
            </w:r>
          </w:p>
        </w:tc>
        <w:tc>
          <w:tcPr>
            <w:tcW w:w="1754" w:type="dxa"/>
            <w:vMerge w:val="restart"/>
            <w:shd w:val="clear" w:color="auto" w:fill="BDD7EE"/>
            <w:vAlign w:val="center"/>
            <w:hideMark/>
          </w:tcPr>
          <w:p w14:paraId="1216C1E0" w14:textId="04DD0F6D" w:rsidR="003C4798" w:rsidRDefault="00417595">
            <w:pPr>
              <w:pStyle w:val="P68B1DB1-Normal95"/>
              <w:spacing w:after="0" w:line="240" w:lineRule="auto"/>
              <w:jc w:val="center"/>
              <w:rPr>
                <w:rFonts w:eastAsia="Times New Roman"/>
                <w:noProof/>
              </w:rPr>
            </w:pPr>
            <w:r>
              <w:rPr>
                <w:noProof/>
              </w:rPr>
              <w:t>Indicateurs qualitatifs (pour les jalons)</w:t>
            </w:r>
          </w:p>
        </w:tc>
        <w:tc>
          <w:tcPr>
            <w:tcW w:w="2835" w:type="dxa"/>
            <w:gridSpan w:val="3"/>
            <w:shd w:val="clear" w:color="auto" w:fill="BDD7EE"/>
            <w:vAlign w:val="center"/>
            <w:hideMark/>
          </w:tcPr>
          <w:p w14:paraId="1216C1E1" w14:textId="7C8F9FCF" w:rsidR="003C4798" w:rsidRDefault="00417595">
            <w:pPr>
              <w:pStyle w:val="P68B1DB1-Normal95"/>
              <w:spacing w:after="0" w:line="240" w:lineRule="auto"/>
              <w:jc w:val="center"/>
              <w:rPr>
                <w:rFonts w:eastAsia="Times New Roman"/>
                <w:noProof/>
              </w:rPr>
            </w:pPr>
            <w:r>
              <w:rPr>
                <w:noProof/>
              </w:rPr>
              <w:t>Indicateurs quantitatifs (pour les objectifs)</w:t>
            </w:r>
          </w:p>
        </w:tc>
        <w:tc>
          <w:tcPr>
            <w:tcW w:w="1701" w:type="dxa"/>
            <w:gridSpan w:val="2"/>
            <w:shd w:val="clear" w:color="auto" w:fill="BDD7EE"/>
            <w:vAlign w:val="center"/>
            <w:hideMark/>
          </w:tcPr>
          <w:p w14:paraId="1216C1E2" w14:textId="77777777" w:rsidR="003C4798" w:rsidRDefault="00417595">
            <w:pPr>
              <w:pStyle w:val="P68B1DB1-Normal95"/>
              <w:spacing w:after="0" w:line="240" w:lineRule="auto"/>
              <w:jc w:val="center"/>
              <w:rPr>
                <w:rFonts w:eastAsia="Times New Roman"/>
                <w:noProof/>
              </w:rPr>
            </w:pPr>
            <w:r>
              <w:rPr>
                <w:noProof/>
              </w:rPr>
              <w:t>Calendrier indicatif d'achèvement</w:t>
            </w:r>
          </w:p>
        </w:tc>
        <w:tc>
          <w:tcPr>
            <w:tcW w:w="3685" w:type="dxa"/>
            <w:vMerge w:val="restart"/>
            <w:shd w:val="clear" w:color="auto" w:fill="BDD7EE"/>
            <w:vAlign w:val="center"/>
            <w:hideMark/>
          </w:tcPr>
          <w:p w14:paraId="1216C1E3" w14:textId="77777777" w:rsidR="003C4798" w:rsidRDefault="00417595">
            <w:pPr>
              <w:pStyle w:val="P68B1DB1-Normal95"/>
              <w:spacing w:after="0" w:line="240" w:lineRule="auto"/>
              <w:jc w:val="center"/>
              <w:rPr>
                <w:rFonts w:eastAsia="Times New Roman"/>
                <w:noProof/>
              </w:rPr>
            </w:pPr>
            <w:r>
              <w:rPr>
                <w:noProof/>
              </w:rPr>
              <w:t>Description de chaque jalon et cible</w:t>
            </w:r>
          </w:p>
        </w:tc>
      </w:tr>
      <w:tr w:rsidR="003C4798" w14:paraId="1216C1F0" w14:textId="77777777" w:rsidTr="00DA6ACB">
        <w:trPr>
          <w:trHeight w:val="621"/>
          <w:tblHeader/>
          <w:jc w:val="center"/>
        </w:trPr>
        <w:tc>
          <w:tcPr>
            <w:tcW w:w="988" w:type="dxa"/>
            <w:vMerge/>
            <w:hideMark/>
          </w:tcPr>
          <w:p w14:paraId="1216C1E5" w14:textId="77777777" w:rsidR="003C4798" w:rsidRDefault="003C4798">
            <w:pPr>
              <w:spacing w:after="0" w:line="240" w:lineRule="auto"/>
              <w:jc w:val="center"/>
              <w:rPr>
                <w:rFonts w:ascii="Times New Roman" w:eastAsia="Times New Roman" w:hAnsi="Times New Roman" w:cs="Times New Roman"/>
                <w:b/>
                <w:noProof/>
                <w:sz w:val="18"/>
                <w:szCs w:val="18"/>
              </w:rPr>
            </w:pPr>
          </w:p>
        </w:tc>
        <w:tc>
          <w:tcPr>
            <w:tcW w:w="1393" w:type="dxa"/>
            <w:vMerge/>
            <w:vAlign w:val="center"/>
            <w:hideMark/>
          </w:tcPr>
          <w:p w14:paraId="1216C1E6" w14:textId="77777777" w:rsidR="003C4798" w:rsidRDefault="003C4798">
            <w:pPr>
              <w:spacing w:after="0" w:line="240" w:lineRule="auto"/>
              <w:rPr>
                <w:rFonts w:ascii="Times New Roman" w:eastAsia="Times New Roman" w:hAnsi="Times New Roman" w:cs="Times New Roman"/>
                <w:b/>
                <w:bCs/>
                <w:noProof/>
                <w:sz w:val="18"/>
                <w:szCs w:val="18"/>
              </w:rPr>
            </w:pPr>
          </w:p>
        </w:tc>
        <w:tc>
          <w:tcPr>
            <w:tcW w:w="1158" w:type="dxa"/>
            <w:vMerge/>
            <w:vAlign w:val="center"/>
            <w:hideMark/>
          </w:tcPr>
          <w:p w14:paraId="1216C1E7" w14:textId="77777777" w:rsidR="003C4798" w:rsidRDefault="003C4798">
            <w:pPr>
              <w:spacing w:after="0" w:line="240" w:lineRule="auto"/>
              <w:jc w:val="center"/>
              <w:rPr>
                <w:rFonts w:ascii="Times New Roman" w:eastAsia="Times New Roman" w:hAnsi="Times New Roman" w:cs="Times New Roman"/>
                <w:b/>
                <w:bCs/>
                <w:noProof/>
                <w:sz w:val="18"/>
                <w:szCs w:val="18"/>
              </w:rPr>
            </w:pPr>
          </w:p>
        </w:tc>
        <w:tc>
          <w:tcPr>
            <w:tcW w:w="1790" w:type="dxa"/>
            <w:vMerge/>
            <w:vAlign w:val="center"/>
            <w:hideMark/>
          </w:tcPr>
          <w:p w14:paraId="1216C1E8" w14:textId="77777777" w:rsidR="003C4798" w:rsidRDefault="003C4798">
            <w:pPr>
              <w:spacing w:after="0" w:line="240" w:lineRule="auto"/>
              <w:rPr>
                <w:rFonts w:ascii="Times New Roman" w:eastAsia="Times New Roman" w:hAnsi="Times New Roman" w:cs="Times New Roman"/>
                <w:b/>
                <w:bCs/>
                <w:noProof/>
                <w:sz w:val="18"/>
                <w:szCs w:val="18"/>
              </w:rPr>
            </w:pPr>
          </w:p>
        </w:tc>
        <w:tc>
          <w:tcPr>
            <w:tcW w:w="1754" w:type="dxa"/>
            <w:vMerge/>
            <w:vAlign w:val="center"/>
            <w:hideMark/>
          </w:tcPr>
          <w:p w14:paraId="1216C1E9" w14:textId="77777777" w:rsidR="003C4798" w:rsidRDefault="003C4798">
            <w:pPr>
              <w:spacing w:after="0" w:line="240" w:lineRule="auto"/>
              <w:rPr>
                <w:rFonts w:ascii="Times New Roman" w:eastAsia="Times New Roman" w:hAnsi="Times New Roman" w:cs="Times New Roman"/>
                <w:b/>
                <w:bCs/>
                <w:noProof/>
                <w:sz w:val="18"/>
                <w:szCs w:val="18"/>
              </w:rPr>
            </w:pPr>
          </w:p>
        </w:tc>
        <w:tc>
          <w:tcPr>
            <w:tcW w:w="1027" w:type="dxa"/>
            <w:shd w:val="clear" w:color="auto" w:fill="BDD7EE"/>
            <w:vAlign w:val="center"/>
            <w:hideMark/>
          </w:tcPr>
          <w:p w14:paraId="1216C1EA" w14:textId="77777777" w:rsidR="003C4798" w:rsidRDefault="00417595">
            <w:pPr>
              <w:pStyle w:val="P68B1DB1-Normal95"/>
              <w:spacing w:after="0" w:line="240" w:lineRule="auto"/>
              <w:jc w:val="center"/>
              <w:rPr>
                <w:rFonts w:eastAsia="Times New Roman"/>
                <w:noProof/>
              </w:rPr>
            </w:pPr>
            <w:r>
              <w:rPr>
                <w:noProof/>
              </w:rPr>
              <w:t>Unité de mesure</w:t>
            </w:r>
          </w:p>
        </w:tc>
        <w:tc>
          <w:tcPr>
            <w:tcW w:w="957" w:type="dxa"/>
            <w:shd w:val="clear" w:color="auto" w:fill="BDD7EE"/>
            <w:vAlign w:val="center"/>
            <w:hideMark/>
          </w:tcPr>
          <w:p w14:paraId="1216C1EB" w14:textId="77777777" w:rsidR="003C4798" w:rsidRDefault="00417595">
            <w:pPr>
              <w:pStyle w:val="P68B1DB1-Normal95"/>
              <w:spacing w:after="0" w:line="240" w:lineRule="auto"/>
              <w:jc w:val="center"/>
              <w:rPr>
                <w:rFonts w:eastAsia="Times New Roman"/>
                <w:noProof/>
              </w:rPr>
            </w:pPr>
            <w:r>
              <w:rPr>
                <w:noProof/>
              </w:rPr>
              <w:t>Données de référence</w:t>
            </w:r>
          </w:p>
        </w:tc>
        <w:tc>
          <w:tcPr>
            <w:tcW w:w="851" w:type="dxa"/>
            <w:shd w:val="clear" w:color="auto" w:fill="BDD7EE"/>
            <w:vAlign w:val="center"/>
            <w:hideMark/>
          </w:tcPr>
          <w:p w14:paraId="1216C1EC" w14:textId="77777777" w:rsidR="003C4798" w:rsidRDefault="00417595">
            <w:pPr>
              <w:pStyle w:val="P68B1DB1-Normal95"/>
              <w:spacing w:after="0" w:line="240" w:lineRule="auto"/>
              <w:jc w:val="center"/>
              <w:rPr>
                <w:rFonts w:eastAsia="Times New Roman"/>
                <w:noProof/>
              </w:rPr>
            </w:pPr>
            <w:r>
              <w:rPr>
                <w:noProof/>
              </w:rPr>
              <w:t>Objectif</w:t>
            </w:r>
          </w:p>
        </w:tc>
        <w:tc>
          <w:tcPr>
            <w:tcW w:w="992" w:type="dxa"/>
            <w:shd w:val="clear" w:color="auto" w:fill="BDD7EE"/>
            <w:vAlign w:val="center"/>
            <w:hideMark/>
          </w:tcPr>
          <w:p w14:paraId="1216C1ED" w14:textId="77777777" w:rsidR="003C4798" w:rsidRDefault="00417595">
            <w:pPr>
              <w:pStyle w:val="P68B1DB1-Normal95"/>
              <w:spacing w:after="0" w:line="240" w:lineRule="auto"/>
              <w:jc w:val="center"/>
              <w:rPr>
                <w:rFonts w:eastAsia="Times New Roman"/>
                <w:noProof/>
              </w:rPr>
            </w:pPr>
            <w:r>
              <w:rPr>
                <w:noProof/>
              </w:rPr>
              <w:t>Trimestre</w:t>
            </w:r>
          </w:p>
        </w:tc>
        <w:tc>
          <w:tcPr>
            <w:tcW w:w="709" w:type="dxa"/>
            <w:shd w:val="clear" w:color="auto" w:fill="BDD7EE"/>
            <w:vAlign w:val="center"/>
            <w:hideMark/>
          </w:tcPr>
          <w:p w14:paraId="1216C1EE" w14:textId="77777777" w:rsidR="003C4798" w:rsidRDefault="00417595">
            <w:pPr>
              <w:pStyle w:val="P68B1DB1-Normal95"/>
              <w:spacing w:after="0" w:line="240" w:lineRule="auto"/>
              <w:jc w:val="center"/>
              <w:rPr>
                <w:rFonts w:eastAsia="Times New Roman"/>
                <w:noProof/>
              </w:rPr>
            </w:pPr>
            <w:r>
              <w:rPr>
                <w:noProof/>
              </w:rPr>
              <w:t>Année</w:t>
            </w:r>
          </w:p>
        </w:tc>
        <w:tc>
          <w:tcPr>
            <w:tcW w:w="3685" w:type="dxa"/>
            <w:vMerge/>
            <w:vAlign w:val="center"/>
            <w:hideMark/>
          </w:tcPr>
          <w:p w14:paraId="1216C1EF" w14:textId="77777777" w:rsidR="003C4798" w:rsidRDefault="003C4798">
            <w:pPr>
              <w:spacing w:after="0" w:line="240" w:lineRule="auto"/>
              <w:rPr>
                <w:rFonts w:ascii="Times New Roman" w:eastAsia="Times New Roman" w:hAnsi="Times New Roman" w:cs="Times New Roman"/>
                <w:b/>
                <w:bCs/>
                <w:noProof/>
                <w:sz w:val="18"/>
                <w:szCs w:val="18"/>
              </w:rPr>
            </w:pPr>
          </w:p>
        </w:tc>
      </w:tr>
      <w:tr w:rsidR="003C4798" w14:paraId="1216C1FC" w14:textId="77777777" w:rsidTr="00DA6ACB">
        <w:trPr>
          <w:trHeight w:val="945"/>
          <w:jc w:val="center"/>
        </w:trPr>
        <w:tc>
          <w:tcPr>
            <w:tcW w:w="988" w:type="dxa"/>
            <w:shd w:val="clear" w:color="auto" w:fill="C6EFCE"/>
            <w:noWrap/>
          </w:tcPr>
          <w:p w14:paraId="1216C1F1" w14:textId="77777777" w:rsidR="003C4798" w:rsidRDefault="00417595">
            <w:pPr>
              <w:pStyle w:val="P68B1DB1-Normal22"/>
              <w:spacing w:after="0" w:line="240" w:lineRule="auto"/>
              <w:jc w:val="center"/>
              <w:rPr>
                <w:rFonts w:eastAsia="Times New Roman"/>
                <w:noProof/>
              </w:rPr>
            </w:pPr>
            <w:r>
              <w:rPr>
                <w:noProof/>
              </w:rPr>
              <w:t>G1G</w:t>
            </w:r>
          </w:p>
        </w:tc>
        <w:tc>
          <w:tcPr>
            <w:tcW w:w="1393" w:type="dxa"/>
            <w:shd w:val="clear" w:color="auto" w:fill="C6EFCE"/>
            <w:noWrap/>
          </w:tcPr>
          <w:p w14:paraId="1216C1F2" w14:textId="371A03ED" w:rsidR="003C4798" w:rsidRDefault="00417595">
            <w:pPr>
              <w:pStyle w:val="P68B1DB1-Normal22"/>
              <w:spacing w:after="0" w:line="240" w:lineRule="auto"/>
              <w:rPr>
                <w:rFonts w:eastAsia="Times New Roman"/>
                <w:noProof/>
              </w:rPr>
            </w:pPr>
            <w:r>
              <w:rPr>
                <w:noProof/>
              </w:rPr>
              <w:t xml:space="preserve">G1.1.1 Définir un environnement réglementaire favorable aux communautés énergétiques </w:t>
            </w:r>
          </w:p>
        </w:tc>
        <w:tc>
          <w:tcPr>
            <w:tcW w:w="1158" w:type="dxa"/>
            <w:shd w:val="clear" w:color="auto" w:fill="C6EFCE"/>
            <w:noWrap/>
          </w:tcPr>
          <w:p w14:paraId="1216C1F3" w14:textId="77777777" w:rsidR="003C4798" w:rsidRDefault="00417595">
            <w:pPr>
              <w:pStyle w:val="P68B1DB1-Normal22"/>
              <w:spacing w:after="0" w:line="240" w:lineRule="auto"/>
              <w:jc w:val="center"/>
              <w:rPr>
                <w:rFonts w:eastAsia="Times New Roman"/>
                <w:noProof/>
              </w:rPr>
            </w:pPr>
            <w:r>
              <w:rPr>
                <w:noProof/>
              </w:rPr>
              <w:t>Étape</w:t>
            </w:r>
          </w:p>
        </w:tc>
        <w:tc>
          <w:tcPr>
            <w:tcW w:w="1790" w:type="dxa"/>
            <w:shd w:val="clear" w:color="auto" w:fill="C6EFCE"/>
            <w:noWrap/>
          </w:tcPr>
          <w:p w14:paraId="1216C1F4" w14:textId="0D7C6E27" w:rsidR="003C4798" w:rsidRDefault="00417595">
            <w:pPr>
              <w:pStyle w:val="P68B1DB1-Normal22"/>
              <w:rPr>
                <w:rFonts w:eastAsia="Times New Roman"/>
                <w:noProof/>
              </w:rPr>
            </w:pPr>
            <w:r>
              <w:rPr>
                <w:noProof/>
              </w:rPr>
              <w:t>Analyse des obstacles au développement des communautés énergétiques, des coopératives énergétiques ou des grappes énergétiques</w:t>
            </w:r>
          </w:p>
        </w:tc>
        <w:tc>
          <w:tcPr>
            <w:tcW w:w="1754" w:type="dxa"/>
            <w:shd w:val="clear" w:color="auto" w:fill="C6EFCE"/>
            <w:noWrap/>
          </w:tcPr>
          <w:p w14:paraId="1216C1F5" w14:textId="77777777" w:rsidR="003C4798" w:rsidRDefault="00417595">
            <w:pPr>
              <w:pStyle w:val="P68B1DB1-Normal22"/>
              <w:spacing w:after="0" w:line="240" w:lineRule="auto"/>
              <w:rPr>
                <w:rFonts w:eastAsia="Times New Roman"/>
                <w:noProof/>
              </w:rPr>
            </w:pPr>
            <w:r>
              <w:rPr>
                <w:noProof/>
              </w:rPr>
              <w:t xml:space="preserve">Publication de l'analyse </w:t>
            </w:r>
          </w:p>
        </w:tc>
        <w:tc>
          <w:tcPr>
            <w:tcW w:w="1027" w:type="dxa"/>
            <w:shd w:val="clear" w:color="auto" w:fill="C6EFCE"/>
            <w:noWrap/>
          </w:tcPr>
          <w:p w14:paraId="1216C1F6"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57" w:type="dxa"/>
            <w:shd w:val="clear" w:color="auto" w:fill="C6EFCE"/>
            <w:noWrap/>
          </w:tcPr>
          <w:p w14:paraId="1216C1F7"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1F8"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1F9" w14:textId="77777777" w:rsidR="003C4798" w:rsidRDefault="00417595">
            <w:pPr>
              <w:pStyle w:val="P68B1DB1-Normal22"/>
              <w:spacing w:after="0" w:line="240" w:lineRule="auto"/>
              <w:jc w:val="center"/>
              <w:rPr>
                <w:rFonts w:eastAsia="Times New Roman"/>
                <w:noProof/>
              </w:rPr>
            </w:pPr>
            <w:r>
              <w:rPr>
                <w:noProof/>
              </w:rPr>
              <w:t>T3</w:t>
            </w:r>
          </w:p>
        </w:tc>
        <w:tc>
          <w:tcPr>
            <w:tcW w:w="709" w:type="dxa"/>
            <w:shd w:val="clear" w:color="auto" w:fill="C6EFCE"/>
            <w:noWrap/>
          </w:tcPr>
          <w:p w14:paraId="1216C1FA" w14:textId="77777777" w:rsidR="003C4798" w:rsidRDefault="00417595">
            <w:pPr>
              <w:pStyle w:val="P68B1DB1-Normal22"/>
              <w:spacing w:after="0" w:line="240" w:lineRule="auto"/>
              <w:jc w:val="center"/>
              <w:rPr>
                <w:rFonts w:eastAsia="Times New Roman"/>
                <w:noProof/>
              </w:rPr>
            </w:pPr>
            <w:r>
              <w:rPr>
                <w:noProof/>
              </w:rPr>
              <w:t>2024</w:t>
            </w:r>
          </w:p>
        </w:tc>
        <w:tc>
          <w:tcPr>
            <w:tcW w:w="3685" w:type="dxa"/>
            <w:shd w:val="clear" w:color="auto" w:fill="C6EFCE"/>
            <w:noWrap/>
          </w:tcPr>
          <w:p w14:paraId="1216C1FB" w14:textId="77777777" w:rsidR="003C4798" w:rsidRDefault="00417595">
            <w:pPr>
              <w:pStyle w:val="P68B1DB1-Normal22"/>
              <w:spacing w:after="0" w:line="240" w:lineRule="auto"/>
              <w:rPr>
                <w:rFonts w:eastAsia="Times New Roman"/>
                <w:noProof/>
              </w:rPr>
            </w:pPr>
            <w:r>
              <w:rPr>
                <w:noProof/>
              </w:rPr>
              <w:t>Publication d’une analyse des obstacles juridiques, organisationnels et administratifs au développement des communautés énergétiques, des pôles énergétiques ou des coopératives énergétiques. L’analyse propose également un ensemble de solutions pour lever ces obstacles.</w:t>
            </w:r>
          </w:p>
        </w:tc>
      </w:tr>
      <w:tr w:rsidR="003C4798" w14:paraId="1216C208" w14:textId="77777777" w:rsidTr="00DA6ACB">
        <w:trPr>
          <w:trHeight w:val="309"/>
          <w:jc w:val="center"/>
        </w:trPr>
        <w:tc>
          <w:tcPr>
            <w:tcW w:w="988" w:type="dxa"/>
            <w:shd w:val="clear" w:color="auto" w:fill="C6EFCE"/>
            <w:noWrap/>
          </w:tcPr>
          <w:p w14:paraId="1216C1FD" w14:textId="77777777" w:rsidR="003C4798" w:rsidRDefault="00417595">
            <w:pPr>
              <w:pStyle w:val="P68B1DB1-Normal22"/>
              <w:spacing w:after="0" w:line="240" w:lineRule="auto"/>
              <w:jc w:val="center"/>
              <w:rPr>
                <w:rFonts w:eastAsia="Times New Roman"/>
                <w:noProof/>
              </w:rPr>
            </w:pPr>
            <w:r>
              <w:rPr>
                <w:noProof/>
              </w:rPr>
              <w:t>G2G</w:t>
            </w:r>
          </w:p>
        </w:tc>
        <w:tc>
          <w:tcPr>
            <w:tcW w:w="1393" w:type="dxa"/>
            <w:shd w:val="clear" w:color="auto" w:fill="C6EFCE"/>
            <w:noWrap/>
          </w:tcPr>
          <w:p w14:paraId="1216C1FE" w14:textId="5B9ECA9A" w:rsidR="003C4798" w:rsidRDefault="00417595">
            <w:pPr>
              <w:pStyle w:val="P68B1DB1-Normal22"/>
              <w:spacing w:after="0" w:line="240" w:lineRule="auto"/>
              <w:rPr>
                <w:rFonts w:eastAsia="Times New Roman"/>
                <w:noProof/>
              </w:rPr>
            </w:pPr>
            <w:r>
              <w:rPr>
                <w:noProof/>
              </w:rPr>
              <w:t>G1.1.2 Soutenir l'expansion des communautés énergétiques</w:t>
            </w:r>
          </w:p>
        </w:tc>
        <w:tc>
          <w:tcPr>
            <w:tcW w:w="1158" w:type="dxa"/>
            <w:shd w:val="clear" w:color="auto" w:fill="C6EFCE"/>
            <w:noWrap/>
          </w:tcPr>
          <w:p w14:paraId="1216C1FF" w14:textId="77777777" w:rsidR="003C4798" w:rsidRDefault="00417595">
            <w:pPr>
              <w:pStyle w:val="P68B1DB1-Normal22"/>
              <w:spacing w:line="240" w:lineRule="auto"/>
              <w:jc w:val="center"/>
              <w:rPr>
                <w:rFonts w:eastAsia="Times New Roman"/>
                <w:noProof/>
              </w:rPr>
            </w:pPr>
            <w:r>
              <w:rPr>
                <w:noProof/>
              </w:rPr>
              <w:t>Étape</w:t>
            </w:r>
          </w:p>
        </w:tc>
        <w:tc>
          <w:tcPr>
            <w:tcW w:w="1790" w:type="dxa"/>
            <w:shd w:val="clear" w:color="auto" w:fill="C6EFCE"/>
            <w:noWrap/>
          </w:tcPr>
          <w:p w14:paraId="1216C200" w14:textId="77777777" w:rsidR="003C4798" w:rsidRDefault="00417595">
            <w:pPr>
              <w:pStyle w:val="P68B1DB1-Normal22"/>
              <w:spacing w:line="240" w:lineRule="auto"/>
              <w:rPr>
                <w:rFonts w:eastAsia="Times New Roman"/>
                <w:noProof/>
              </w:rPr>
            </w:pPr>
            <w:r>
              <w:rPr>
                <w:noProof/>
              </w:rPr>
              <w:t>Appel au programme d'aide à l'investissement</w:t>
            </w:r>
          </w:p>
        </w:tc>
        <w:tc>
          <w:tcPr>
            <w:tcW w:w="1754" w:type="dxa"/>
            <w:shd w:val="clear" w:color="auto" w:fill="C6EFCE"/>
            <w:noWrap/>
          </w:tcPr>
          <w:p w14:paraId="1216C201" w14:textId="77777777" w:rsidR="003C4798" w:rsidRDefault="00417595">
            <w:pPr>
              <w:pStyle w:val="P68B1DB1-Normal22"/>
              <w:spacing w:after="0" w:line="240" w:lineRule="auto"/>
              <w:rPr>
                <w:rFonts w:eastAsia="Times New Roman"/>
                <w:noProof/>
              </w:rPr>
            </w:pPr>
            <w:r>
              <w:rPr>
                <w:noProof/>
              </w:rPr>
              <w:t>Lancement de l’appel à propositions pour les communautés énergétiques intéressées par un soutien au titre de la partie «investissement»</w:t>
            </w:r>
          </w:p>
        </w:tc>
        <w:tc>
          <w:tcPr>
            <w:tcW w:w="1027" w:type="dxa"/>
            <w:shd w:val="clear" w:color="auto" w:fill="C6EFCE"/>
            <w:noWrap/>
          </w:tcPr>
          <w:p w14:paraId="1216C202" w14:textId="77777777" w:rsidR="003C4798" w:rsidRDefault="003C4798">
            <w:pPr>
              <w:spacing w:line="240" w:lineRule="auto"/>
              <w:jc w:val="center"/>
              <w:rPr>
                <w:rFonts w:ascii="Times New Roman" w:eastAsia="Times New Roman" w:hAnsi="Times New Roman" w:cs="Times New Roman"/>
                <w:noProof/>
                <w:sz w:val="18"/>
                <w:szCs w:val="18"/>
              </w:rPr>
            </w:pPr>
          </w:p>
        </w:tc>
        <w:tc>
          <w:tcPr>
            <w:tcW w:w="957" w:type="dxa"/>
            <w:shd w:val="clear" w:color="auto" w:fill="C6EFCE"/>
            <w:noWrap/>
          </w:tcPr>
          <w:p w14:paraId="1216C203" w14:textId="77777777" w:rsidR="003C4798" w:rsidRDefault="003C4798">
            <w:pPr>
              <w:spacing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204" w14:textId="77777777" w:rsidR="003C4798" w:rsidRDefault="003C4798">
            <w:pPr>
              <w:spacing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205" w14:textId="77777777" w:rsidR="003C4798" w:rsidRDefault="00417595">
            <w:pPr>
              <w:pStyle w:val="P68B1DB1-Normal22"/>
              <w:spacing w:line="240" w:lineRule="auto"/>
              <w:jc w:val="center"/>
              <w:rPr>
                <w:rFonts w:eastAsia="Times New Roman"/>
                <w:noProof/>
              </w:rPr>
            </w:pPr>
            <w:r>
              <w:rPr>
                <w:noProof/>
              </w:rPr>
              <w:t>T4</w:t>
            </w:r>
          </w:p>
        </w:tc>
        <w:tc>
          <w:tcPr>
            <w:tcW w:w="709" w:type="dxa"/>
            <w:shd w:val="clear" w:color="auto" w:fill="C6EFCE"/>
            <w:noWrap/>
          </w:tcPr>
          <w:p w14:paraId="1216C206" w14:textId="77777777" w:rsidR="003C4798" w:rsidRDefault="00417595">
            <w:pPr>
              <w:pStyle w:val="P68B1DB1-Normal22"/>
              <w:spacing w:line="240" w:lineRule="auto"/>
              <w:jc w:val="center"/>
              <w:rPr>
                <w:rFonts w:eastAsia="Times New Roman"/>
                <w:noProof/>
              </w:rPr>
            </w:pPr>
            <w:r>
              <w:rPr>
                <w:noProof/>
              </w:rPr>
              <w:t>2023</w:t>
            </w:r>
          </w:p>
        </w:tc>
        <w:tc>
          <w:tcPr>
            <w:tcW w:w="3685" w:type="dxa"/>
            <w:shd w:val="clear" w:color="auto" w:fill="C6EFCE"/>
            <w:noWrap/>
          </w:tcPr>
          <w:p w14:paraId="1216C207" w14:textId="5D0227A5" w:rsidR="003C4798" w:rsidRDefault="00417595">
            <w:pPr>
              <w:pStyle w:val="P68B1DB1-Normal22"/>
              <w:spacing w:after="0" w:line="240" w:lineRule="auto"/>
              <w:rPr>
                <w:rFonts w:eastAsia="Times New Roman"/>
                <w:noProof/>
              </w:rPr>
            </w:pPr>
            <w:r>
              <w:rPr>
                <w:noProof/>
              </w:rPr>
              <w:t>Un appel à propositions ouvert, transparent et concurrentiel est lancé à l’intention des coopératives énergétiques, des communautés énergétiques et des pôles énergétiques, dans le but d’allouer l’aide aux différents types de bénéficiaires de manière équilibrée.</w:t>
            </w:r>
          </w:p>
        </w:tc>
      </w:tr>
      <w:tr w:rsidR="003C4798" w14:paraId="1216C214" w14:textId="77777777" w:rsidTr="00DA6ACB">
        <w:trPr>
          <w:trHeight w:val="309"/>
          <w:jc w:val="center"/>
        </w:trPr>
        <w:tc>
          <w:tcPr>
            <w:tcW w:w="988" w:type="dxa"/>
            <w:shd w:val="clear" w:color="auto" w:fill="C6EFCE"/>
            <w:noWrap/>
          </w:tcPr>
          <w:p w14:paraId="1216C209" w14:textId="77777777" w:rsidR="003C4798" w:rsidRDefault="00417595">
            <w:pPr>
              <w:pStyle w:val="P68B1DB1-Normal22"/>
              <w:spacing w:after="0" w:line="240" w:lineRule="auto"/>
              <w:jc w:val="center"/>
              <w:rPr>
                <w:rFonts w:eastAsia="Times New Roman"/>
                <w:noProof/>
              </w:rPr>
            </w:pPr>
            <w:r>
              <w:rPr>
                <w:noProof/>
              </w:rPr>
              <w:t>G3G</w:t>
            </w:r>
          </w:p>
        </w:tc>
        <w:tc>
          <w:tcPr>
            <w:tcW w:w="1393" w:type="dxa"/>
            <w:shd w:val="clear" w:color="auto" w:fill="C6EFCE"/>
            <w:noWrap/>
          </w:tcPr>
          <w:p w14:paraId="1216C20A" w14:textId="3133F5A7" w:rsidR="003C4798" w:rsidRDefault="00417595">
            <w:pPr>
              <w:pStyle w:val="P68B1DB1-Normal22"/>
              <w:spacing w:after="0" w:line="240" w:lineRule="auto"/>
              <w:rPr>
                <w:rFonts w:eastAsia="Times New Roman"/>
                <w:noProof/>
              </w:rPr>
            </w:pPr>
            <w:r>
              <w:rPr>
                <w:noProof/>
              </w:rPr>
              <w:t>G1.1.2 Soutenir l'expansion des communautés énergétiques</w:t>
            </w:r>
          </w:p>
        </w:tc>
        <w:tc>
          <w:tcPr>
            <w:tcW w:w="1158" w:type="dxa"/>
            <w:shd w:val="clear" w:color="auto" w:fill="C6EFCE"/>
            <w:noWrap/>
          </w:tcPr>
          <w:p w14:paraId="1216C20B" w14:textId="77777777" w:rsidR="003C4798" w:rsidRDefault="00417595">
            <w:pPr>
              <w:pStyle w:val="P68B1DB1-Normal22"/>
              <w:spacing w:after="0" w:line="240" w:lineRule="auto"/>
              <w:jc w:val="center"/>
              <w:rPr>
                <w:rFonts w:eastAsia="Times New Roman"/>
                <w:noProof/>
              </w:rPr>
            </w:pPr>
            <w:r>
              <w:rPr>
                <w:noProof/>
              </w:rPr>
              <w:t>Objectif</w:t>
            </w:r>
          </w:p>
        </w:tc>
        <w:tc>
          <w:tcPr>
            <w:tcW w:w="1790" w:type="dxa"/>
            <w:shd w:val="clear" w:color="auto" w:fill="C6EFCE"/>
            <w:noWrap/>
          </w:tcPr>
          <w:p w14:paraId="1216C20C" w14:textId="77777777" w:rsidR="003C4798" w:rsidRDefault="00417595">
            <w:pPr>
              <w:pStyle w:val="P68B1DB1-Normal22"/>
              <w:spacing w:after="0" w:line="240" w:lineRule="auto"/>
              <w:rPr>
                <w:rFonts w:eastAsia="Times New Roman"/>
                <w:noProof/>
              </w:rPr>
            </w:pPr>
            <w:r>
              <w:rPr>
                <w:noProof/>
              </w:rPr>
              <w:t>Entités bénéficiant d’un soutien au titre de la partie «préinvestissement»</w:t>
            </w:r>
          </w:p>
        </w:tc>
        <w:tc>
          <w:tcPr>
            <w:tcW w:w="1754" w:type="dxa"/>
            <w:shd w:val="clear" w:color="auto" w:fill="C6EFCE"/>
            <w:noWrap/>
          </w:tcPr>
          <w:p w14:paraId="1216C20D" w14:textId="77777777" w:rsidR="003C4798" w:rsidRDefault="003C4798">
            <w:pPr>
              <w:spacing w:after="0" w:line="240" w:lineRule="auto"/>
              <w:rPr>
                <w:rFonts w:ascii="Times New Roman" w:eastAsia="Times New Roman" w:hAnsi="Times New Roman" w:cs="Times New Roman"/>
                <w:noProof/>
                <w:sz w:val="18"/>
                <w:szCs w:val="18"/>
              </w:rPr>
            </w:pPr>
          </w:p>
        </w:tc>
        <w:tc>
          <w:tcPr>
            <w:tcW w:w="1027" w:type="dxa"/>
            <w:shd w:val="clear" w:color="auto" w:fill="C6EFCE"/>
            <w:noWrap/>
          </w:tcPr>
          <w:p w14:paraId="1216C20E" w14:textId="77777777" w:rsidR="003C4798" w:rsidRDefault="00417595">
            <w:pPr>
              <w:pStyle w:val="P68B1DB1-Normal22"/>
              <w:spacing w:after="0" w:line="240" w:lineRule="auto"/>
              <w:jc w:val="center"/>
              <w:rPr>
                <w:rFonts w:eastAsia="Times New Roman"/>
                <w:noProof/>
              </w:rPr>
            </w:pPr>
            <w:r>
              <w:rPr>
                <w:noProof/>
              </w:rPr>
              <w:t>Numéro</w:t>
            </w:r>
          </w:p>
        </w:tc>
        <w:tc>
          <w:tcPr>
            <w:tcW w:w="957" w:type="dxa"/>
            <w:shd w:val="clear" w:color="auto" w:fill="C6EFCE"/>
            <w:noWrap/>
          </w:tcPr>
          <w:p w14:paraId="1216C20F" w14:textId="77777777" w:rsidR="003C4798" w:rsidRDefault="00417595">
            <w:pPr>
              <w:pStyle w:val="P68B1DB1-Normal22"/>
              <w:spacing w:after="0" w:line="240" w:lineRule="auto"/>
              <w:jc w:val="center"/>
              <w:rPr>
                <w:rFonts w:eastAsia="Times New Roman"/>
                <w:noProof/>
              </w:rPr>
            </w:pPr>
            <w:r>
              <w:rPr>
                <w:noProof/>
              </w:rPr>
              <w:t>0</w:t>
            </w:r>
          </w:p>
        </w:tc>
        <w:tc>
          <w:tcPr>
            <w:tcW w:w="851" w:type="dxa"/>
            <w:shd w:val="clear" w:color="auto" w:fill="C6EFCE"/>
            <w:noWrap/>
          </w:tcPr>
          <w:p w14:paraId="1216C210" w14:textId="77777777" w:rsidR="003C4798" w:rsidRDefault="00417595">
            <w:pPr>
              <w:pStyle w:val="P68B1DB1-Normal22"/>
              <w:spacing w:after="0" w:line="240" w:lineRule="auto"/>
              <w:jc w:val="center"/>
              <w:rPr>
                <w:rFonts w:eastAsia="Times New Roman"/>
                <w:noProof/>
              </w:rPr>
            </w:pPr>
            <w:r>
              <w:rPr>
                <w:noProof/>
              </w:rPr>
              <w:t>162</w:t>
            </w:r>
          </w:p>
        </w:tc>
        <w:tc>
          <w:tcPr>
            <w:tcW w:w="992" w:type="dxa"/>
            <w:shd w:val="clear" w:color="auto" w:fill="C6EFCE"/>
            <w:noWrap/>
          </w:tcPr>
          <w:p w14:paraId="1216C211" w14:textId="77777777" w:rsidR="003C4798" w:rsidRDefault="00417595">
            <w:pPr>
              <w:pStyle w:val="P68B1DB1-Normal22"/>
              <w:spacing w:after="0" w:line="240" w:lineRule="auto"/>
              <w:jc w:val="center"/>
              <w:rPr>
                <w:rFonts w:eastAsia="Times New Roman"/>
                <w:noProof/>
              </w:rPr>
            </w:pPr>
            <w:r>
              <w:rPr>
                <w:noProof/>
              </w:rPr>
              <w:t>T1</w:t>
            </w:r>
          </w:p>
        </w:tc>
        <w:tc>
          <w:tcPr>
            <w:tcW w:w="709" w:type="dxa"/>
            <w:shd w:val="clear" w:color="auto" w:fill="C6EFCE"/>
            <w:noWrap/>
          </w:tcPr>
          <w:p w14:paraId="1216C212" w14:textId="77777777" w:rsidR="003C4798" w:rsidRDefault="00417595">
            <w:pPr>
              <w:pStyle w:val="P68B1DB1-Normal22"/>
              <w:spacing w:after="0" w:line="240" w:lineRule="auto"/>
              <w:jc w:val="center"/>
              <w:rPr>
                <w:rFonts w:eastAsia="Times New Roman"/>
                <w:noProof/>
              </w:rPr>
            </w:pPr>
            <w:r>
              <w:rPr>
                <w:noProof/>
              </w:rPr>
              <w:t>2025</w:t>
            </w:r>
          </w:p>
        </w:tc>
        <w:tc>
          <w:tcPr>
            <w:tcW w:w="3685" w:type="dxa"/>
            <w:shd w:val="clear" w:color="auto" w:fill="C6EFCE"/>
            <w:noWrap/>
          </w:tcPr>
          <w:p w14:paraId="1216C213" w14:textId="77777777" w:rsidR="003C4798" w:rsidRDefault="00417595">
            <w:pPr>
              <w:pStyle w:val="P68B1DB1-Normal22"/>
              <w:spacing w:after="0" w:line="240" w:lineRule="auto"/>
              <w:rPr>
                <w:rFonts w:eastAsia="Times New Roman"/>
                <w:noProof/>
              </w:rPr>
            </w:pPr>
            <w:r>
              <w:rPr>
                <w:noProof/>
              </w:rPr>
              <w:t>Nombre de conventions de subvention signées avec les bénéficiaires au titre de la partie «préinvestissement».</w:t>
            </w:r>
          </w:p>
        </w:tc>
      </w:tr>
      <w:tr w:rsidR="003C4798" w14:paraId="1216C220" w14:textId="77777777" w:rsidTr="00DA6ACB">
        <w:trPr>
          <w:trHeight w:val="309"/>
          <w:jc w:val="center"/>
        </w:trPr>
        <w:tc>
          <w:tcPr>
            <w:tcW w:w="988" w:type="dxa"/>
            <w:shd w:val="clear" w:color="auto" w:fill="C6EFCE"/>
            <w:noWrap/>
          </w:tcPr>
          <w:p w14:paraId="1216C215" w14:textId="77777777" w:rsidR="003C4798" w:rsidRDefault="00417595">
            <w:pPr>
              <w:pStyle w:val="P68B1DB1-Normal22"/>
              <w:spacing w:after="0" w:line="240" w:lineRule="auto"/>
              <w:jc w:val="center"/>
              <w:rPr>
                <w:rFonts w:eastAsia="Times New Roman"/>
                <w:noProof/>
              </w:rPr>
            </w:pPr>
            <w:r>
              <w:rPr>
                <w:noProof/>
              </w:rPr>
              <w:t>G5G</w:t>
            </w:r>
          </w:p>
        </w:tc>
        <w:tc>
          <w:tcPr>
            <w:tcW w:w="1393" w:type="dxa"/>
            <w:shd w:val="clear" w:color="auto" w:fill="C6EFCE"/>
            <w:noWrap/>
          </w:tcPr>
          <w:p w14:paraId="1216C216" w14:textId="5E5F1A73" w:rsidR="003C4798" w:rsidRDefault="00417595">
            <w:pPr>
              <w:pStyle w:val="P68B1DB1-Normal22"/>
              <w:spacing w:after="0" w:line="240" w:lineRule="auto"/>
              <w:rPr>
                <w:rFonts w:eastAsia="Times New Roman"/>
                <w:noProof/>
              </w:rPr>
            </w:pPr>
            <w:r>
              <w:rPr>
                <w:noProof/>
              </w:rPr>
              <w:t>G1.1.2 Soutenir l'expansion des communautés énergétiques</w:t>
            </w:r>
          </w:p>
        </w:tc>
        <w:tc>
          <w:tcPr>
            <w:tcW w:w="1158" w:type="dxa"/>
            <w:shd w:val="clear" w:color="auto" w:fill="C6EFCE"/>
            <w:noWrap/>
          </w:tcPr>
          <w:p w14:paraId="1216C217" w14:textId="77777777" w:rsidR="003C4798" w:rsidRDefault="00417595">
            <w:pPr>
              <w:pStyle w:val="P68B1DB1-Normal22"/>
              <w:spacing w:after="0" w:line="240" w:lineRule="auto"/>
              <w:jc w:val="center"/>
              <w:rPr>
                <w:rFonts w:eastAsia="Times New Roman"/>
                <w:noProof/>
              </w:rPr>
            </w:pPr>
            <w:r>
              <w:rPr>
                <w:noProof/>
              </w:rPr>
              <w:t>Objectif</w:t>
            </w:r>
          </w:p>
        </w:tc>
        <w:tc>
          <w:tcPr>
            <w:tcW w:w="1790" w:type="dxa"/>
            <w:shd w:val="clear" w:color="auto" w:fill="C6EFCE"/>
            <w:noWrap/>
          </w:tcPr>
          <w:p w14:paraId="1216C218" w14:textId="77777777" w:rsidR="003C4798" w:rsidRDefault="00417595">
            <w:pPr>
              <w:pStyle w:val="P68B1DB1-Normal22"/>
              <w:spacing w:after="0" w:line="240" w:lineRule="auto"/>
              <w:rPr>
                <w:rFonts w:eastAsia="Times New Roman"/>
                <w:noProof/>
              </w:rPr>
            </w:pPr>
            <w:r>
              <w:rPr>
                <w:noProof/>
              </w:rPr>
              <w:t>Entités soutenues dans le cadre de la partie «investissement»</w:t>
            </w:r>
          </w:p>
        </w:tc>
        <w:tc>
          <w:tcPr>
            <w:tcW w:w="1754" w:type="dxa"/>
            <w:shd w:val="clear" w:color="auto" w:fill="C6EFCE"/>
            <w:noWrap/>
          </w:tcPr>
          <w:p w14:paraId="1216C219" w14:textId="77777777" w:rsidR="003C4798" w:rsidRDefault="003C4798">
            <w:pPr>
              <w:spacing w:after="0" w:line="240" w:lineRule="auto"/>
              <w:rPr>
                <w:rFonts w:ascii="Times New Roman" w:eastAsia="Times New Roman" w:hAnsi="Times New Roman" w:cs="Times New Roman"/>
                <w:noProof/>
                <w:sz w:val="18"/>
                <w:szCs w:val="18"/>
              </w:rPr>
            </w:pPr>
          </w:p>
        </w:tc>
        <w:tc>
          <w:tcPr>
            <w:tcW w:w="1027" w:type="dxa"/>
            <w:shd w:val="clear" w:color="auto" w:fill="C6EFCE"/>
            <w:noWrap/>
          </w:tcPr>
          <w:p w14:paraId="1216C21A" w14:textId="77777777" w:rsidR="003C4798" w:rsidRDefault="00417595">
            <w:pPr>
              <w:pStyle w:val="P68B1DB1-Normal22"/>
              <w:spacing w:after="0" w:line="240" w:lineRule="auto"/>
              <w:jc w:val="center"/>
              <w:rPr>
                <w:rFonts w:eastAsia="Times New Roman"/>
                <w:noProof/>
              </w:rPr>
            </w:pPr>
            <w:r>
              <w:rPr>
                <w:noProof/>
              </w:rPr>
              <w:t>Numéro</w:t>
            </w:r>
          </w:p>
        </w:tc>
        <w:tc>
          <w:tcPr>
            <w:tcW w:w="957" w:type="dxa"/>
            <w:shd w:val="clear" w:color="auto" w:fill="C6EFCE"/>
            <w:noWrap/>
          </w:tcPr>
          <w:p w14:paraId="1216C21B" w14:textId="77777777" w:rsidR="003C4798" w:rsidRDefault="00417595">
            <w:pPr>
              <w:pStyle w:val="P68B1DB1-Normal22"/>
              <w:spacing w:after="0" w:line="240" w:lineRule="auto"/>
              <w:jc w:val="center"/>
              <w:rPr>
                <w:rFonts w:eastAsia="Times New Roman"/>
                <w:noProof/>
              </w:rPr>
            </w:pPr>
            <w:r>
              <w:rPr>
                <w:noProof/>
              </w:rPr>
              <w:t>0</w:t>
            </w:r>
          </w:p>
        </w:tc>
        <w:tc>
          <w:tcPr>
            <w:tcW w:w="851" w:type="dxa"/>
            <w:shd w:val="clear" w:color="auto" w:fill="C6EFCE"/>
            <w:noWrap/>
          </w:tcPr>
          <w:p w14:paraId="1216C21C" w14:textId="77777777" w:rsidR="003C4798" w:rsidRDefault="00417595">
            <w:pPr>
              <w:pStyle w:val="P68B1DB1-Normal22"/>
              <w:spacing w:after="0" w:line="240" w:lineRule="auto"/>
              <w:jc w:val="center"/>
              <w:rPr>
                <w:rFonts w:eastAsia="Times New Roman"/>
                <w:noProof/>
              </w:rPr>
            </w:pPr>
            <w:r>
              <w:rPr>
                <w:noProof/>
              </w:rPr>
              <w:t>20</w:t>
            </w:r>
          </w:p>
        </w:tc>
        <w:tc>
          <w:tcPr>
            <w:tcW w:w="992" w:type="dxa"/>
            <w:shd w:val="clear" w:color="auto" w:fill="C6EFCE"/>
            <w:noWrap/>
          </w:tcPr>
          <w:p w14:paraId="1216C21D" w14:textId="77777777" w:rsidR="003C4798" w:rsidRDefault="00417595">
            <w:pPr>
              <w:pStyle w:val="P68B1DB1-Normal22"/>
              <w:spacing w:after="0" w:line="240" w:lineRule="auto"/>
              <w:jc w:val="center"/>
              <w:rPr>
                <w:rFonts w:eastAsia="Times New Roman"/>
                <w:noProof/>
              </w:rPr>
            </w:pPr>
            <w:r>
              <w:rPr>
                <w:noProof/>
              </w:rPr>
              <w:t>T4</w:t>
            </w:r>
          </w:p>
        </w:tc>
        <w:tc>
          <w:tcPr>
            <w:tcW w:w="709" w:type="dxa"/>
            <w:shd w:val="clear" w:color="auto" w:fill="C6EFCE"/>
            <w:noWrap/>
          </w:tcPr>
          <w:p w14:paraId="1216C21E" w14:textId="77777777" w:rsidR="003C4798" w:rsidRDefault="00417595">
            <w:pPr>
              <w:pStyle w:val="P68B1DB1-Normal22"/>
              <w:spacing w:after="0" w:line="240" w:lineRule="auto"/>
              <w:jc w:val="center"/>
              <w:rPr>
                <w:rFonts w:eastAsia="Times New Roman"/>
                <w:noProof/>
              </w:rPr>
            </w:pPr>
            <w:r>
              <w:rPr>
                <w:noProof/>
              </w:rPr>
              <w:t>2025</w:t>
            </w:r>
          </w:p>
        </w:tc>
        <w:tc>
          <w:tcPr>
            <w:tcW w:w="3685" w:type="dxa"/>
            <w:shd w:val="clear" w:color="auto" w:fill="C6EFCE"/>
            <w:noWrap/>
          </w:tcPr>
          <w:p w14:paraId="1216C21F" w14:textId="254C1930" w:rsidR="003C4798" w:rsidRDefault="00417595">
            <w:pPr>
              <w:pStyle w:val="P68B1DB1-Normal22"/>
              <w:spacing w:after="0" w:line="240" w:lineRule="auto"/>
              <w:rPr>
                <w:rFonts w:eastAsia="Times New Roman"/>
                <w:noProof/>
              </w:rPr>
            </w:pPr>
            <w:r>
              <w:rPr>
                <w:noProof/>
              </w:rPr>
              <w:t>Nombre de conventions de subvention signées avec les bénéficiaires au titre de la partie «investissement».</w:t>
            </w:r>
          </w:p>
        </w:tc>
      </w:tr>
      <w:tr w:rsidR="003C4798" w14:paraId="1216C238" w14:textId="77777777" w:rsidTr="00DA6ACB">
        <w:trPr>
          <w:trHeight w:val="309"/>
          <w:jc w:val="center"/>
        </w:trPr>
        <w:tc>
          <w:tcPr>
            <w:tcW w:w="988" w:type="dxa"/>
            <w:shd w:val="clear" w:color="auto" w:fill="C6EFCE"/>
            <w:noWrap/>
          </w:tcPr>
          <w:p w14:paraId="1216C22D" w14:textId="77777777" w:rsidR="003C4798" w:rsidRDefault="00417595">
            <w:pPr>
              <w:pStyle w:val="P68B1DB1-Normal22"/>
              <w:spacing w:after="0" w:line="240" w:lineRule="auto"/>
              <w:jc w:val="center"/>
              <w:rPr>
                <w:rFonts w:eastAsia="Times New Roman"/>
                <w:noProof/>
              </w:rPr>
            </w:pPr>
            <w:r>
              <w:rPr>
                <w:noProof/>
              </w:rPr>
              <w:t>G6G</w:t>
            </w:r>
          </w:p>
        </w:tc>
        <w:tc>
          <w:tcPr>
            <w:tcW w:w="1393" w:type="dxa"/>
            <w:shd w:val="clear" w:color="auto" w:fill="C6EFCE"/>
            <w:noWrap/>
          </w:tcPr>
          <w:p w14:paraId="1216C22E" w14:textId="77777777" w:rsidR="003C4798" w:rsidRDefault="00417595">
            <w:pPr>
              <w:pStyle w:val="P68B1DB1-Normal22"/>
              <w:spacing w:after="0" w:line="240" w:lineRule="auto"/>
              <w:rPr>
                <w:noProof/>
              </w:rPr>
            </w:pPr>
            <w:r>
              <w:rPr>
                <w:noProof/>
              </w:rPr>
              <w:t>G1.1.3 Systèmes de stockage d'énergie (soutien non remboursable)</w:t>
            </w:r>
          </w:p>
        </w:tc>
        <w:tc>
          <w:tcPr>
            <w:tcW w:w="1158" w:type="dxa"/>
            <w:shd w:val="clear" w:color="auto" w:fill="C6EFCE"/>
            <w:noWrap/>
          </w:tcPr>
          <w:p w14:paraId="1216C22F" w14:textId="77777777" w:rsidR="003C4798" w:rsidRDefault="00417595">
            <w:pPr>
              <w:pStyle w:val="P68B1DB1-Normal22"/>
              <w:spacing w:after="0" w:line="240" w:lineRule="auto"/>
              <w:jc w:val="center"/>
              <w:rPr>
                <w:rFonts w:eastAsia="Times New Roman"/>
                <w:noProof/>
              </w:rPr>
            </w:pPr>
            <w:r>
              <w:rPr>
                <w:noProof/>
              </w:rPr>
              <w:t>Étape</w:t>
            </w:r>
          </w:p>
        </w:tc>
        <w:tc>
          <w:tcPr>
            <w:tcW w:w="1790" w:type="dxa"/>
            <w:shd w:val="clear" w:color="auto" w:fill="C6EFCE"/>
            <w:noWrap/>
          </w:tcPr>
          <w:p w14:paraId="1216C230" w14:textId="77777777" w:rsidR="003C4798" w:rsidRDefault="00417595">
            <w:pPr>
              <w:pStyle w:val="P68B1DB1-Normal22"/>
              <w:spacing w:after="0" w:line="240" w:lineRule="auto"/>
              <w:rPr>
                <w:noProof/>
              </w:rPr>
            </w:pPr>
            <w:r>
              <w:rPr>
                <w:noProof/>
              </w:rPr>
              <w:t>Installation d’un ou de plusieurs systèmes de stockage d’énergie par batterie (BESS) et d’un ou de plusieurs câbles haute tension</w:t>
            </w:r>
          </w:p>
        </w:tc>
        <w:tc>
          <w:tcPr>
            <w:tcW w:w="1754" w:type="dxa"/>
            <w:shd w:val="clear" w:color="auto" w:fill="C6EFCE"/>
            <w:noWrap/>
          </w:tcPr>
          <w:p w14:paraId="1216C231" w14:textId="77777777" w:rsidR="003C4798" w:rsidRDefault="00417595">
            <w:pPr>
              <w:pStyle w:val="P68B1DB1-Normal22"/>
              <w:spacing w:after="0" w:line="240" w:lineRule="auto"/>
              <w:rPr>
                <w:noProof/>
              </w:rPr>
            </w:pPr>
            <w:r>
              <w:rPr>
                <w:noProof/>
              </w:rPr>
              <w:t xml:space="preserve">Protocoles de réception des installations </w:t>
            </w:r>
          </w:p>
        </w:tc>
        <w:tc>
          <w:tcPr>
            <w:tcW w:w="1027" w:type="dxa"/>
            <w:shd w:val="clear" w:color="auto" w:fill="C6EFCE"/>
            <w:noWrap/>
          </w:tcPr>
          <w:p w14:paraId="1216C232"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57" w:type="dxa"/>
            <w:shd w:val="clear" w:color="auto" w:fill="C6EFCE"/>
            <w:noWrap/>
          </w:tcPr>
          <w:p w14:paraId="1216C233"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234"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235" w14:textId="77777777" w:rsidR="003C4798" w:rsidRDefault="00417595">
            <w:pPr>
              <w:pStyle w:val="P68B1DB1-Normal22"/>
              <w:spacing w:after="0" w:line="240" w:lineRule="auto"/>
              <w:jc w:val="center"/>
              <w:rPr>
                <w:rFonts w:eastAsia="Times New Roman"/>
                <w:noProof/>
              </w:rPr>
            </w:pPr>
            <w:r>
              <w:rPr>
                <w:noProof/>
              </w:rPr>
              <w:t>T3</w:t>
            </w:r>
          </w:p>
        </w:tc>
        <w:tc>
          <w:tcPr>
            <w:tcW w:w="709" w:type="dxa"/>
            <w:shd w:val="clear" w:color="auto" w:fill="C6EFCE"/>
            <w:noWrap/>
          </w:tcPr>
          <w:p w14:paraId="1216C236" w14:textId="77777777" w:rsidR="003C4798" w:rsidRDefault="00417595">
            <w:pPr>
              <w:pStyle w:val="P68B1DB1-Normal22"/>
              <w:spacing w:after="0" w:line="240" w:lineRule="auto"/>
              <w:jc w:val="center"/>
              <w:rPr>
                <w:rFonts w:eastAsia="Times New Roman"/>
                <w:noProof/>
              </w:rPr>
            </w:pPr>
            <w:r>
              <w:rPr>
                <w:noProof/>
              </w:rPr>
              <w:t>2026</w:t>
            </w:r>
          </w:p>
        </w:tc>
        <w:tc>
          <w:tcPr>
            <w:tcW w:w="3685" w:type="dxa"/>
            <w:shd w:val="clear" w:color="auto" w:fill="C6EFCE"/>
            <w:noWrap/>
          </w:tcPr>
          <w:p w14:paraId="1216C237" w14:textId="736AA328" w:rsidR="003C4798" w:rsidRDefault="00417595">
            <w:pPr>
              <w:pStyle w:val="P68B1DB1-Normal22"/>
              <w:spacing w:after="0" w:line="240" w:lineRule="auto"/>
              <w:rPr>
                <w:rFonts w:eastAsia="Times New Roman"/>
                <w:noProof/>
              </w:rPr>
            </w:pPr>
            <w:r>
              <w:rPr>
                <w:noProof/>
              </w:rPr>
              <w:t>Protocoles de réception pour l’installation d’un ou de plusieurs systèmes de stockage d’énergie par batterie d’une capacité combinée d’au moins 1</w:t>
            </w:r>
            <w:r>
              <w:rPr>
                <w:noProof/>
                <w:color w:val="000000" w:themeColor="text1"/>
              </w:rPr>
              <w:t> </w:t>
            </w:r>
            <w:r>
              <w:rPr>
                <w:noProof/>
              </w:rPr>
              <w:t xml:space="preserve">800 MWh, et pour l’installation d’un ou de plusieurs câbles haute tension. </w:t>
            </w:r>
          </w:p>
        </w:tc>
      </w:tr>
      <w:tr w:rsidR="003C4798" w14:paraId="1216C244" w14:textId="77777777" w:rsidTr="00DA6ACB">
        <w:trPr>
          <w:trHeight w:val="309"/>
          <w:jc w:val="center"/>
        </w:trPr>
        <w:tc>
          <w:tcPr>
            <w:tcW w:w="988" w:type="dxa"/>
            <w:shd w:val="clear" w:color="auto" w:fill="C6EFCE"/>
            <w:noWrap/>
          </w:tcPr>
          <w:p w14:paraId="1216C239" w14:textId="77777777" w:rsidR="003C4798" w:rsidRDefault="00417595">
            <w:pPr>
              <w:pStyle w:val="P68B1DB1-Normal22"/>
              <w:spacing w:after="0" w:line="240" w:lineRule="auto"/>
              <w:jc w:val="center"/>
              <w:rPr>
                <w:rFonts w:eastAsia="Times New Roman"/>
                <w:noProof/>
              </w:rPr>
            </w:pPr>
            <w:r>
              <w:rPr>
                <w:noProof/>
              </w:rPr>
              <w:t>G7G</w:t>
            </w:r>
          </w:p>
        </w:tc>
        <w:tc>
          <w:tcPr>
            <w:tcW w:w="1393" w:type="dxa"/>
            <w:shd w:val="clear" w:color="auto" w:fill="C6EFCE"/>
            <w:noWrap/>
          </w:tcPr>
          <w:p w14:paraId="1216C23A" w14:textId="77777777" w:rsidR="003C4798" w:rsidRDefault="00417595">
            <w:pPr>
              <w:pStyle w:val="P68B1DB1-Normal22"/>
              <w:spacing w:after="0" w:line="240" w:lineRule="auto"/>
              <w:rPr>
                <w:rFonts w:eastAsia="Times New Roman"/>
                <w:noProof/>
              </w:rPr>
            </w:pPr>
            <w:r>
              <w:rPr>
                <w:noProof/>
              </w:rPr>
              <w:t>G1.1.4 Soutien aux institutions mettant en œuvre les réformes et les investissements REPowerEU</w:t>
            </w:r>
          </w:p>
        </w:tc>
        <w:tc>
          <w:tcPr>
            <w:tcW w:w="1158" w:type="dxa"/>
            <w:shd w:val="clear" w:color="auto" w:fill="C6EFCE"/>
            <w:noWrap/>
          </w:tcPr>
          <w:p w14:paraId="1216C23B" w14:textId="77777777" w:rsidR="003C4798" w:rsidRDefault="00417595">
            <w:pPr>
              <w:pStyle w:val="P68B1DB1-Normal22"/>
              <w:spacing w:after="0" w:line="240" w:lineRule="auto"/>
              <w:jc w:val="center"/>
              <w:rPr>
                <w:rFonts w:eastAsia="Times New Roman"/>
                <w:noProof/>
              </w:rPr>
            </w:pPr>
            <w:r>
              <w:rPr>
                <w:noProof/>
              </w:rPr>
              <w:t>Objectif</w:t>
            </w:r>
          </w:p>
        </w:tc>
        <w:tc>
          <w:tcPr>
            <w:tcW w:w="1790" w:type="dxa"/>
            <w:shd w:val="clear" w:color="auto" w:fill="C6EFCE"/>
            <w:noWrap/>
          </w:tcPr>
          <w:p w14:paraId="1216C23C" w14:textId="77777777" w:rsidR="003C4798" w:rsidRDefault="00417595">
            <w:pPr>
              <w:pStyle w:val="P68B1DB1-Normal22"/>
              <w:spacing w:after="0" w:line="240" w:lineRule="auto"/>
              <w:rPr>
                <w:rFonts w:eastAsia="Times New Roman"/>
                <w:noProof/>
              </w:rPr>
            </w:pPr>
            <w:r>
              <w:rPr>
                <w:noProof/>
              </w:rPr>
              <w:t>Renforcement de la capacité administrative à mettre en œuvre les réformes et les investissements REPowerEU</w:t>
            </w:r>
          </w:p>
        </w:tc>
        <w:tc>
          <w:tcPr>
            <w:tcW w:w="1754" w:type="dxa"/>
            <w:shd w:val="clear" w:color="auto" w:fill="C6EFCE"/>
            <w:noWrap/>
          </w:tcPr>
          <w:p w14:paraId="1216C23D" w14:textId="77777777" w:rsidR="003C4798" w:rsidRDefault="003C4798">
            <w:pPr>
              <w:spacing w:after="0" w:line="240" w:lineRule="auto"/>
              <w:rPr>
                <w:rFonts w:ascii="Times New Roman" w:hAnsi="Times New Roman" w:cs="Times New Roman"/>
                <w:noProof/>
                <w:sz w:val="18"/>
                <w:szCs w:val="18"/>
              </w:rPr>
            </w:pPr>
          </w:p>
        </w:tc>
        <w:tc>
          <w:tcPr>
            <w:tcW w:w="1027" w:type="dxa"/>
            <w:shd w:val="clear" w:color="auto" w:fill="C6EFCE"/>
            <w:noWrap/>
          </w:tcPr>
          <w:p w14:paraId="1216C23E" w14:textId="77777777" w:rsidR="003C4798" w:rsidRDefault="00417595">
            <w:pPr>
              <w:pStyle w:val="P68B1DB1-Normal22"/>
              <w:spacing w:after="0" w:line="240" w:lineRule="auto"/>
              <w:jc w:val="center"/>
              <w:rPr>
                <w:rFonts w:eastAsia="Times New Roman"/>
                <w:noProof/>
              </w:rPr>
            </w:pPr>
            <w:r>
              <w:rPr>
                <w:noProof/>
              </w:rPr>
              <w:t>Numéro</w:t>
            </w:r>
          </w:p>
        </w:tc>
        <w:tc>
          <w:tcPr>
            <w:tcW w:w="957" w:type="dxa"/>
            <w:shd w:val="clear" w:color="auto" w:fill="C6EFCE"/>
            <w:noWrap/>
          </w:tcPr>
          <w:p w14:paraId="1216C23F" w14:textId="77777777" w:rsidR="003C4798" w:rsidRDefault="00417595">
            <w:pPr>
              <w:pStyle w:val="P68B1DB1-Normal22"/>
              <w:spacing w:after="0" w:line="240" w:lineRule="auto"/>
              <w:jc w:val="center"/>
              <w:rPr>
                <w:rFonts w:eastAsia="Times New Roman"/>
                <w:noProof/>
              </w:rPr>
            </w:pPr>
            <w:r>
              <w:rPr>
                <w:noProof/>
              </w:rPr>
              <w:t>0</w:t>
            </w:r>
          </w:p>
        </w:tc>
        <w:tc>
          <w:tcPr>
            <w:tcW w:w="851" w:type="dxa"/>
            <w:shd w:val="clear" w:color="auto" w:fill="C6EFCE"/>
            <w:noWrap/>
          </w:tcPr>
          <w:p w14:paraId="1216C240" w14:textId="77777777" w:rsidR="003C4798" w:rsidRDefault="00417595">
            <w:pPr>
              <w:pStyle w:val="P68B1DB1-Normal22"/>
              <w:spacing w:after="0" w:line="240" w:lineRule="auto"/>
              <w:jc w:val="center"/>
              <w:rPr>
                <w:rFonts w:eastAsia="Times New Roman"/>
                <w:noProof/>
              </w:rPr>
            </w:pPr>
            <w:r>
              <w:rPr>
                <w:noProof/>
              </w:rPr>
              <w:t>106</w:t>
            </w:r>
          </w:p>
        </w:tc>
        <w:tc>
          <w:tcPr>
            <w:tcW w:w="992" w:type="dxa"/>
            <w:shd w:val="clear" w:color="auto" w:fill="C6EFCE"/>
            <w:noWrap/>
          </w:tcPr>
          <w:p w14:paraId="1216C241" w14:textId="77777777" w:rsidR="003C4798" w:rsidRDefault="00417595">
            <w:pPr>
              <w:pStyle w:val="P68B1DB1-Normal22"/>
              <w:spacing w:after="0" w:line="240" w:lineRule="auto"/>
              <w:jc w:val="center"/>
              <w:rPr>
                <w:rFonts w:eastAsia="Times New Roman"/>
                <w:noProof/>
              </w:rPr>
            </w:pPr>
            <w:r>
              <w:rPr>
                <w:noProof/>
              </w:rPr>
              <w:t>T4</w:t>
            </w:r>
          </w:p>
        </w:tc>
        <w:tc>
          <w:tcPr>
            <w:tcW w:w="709" w:type="dxa"/>
            <w:shd w:val="clear" w:color="auto" w:fill="C6EFCE"/>
            <w:noWrap/>
          </w:tcPr>
          <w:p w14:paraId="1216C242" w14:textId="77777777" w:rsidR="003C4798" w:rsidRDefault="00417595">
            <w:pPr>
              <w:pStyle w:val="P68B1DB1-Normal22"/>
              <w:spacing w:after="0" w:line="240" w:lineRule="auto"/>
              <w:jc w:val="center"/>
              <w:rPr>
                <w:rFonts w:eastAsia="Times New Roman"/>
                <w:noProof/>
              </w:rPr>
            </w:pPr>
            <w:r>
              <w:rPr>
                <w:noProof/>
              </w:rPr>
              <w:t>2024</w:t>
            </w:r>
          </w:p>
        </w:tc>
        <w:tc>
          <w:tcPr>
            <w:tcW w:w="3685" w:type="dxa"/>
            <w:shd w:val="clear" w:color="auto" w:fill="C6EFCE"/>
            <w:noWrap/>
          </w:tcPr>
          <w:p w14:paraId="1216C243" w14:textId="36109843" w:rsidR="003C4798" w:rsidRDefault="00417595">
            <w:pPr>
              <w:pStyle w:val="P68B1DB1-Normal22"/>
              <w:spacing w:after="0" w:line="240" w:lineRule="auto"/>
              <w:jc w:val="both"/>
              <w:rPr>
                <w:rFonts w:eastAsia="Times New Roman"/>
                <w:noProof/>
              </w:rPr>
            </w:pPr>
            <w:r>
              <w:rPr>
                <w:noProof/>
                <w:color w:val="000000"/>
              </w:rPr>
              <w:t xml:space="preserve">Au moins 106 nouveaux postes ont été créés dans l’administration, avec des tâches assignées, y compris </w:t>
            </w:r>
            <w:r>
              <w:rPr>
                <w:noProof/>
              </w:rPr>
              <w:t>des travaux sur les réformes et les investissements REPowerEU.</w:t>
            </w:r>
          </w:p>
        </w:tc>
      </w:tr>
      <w:tr w:rsidR="003C4798" w14:paraId="1216C250" w14:textId="77777777" w:rsidTr="00DA6ACB">
        <w:trPr>
          <w:trHeight w:val="309"/>
          <w:jc w:val="center"/>
        </w:trPr>
        <w:tc>
          <w:tcPr>
            <w:tcW w:w="988" w:type="dxa"/>
            <w:shd w:val="clear" w:color="auto" w:fill="C6EFCE"/>
            <w:noWrap/>
          </w:tcPr>
          <w:p w14:paraId="1216C245" w14:textId="77777777" w:rsidR="003C4798" w:rsidRDefault="00417595">
            <w:pPr>
              <w:pStyle w:val="P68B1DB1-Normal22"/>
              <w:spacing w:after="0" w:line="240" w:lineRule="auto"/>
              <w:jc w:val="center"/>
              <w:rPr>
                <w:rFonts w:eastAsia="Times New Roman"/>
                <w:noProof/>
              </w:rPr>
            </w:pPr>
            <w:r>
              <w:rPr>
                <w:noProof/>
              </w:rPr>
              <w:t>G8G</w:t>
            </w:r>
          </w:p>
        </w:tc>
        <w:tc>
          <w:tcPr>
            <w:tcW w:w="1393" w:type="dxa"/>
            <w:shd w:val="clear" w:color="auto" w:fill="C6EFCE"/>
            <w:noWrap/>
          </w:tcPr>
          <w:p w14:paraId="1216C246" w14:textId="77777777" w:rsidR="003C4798" w:rsidRDefault="00417595">
            <w:pPr>
              <w:pStyle w:val="P68B1DB1-Normal22"/>
              <w:spacing w:after="0" w:line="240" w:lineRule="auto"/>
              <w:rPr>
                <w:rFonts w:eastAsia="Times New Roman"/>
                <w:noProof/>
              </w:rPr>
            </w:pPr>
            <w:r>
              <w:rPr>
                <w:noProof/>
              </w:rPr>
              <w:t>G1.1.4 Soutien aux institutions mettant en œuvre les réformes et les investissements REPowerEU</w:t>
            </w:r>
          </w:p>
        </w:tc>
        <w:tc>
          <w:tcPr>
            <w:tcW w:w="1158" w:type="dxa"/>
            <w:shd w:val="clear" w:color="auto" w:fill="C6EFCE"/>
            <w:noWrap/>
          </w:tcPr>
          <w:p w14:paraId="1216C247" w14:textId="77777777" w:rsidR="003C4798" w:rsidRDefault="00417595">
            <w:pPr>
              <w:pStyle w:val="P68B1DB1-Normal22"/>
              <w:spacing w:after="0" w:line="240" w:lineRule="auto"/>
              <w:jc w:val="center"/>
              <w:rPr>
                <w:rFonts w:eastAsia="Times New Roman"/>
                <w:noProof/>
              </w:rPr>
            </w:pPr>
            <w:r>
              <w:rPr>
                <w:noProof/>
              </w:rPr>
              <w:t>Objectif</w:t>
            </w:r>
          </w:p>
        </w:tc>
        <w:tc>
          <w:tcPr>
            <w:tcW w:w="1790" w:type="dxa"/>
            <w:shd w:val="clear" w:color="auto" w:fill="C6EFCE"/>
            <w:noWrap/>
          </w:tcPr>
          <w:p w14:paraId="1216C248" w14:textId="36B7D75C" w:rsidR="003C4798" w:rsidRDefault="00417595">
            <w:pPr>
              <w:pStyle w:val="P68B1DB1-Normal22"/>
              <w:spacing w:after="0" w:line="240" w:lineRule="auto"/>
              <w:rPr>
                <w:rFonts w:eastAsia="Times New Roman"/>
                <w:noProof/>
              </w:rPr>
            </w:pPr>
            <w:r>
              <w:rPr>
                <w:noProof/>
              </w:rPr>
              <w:t>ONG réalisant des projets de renforcement des capacités</w:t>
            </w:r>
          </w:p>
        </w:tc>
        <w:tc>
          <w:tcPr>
            <w:tcW w:w="1754" w:type="dxa"/>
            <w:shd w:val="clear" w:color="auto" w:fill="C6EFCE"/>
            <w:noWrap/>
          </w:tcPr>
          <w:p w14:paraId="1216C249" w14:textId="77777777" w:rsidR="003C4798" w:rsidRDefault="003C4798">
            <w:pPr>
              <w:spacing w:after="0" w:line="240" w:lineRule="auto"/>
              <w:rPr>
                <w:rFonts w:ascii="Times New Roman" w:eastAsia="Times New Roman" w:hAnsi="Times New Roman" w:cs="Times New Roman"/>
                <w:noProof/>
                <w:sz w:val="18"/>
                <w:szCs w:val="18"/>
              </w:rPr>
            </w:pPr>
          </w:p>
        </w:tc>
        <w:tc>
          <w:tcPr>
            <w:tcW w:w="1027" w:type="dxa"/>
            <w:shd w:val="clear" w:color="auto" w:fill="C6EFCE"/>
            <w:noWrap/>
          </w:tcPr>
          <w:p w14:paraId="1216C24A" w14:textId="77777777" w:rsidR="003C4798" w:rsidRDefault="00417595">
            <w:pPr>
              <w:pStyle w:val="P68B1DB1-Normal22"/>
              <w:spacing w:after="0" w:line="240" w:lineRule="auto"/>
              <w:jc w:val="center"/>
              <w:rPr>
                <w:rFonts w:eastAsia="Times New Roman"/>
                <w:noProof/>
              </w:rPr>
            </w:pPr>
            <w:r>
              <w:rPr>
                <w:noProof/>
              </w:rPr>
              <w:t>Numéro</w:t>
            </w:r>
          </w:p>
        </w:tc>
        <w:tc>
          <w:tcPr>
            <w:tcW w:w="957" w:type="dxa"/>
            <w:shd w:val="clear" w:color="auto" w:fill="C6EFCE"/>
            <w:noWrap/>
          </w:tcPr>
          <w:p w14:paraId="1216C24B" w14:textId="77777777" w:rsidR="003C4798" w:rsidRDefault="00417595">
            <w:pPr>
              <w:pStyle w:val="P68B1DB1-Normal22"/>
              <w:spacing w:after="0" w:line="240" w:lineRule="auto"/>
              <w:jc w:val="center"/>
              <w:rPr>
                <w:rFonts w:eastAsia="Times New Roman"/>
                <w:noProof/>
              </w:rPr>
            </w:pPr>
            <w:r>
              <w:rPr>
                <w:noProof/>
              </w:rPr>
              <w:t>0</w:t>
            </w:r>
          </w:p>
        </w:tc>
        <w:tc>
          <w:tcPr>
            <w:tcW w:w="851" w:type="dxa"/>
            <w:shd w:val="clear" w:color="auto" w:fill="C6EFCE"/>
            <w:noWrap/>
          </w:tcPr>
          <w:p w14:paraId="1216C24C" w14:textId="77777777" w:rsidR="003C4798" w:rsidRDefault="00417595">
            <w:pPr>
              <w:pStyle w:val="P68B1DB1-Normal22"/>
              <w:spacing w:after="0" w:line="240" w:lineRule="auto"/>
              <w:jc w:val="center"/>
              <w:rPr>
                <w:rFonts w:eastAsia="Times New Roman"/>
                <w:noProof/>
              </w:rPr>
            </w:pPr>
            <w:r>
              <w:rPr>
                <w:noProof/>
              </w:rPr>
              <w:t>15</w:t>
            </w:r>
          </w:p>
        </w:tc>
        <w:tc>
          <w:tcPr>
            <w:tcW w:w="992" w:type="dxa"/>
            <w:shd w:val="clear" w:color="auto" w:fill="C6EFCE"/>
            <w:noWrap/>
          </w:tcPr>
          <w:p w14:paraId="1216C24D" w14:textId="77777777" w:rsidR="003C4798" w:rsidRDefault="00417595">
            <w:pPr>
              <w:pStyle w:val="P68B1DB1-Normal22"/>
              <w:spacing w:after="0" w:line="240" w:lineRule="auto"/>
              <w:jc w:val="center"/>
              <w:rPr>
                <w:rFonts w:eastAsia="Times New Roman"/>
                <w:noProof/>
              </w:rPr>
            </w:pPr>
            <w:r>
              <w:rPr>
                <w:noProof/>
              </w:rPr>
              <w:t>T4</w:t>
            </w:r>
          </w:p>
        </w:tc>
        <w:tc>
          <w:tcPr>
            <w:tcW w:w="709" w:type="dxa"/>
            <w:shd w:val="clear" w:color="auto" w:fill="C6EFCE"/>
            <w:noWrap/>
          </w:tcPr>
          <w:p w14:paraId="1216C24E" w14:textId="77777777" w:rsidR="003C4798" w:rsidRDefault="00417595">
            <w:pPr>
              <w:pStyle w:val="P68B1DB1-Normal22"/>
              <w:spacing w:after="0" w:line="240" w:lineRule="auto"/>
              <w:jc w:val="center"/>
              <w:rPr>
                <w:rFonts w:eastAsia="Times New Roman"/>
                <w:noProof/>
              </w:rPr>
            </w:pPr>
            <w:r>
              <w:rPr>
                <w:noProof/>
              </w:rPr>
              <w:t>2025</w:t>
            </w:r>
          </w:p>
        </w:tc>
        <w:tc>
          <w:tcPr>
            <w:tcW w:w="3685" w:type="dxa"/>
            <w:shd w:val="clear" w:color="auto" w:fill="C6EFCE"/>
            <w:noWrap/>
          </w:tcPr>
          <w:p w14:paraId="1216C24F" w14:textId="7F37609D" w:rsidR="003C4798" w:rsidRDefault="00417595">
            <w:pPr>
              <w:pStyle w:val="P68B1DB1-Normal22"/>
              <w:spacing w:after="0" w:line="240" w:lineRule="auto"/>
              <w:rPr>
                <w:rFonts w:eastAsia="Times New Roman"/>
                <w:noProof/>
              </w:rPr>
            </w:pPr>
            <w:r>
              <w:rPr>
                <w:noProof/>
              </w:rPr>
              <w:t>Au moins 15 ONG reçoivent un soutien financier pour mener à bien des projets de renforcement des capacités à l’appui des réformes et des investissements REPowerEU.</w:t>
            </w:r>
          </w:p>
        </w:tc>
      </w:tr>
      <w:tr w:rsidR="003C4798" w14:paraId="1216C25C" w14:textId="77777777" w:rsidTr="00DA6ACB">
        <w:trPr>
          <w:trHeight w:val="309"/>
          <w:jc w:val="center"/>
        </w:trPr>
        <w:tc>
          <w:tcPr>
            <w:tcW w:w="988" w:type="dxa"/>
            <w:shd w:val="clear" w:color="auto" w:fill="C6EFCE"/>
            <w:noWrap/>
          </w:tcPr>
          <w:p w14:paraId="1216C251" w14:textId="77777777" w:rsidR="003C4798" w:rsidRDefault="00417595">
            <w:pPr>
              <w:pStyle w:val="P68B1DB1-Normal22"/>
              <w:spacing w:after="0" w:line="240" w:lineRule="auto"/>
              <w:jc w:val="center"/>
              <w:rPr>
                <w:rFonts w:eastAsia="Times New Roman"/>
                <w:noProof/>
              </w:rPr>
            </w:pPr>
            <w:r>
              <w:rPr>
                <w:noProof/>
              </w:rPr>
              <w:t>G11G</w:t>
            </w:r>
          </w:p>
        </w:tc>
        <w:tc>
          <w:tcPr>
            <w:tcW w:w="1393" w:type="dxa"/>
            <w:shd w:val="clear" w:color="auto" w:fill="C6EFCE"/>
            <w:noWrap/>
          </w:tcPr>
          <w:p w14:paraId="1216C252" w14:textId="77777777" w:rsidR="003C4798" w:rsidRDefault="00417595">
            <w:pPr>
              <w:pStyle w:val="P68B1DB1-Normal22"/>
              <w:spacing w:after="0" w:line="240" w:lineRule="auto"/>
              <w:rPr>
                <w:rFonts w:eastAsia="Times New Roman"/>
                <w:noProof/>
              </w:rPr>
            </w:pPr>
            <w:r>
              <w:rPr>
                <w:noProof/>
              </w:rPr>
              <w:t>G1.1.4 Soutien aux institutions mettant en œuvre les réformes et les investissements REPowerEU</w:t>
            </w:r>
          </w:p>
        </w:tc>
        <w:tc>
          <w:tcPr>
            <w:tcW w:w="1158" w:type="dxa"/>
            <w:shd w:val="clear" w:color="auto" w:fill="C6EFCE"/>
            <w:noWrap/>
          </w:tcPr>
          <w:p w14:paraId="1216C253" w14:textId="77777777" w:rsidR="003C4798" w:rsidRDefault="00417595">
            <w:pPr>
              <w:pStyle w:val="P68B1DB1-Normal22"/>
              <w:spacing w:after="0" w:line="240" w:lineRule="auto"/>
              <w:jc w:val="center"/>
              <w:rPr>
                <w:rFonts w:eastAsia="Times New Roman"/>
                <w:noProof/>
              </w:rPr>
            </w:pPr>
            <w:r>
              <w:rPr>
                <w:noProof/>
              </w:rPr>
              <w:t>Étape</w:t>
            </w:r>
          </w:p>
        </w:tc>
        <w:tc>
          <w:tcPr>
            <w:tcW w:w="1790" w:type="dxa"/>
            <w:shd w:val="clear" w:color="auto" w:fill="C6EFCE"/>
            <w:noWrap/>
          </w:tcPr>
          <w:p w14:paraId="1216C254" w14:textId="77777777" w:rsidR="003C4798" w:rsidRDefault="00417595">
            <w:pPr>
              <w:pStyle w:val="P68B1DB1-Normal22"/>
              <w:spacing w:after="0" w:line="240" w:lineRule="auto"/>
              <w:rPr>
                <w:rFonts w:eastAsia="Times New Roman"/>
                <w:noProof/>
              </w:rPr>
            </w:pPr>
            <w:r>
              <w:rPr>
                <w:noProof/>
              </w:rPr>
              <w:t>Outil informatique pour l’Office de régulation de l’énergie</w:t>
            </w:r>
          </w:p>
        </w:tc>
        <w:tc>
          <w:tcPr>
            <w:tcW w:w="1754" w:type="dxa"/>
            <w:shd w:val="clear" w:color="auto" w:fill="C6EFCE"/>
            <w:noWrap/>
          </w:tcPr>
          <w:p w14:paraId="1216C255" w14:textId="7FB0C049" w:rsidR="003C4798" w:rsidRDefault="00417595">
            <w:pPr>
              <w:pStyle w:val="P68B1DB1-Normal22"/>
              <w:spacing w:after="0" w:line="240" w:lineRule="auto"/>
              <w:rPr>
                <w:rFonts w:eastAsia="Times New Roman"/>
                <w:noProof/>
              </w:rPr>
            </w:pPr>
            <w:r>
              <w:rPr>
                <w:noProof/>
              </w:rPr>
              <w:t>Protocole d’acceptation confirmant la conclusion d’une phase de test d’un outil informatique pour l’Office de régulation de l’énergie</w:t>
            </w:r>
          </w:p>
        </w:tc>
        <w:tc>
          <w:tcPr>
            <w:tcW w:w="1027" w:type="dxa"/>
            <w:shd w:val="clear" w:color="auto" w:fill="C6EFCE"/>
            <w:noWrap/>
          </w:tcPr>
          <w:p w14:paraId="1216C256"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57" w:type="dxa"/>
            <w:shd w:val="clear" w:color="auto" w:fill="C6EFCE"/>
            <w:noWrap/>
          </w:tcPr>
          <w:p w14:paraId="1216C257"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258"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2" w:type="dxa"/>
            <w:shd w:val="clear" w:color="auto" w:fill="C6EFCE"/>
            <w:noWrap/>
          </w:tcPr>
          <w:p w14:paraId="1216C259" w14:textId="77777777" w:rsidR="003C4798" w:rsidRDefault="00417595">
            <w:pPr>
              <w:pStyle w:val="P68B1DB1-Normal22"/>
              <w:spacing w:after="0" w:line="240" w:lineRule="auto"/>
              <w:jc w:val="center"/>
              <w:rPr>
                <w:rFonts w:eastAsia="Times New Roman"/>
                <w:noProof/>
              </w:rPr>
            </w:pPr>
            <w:r>
              <w:rPr>
                <w:noProof/>
              </w:rPr>
              <w:t>T2</w:t>
            </w:r>
          </w:p>
        </w:tc>
        <w:tc>
          <w:tcPr>
            <w:tcW w:w="709" w:type="dxa"/>
            <w:shd w:val="clear" w:color="auto" w:fill="C6EFCE"/>
            <w:noWrap/>
          </w:tcPr>
          <w:p w14:paraId="1216C25A" w14:textId="77777777" w:rsidR="003C4798" w:rsidRDefault="00417595">
            <w:pPr>
              <w:pStyle w:val="P68B1DB1-Normal22"/>
              <w:spacing w:after="0" w:line="240" w:lineRule="auto"/>
              <w:jc w:val="center"/>
              <w:rPr>
                <w:rFonts w:eastAsia="Times New Roman"/>
                <w:noProof/>
              </w:rPr>
            </w:pPr>
            <w:r>
              <w:rPr>
                <w:noProof/>
              </w:rPr>
              <w:t>2026</w:t>
            </w:r>
          </w:p>
        </w:tc>
        <w:tc>
          <w:tcPr>
            <w:tcW w:w="3685" w:type="dxa"/>
            <w:shd w:val="clear" w:color="auto" w:fill="C6EFCE"/>
            <w:noWrap/>
          </w:tcPr>
          <w:p w14:paraId="1216C25B" w14:textId="7F71C16B" w:rsidR="003C4798" w:rsidRDefault="00417595">
            <w:pPr>
              <w:pStyle w:val="P68B1DB1-Normal22"/>
              <w:spacing w:after="0" w:line="240" w:lineRule="auto"/>
              <w:rPr>
                <w:rFonts w:eastAsia="Times New Roman"/>
                <w:noProof/>
              </w:rPr>
            </w:pPr>
            <w:r>
              <w:rPr>
                <w:noProof/>
              </w:rPr>
              <w:t>Conclusion d’une phase de test d’un outil informatique soutenant les activités de l’Office de régulation de l’énergie.</w:t>
            </w:r>
          </w:p>
        </w:tc>
      </w:tr>
    </w:tbl>
    <w:p w14:paraId="1216C25D" w14:textId="77777777" w:rsidR="003C4798" w:rsidRDefault="003C4798">
      <w:pPr>
        <w:spacing w:before="120" w:after="120" w:line="240" w:lineRule="auto"/>
        <w:jc w:val="both"/>
        <w:rPr>
          <w:rFonts w:ascii="Times New Roman" w:hAnsi="Times New Roman" w:cs="Times New Roman"/>
          <w:b/>
          <w:noProof/>
        </w:rPr>
      </w:pPr>
    </w:p>
    <w:p w14:paraId="1216C25E" w14:textId="77777777" w:rsidR="003C4798" w:rsidRDefault="00417595">
      <w:pPr>
        <w:pStyle w:val="P68B1DB1-Normal93"/>
        <w:pageBreakBefore/>
        <w:spacing w:before="120" w:after="120" w:line="240" w:lineRule="auto"/>
        <w:jc w:val="both"/>
        <w:rPr>
          <w:noProof/>
        </w:rPr>
      </w:pPr>
      <w:r>
        <w:rPr>
          <w:noProof/>
        </w:rPr>
        <w:t>Sous-composante G1.2 – Révision des réseaux électriques pour accélérer l’intégration des sources d’énergie renouvelables</w:t>
      </w:r>
    </w:p>
    <w:tbl>
      <w:tblPr>
        <w:tblW w:w="15304" w:type="dxa"/>
        <w:jc w:val="center"/>
        <w:tblLayout w:type="fixed"/>
        <w:tblLook w:val="04A0" w:firstRow="1" w:lastRow="0" w:firstColumn="1" w:lastColumn="0" w:noHBand="0" w:noVBand="1"/>
      </w:tblPr>
      <w:tblGrid>
        <w:gridCol w:w="846"/>
        <w:gridCol w:w="1559"/>
        <w:gridCol w:w="992"/>
        <w:gridCol w:w="1985"/>
        <w:gridCol w:w="1701"/>
        <w:gridCol w:w="992"/>
        <w:gridCol w:w="992"/>
        <w:gridCol w:w="709"/>
        <w:gridCol w:w="921"/>
        <w:gridCol w:w="922"/>
        <w:gridCol w:w="3685"/>
      </w:tblGrid>
      <w:tr w:rsidR="003C4798" w14:paraId="1216C267" w14:textId="77777777">
        <w:trPr>
          <w:trHeight w:val="752"/>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5F" w14:textId="77777777" w:rsidR="003C4798" w:rsidRDefault="00417595">
            <w:pPr>
              <w:pStyle w:val="P68B1DB1-Normal96"/>
              <w:spacing w:after="0" w:line="240" w:lineRule="auto"/>
              <w:jc w:val="center"/>
              <w:rPr>
                <w:rFonts w:eastAsia="Times New Roman" w:cs="Times New Roman"/>
                <w:noProof/>
                <w:szCs w:val="18"/>
              </w:rPr>
            </w:pPr>
            <w:r>
              <w:rPr>
                <w:noProof/>
              </w:rPr>
              <w:t>Seq. N°</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0" w14:textId="77777777" w:rsidR="003C4798" w:rsidRDefault="00417595">
            <w:pPr>
              <w:pStyle w:val="P68B1DB1-Normal88"/>
              <w:spacing w:after="0" w:line="240" w:lineRule="auto"/>
              <w:jc w:val="center"/>
              <w:rPr>
                <w:rFonts w:eastAsia="Times New Roman" w:cs="Times New Roman"/>
                <w:noProof/>
              </w:rPr>
            </w:pPr>
            <w:r>
              <w:rPr>
                <w:noProof/>
              </w:rPr>
              <w:t>Mesure connexe (réforme ou investissement)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1" w14:textId="77777777" w:rsidR="003C4798" w:rsidRDefault="00417595">
            <w:pPr>
              <w:pStyle w:val="P68B1DB1-Normal88"/>
              <w:spacing w:after="0" w:line="240" w:lineRule="auto"/>
              <w:jc w:val="center"/>
              <w:rPr>
                <w:rFonts w:eastAsia="Times New Roman" w:cs="Times New Roman"/>
                <w:noProof/>
              </w:rPr>
            </w:pPr>
            <w:r>
              <w:rPr>
                <w:noProof/>
              </w:rPr>
              <w:t>Étape/cible</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2" w14:textId="77777777" w:rsidR="003C4798" w:rsidRDefault="00417595">
            <w:pPr>
              <w:pStyle w:val="P68B1DB1-Normal88"/>
              <w:spacing w:after="0" w:line="240" w:lineRule="auto"/>
              <w:jc w:val="center"/>
              <w:rPr>
                <w:rFonts w:eastAsia="Times New Roman" w:cs="Times New Roman"/>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3" w14:textId="7E999B63" w:rsidR="003C4798" w:rsidRDefault="00417595">
            <w:pPr>
              <w:pStyle w:val="P68B1DB1-Normal88"/>
              <w:spacing w:after="0" w:line="240" w:lineRule="auto"/>
              <w:jc w:val="center"/>
              <w:rPr>
                <w:rFonts w:eastAsia="Times New Roman" w:cs="Times New Roman"/>
                <w:noProof/>
                <w:szCs w:val="18"/>
              </w:rPr>
            </w:pPr>
            <w:r>
              <w:rPr>
                <w:noProof/>
              </w:rPr>
              <w:t>Indicateurs qualitatifs (pour les jalons)</w:t>
            </w:r>
          </w:p>
        </w:tc>
        <w:tc>
          <w:tcPr>
            <w:tcW w:w="269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4" w14:textId="37091D1A" w:rsidR="003C4798" w:rsidRDefault="00417595">
            <w:pPr>
              <w:pStyle w:val="P68B1DB1-Normal88"/>
              <w:spacing w:after="0" w:line="240" w:lineRule="auto"/>
              <w:jc w:val="center"/>
              <w:rPr>
                <w:rFonts w:eastAsia="Times New Roman" w:cs="Times New Roman"/>
                <w:noProof/>
                <w:szCs w:val="18"/>
              </w:rPr>
            </w:pPr>
            <w:r>
              <w:rPr>
                <w:noProof/>
              </w:rPr>
              <w:t>Indicateurs quantitatifs (pour les objectifs)</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1216C265" w14:textId="77777777" w:rsidR="003C4798" w:rsidRDefault="00417595">
            <w:pPr>
              <w:pStyle w:val="P68B1DB1-Normal88"/>
              <w:spacing w:after="0" w:line="240" w:lineRule="auto"/>
              <w:jc w:val="center"/>
              <w:rPr>
                <w:rFonts w:eastAsia="Times New Roman" w:cs="Times New Roman"/>
                <w:noProof/>
                <w:szCs w:val="18"/>
              </w:rPr>
            </w:pPr>
            <w:r>
              <w:rPr>
                <w:noProof/>
              </w:rPr>
              <w:t>Calendrier indicatif d'achèvement</w:t>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6" w14:textId="77777777" w:rsidR="003C4798" w:rsidRDefault="00417595">
            <w:pPr>
              <w:pStyle w:val="P68B1DB1-Normal88"/>
              <w:spacing w:after="0" w:line="240" w:lineRule="auto"/>
              <w:jc w:val="center"/>
              <w:rPr>
                <w:rFonts w:eastAsia="Times New Roman" w:cs="Times New Roman"/>
                <w:noProof/>
              </w:rPr>
            </w:pPr>
            <w:r>
              <w:rPr>
                <w:noProof/>
              </w:rPr>
              <w:t>Description de chaque jalon et cible</w:t>
            </w:r>
          </w:p>
        </w:tc>
      </w:tr>
      <w:tr w:rsidR="003C4798" w14:paraId="1216C273" w14:textId="77777777">
        <w:trPr>
          <w:trHeight w:val="704"/>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1216C268" w14:textId="77777777" w:rsidR="003C4798" w:rsidRDefault="003C4798">
            <w:pPr>
              <w:spacing w:after="0" w:line="240" w:lineRule="auto"/>
              <w:jc w:val="center"/>
              <w:rPr>
                <w:rFonts w:ascii="Times New Roman" w:eastAsia="Times New Roman" w:hAnsi="Times New Roman" w:cs="Times New Roman"/>
                <w:b/>
                <w:noProof/>
                <w:sz w:val="18"/>
                <w:szCs w:val="18"/>
              </w:rPr>
            </w:pPr>
          </w:p>
        </w:tc>
        <w:tc>
          <w:tcPr>
            <w:tcW w:w="1559" w:type="dxa"/>
            <w:vMerge/>
            <w:tcBorders>
              <w:left w:val="single" w:sz="4" w:space="0" w:color="auto"/>
              <w:right w:val="single" w:sz="4" w:space="0" w:color="auto"/>
            </w:tcBorders>
            <w:vAlign w:val="center"/>
            <w:hideMark/>
          </w:tcPr>
          <w:p w14:paraId="1216C269" w14:textId="77777777" w:rsidR="003C4798" w:rsidRDefault="003C4798">
            <w:pPr>
              <w:spacing w:after="0" w:line="240" w:lineRule="auto"/>
              <w:rPr>
                <w:rFonts w:ascii="Times New Roman" w:eastAsia="Times New Roman" w:hAnsi="Times New Roman" w:cs="Times New Roman"/>
                <w:b/>
                <w:bCs/>
                <w:noProof/>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216C26A" w14:textId="77777777" w:rsidR="003C4798" w:rsidRDefault="003C4798">
            <w:pPr>
              <w:spacing w:after="0" w:line="240" w:lineRule="auto"/>
              <w:jc w:val="center"/>
              <w:rPr>
                <w:rFonts w:ascii="Times New Roman" w:eastAsia="Times New Roman" w:hAnsi="Times New Roman" w:cs="Times New Roman"/>
                <w:b/>
                <w:bCs/>
                <w:noProof/>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216C26B" w14:textId="77777777" w:rsidR="003C4798" w:rsidRDefault="003C4798">
            <w:pPr>
              <w:spacing w:after="0" w:line="240" w:lineRule="auto"/>
              <w:rPr>
                <w:rFonts w:ascii="Times New Roman" w:eastAsia="Times New Roman" w:hAnsi="Times New Roman" w:cs="Times New Roman"/>
                <w:b/>
                <w:bCs/>
                <w:noProof/>
              </w:rPr>
            </w:pPr>
          </w:p>
        </w:tc>
        <w:tc>
          <w:tcPr>
            <w:tcW w:w="1701" w:type="dxa"/>
            <w:vMerge/>
            <w:tcBorders>
              <w:left w:val="single" w:sz="4" w:space="0" w:color="auto"/>
            </w:tcBorders>
            <w:vAlign w:val="center"/>
            <w:hideMark/>
          </w:tcPr>
          <w:p w14:paraId="1216C26C" w14:textId="77777777" w:rsidR="003C4798" w:rsidRDefault="003C4798">
            <w:pPr>
              <w:spacing w:after="0" w:line="240" w:lineRule="auto"/>
              <w:rPr>
                <w:rFonts w:ascii="Times New Roman" w:eastAsia="Times New Roman" w:hAnsi="Times New Roman" w:cs="Times New Roman"/>
                <w:b/>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D" w14:textId="77777777" w:rsidR="003C4798" w:rsidRDefault="00417595">
            <w:pPr>
              <w:pStyle w:val="P68B1DB1-Normal96"/>
              <w:spacing w:after="0" w:line="240" w:lineRule="auto"/>
              <w:jc w:val="center"/>
              <w:rPr>
                <w:rFonts w:eastAsia="Times New Roman" w:cs="Times New Roman"/>
                <w:noProof/>
                <w:szCs w:val="18"/>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E" w14:textId="77777777" w:rsidR="003C4798" w:rsidRDefault="00417595">
            <w:pPr>
              <w:pStyle w:val="P68B1DB1-Normal96"/>
              <w:spacing w:after="0" w:line="240" w:lineRule="auto"/>
              <w:jc w:val="center"/>
              <w:rPr>
                <w:rFonts w:eastAsia="Times New Roman" w:cs="Times New Roman"/>
                <w:noProof/>
                <w:szCs w:val="18"/>
              </w:rPr>
            </w:pPr>
            <w:r>
              <w:rPr>
                <w:noProof/>
              </w:rPr>
              <w:t>Données de référence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F" w14:textId="77777777" w:rsidR="003C4798" w:rsidRDefault="00417595">
            <w:pPr>
              <w:pStyle w:val="P68B1DB1-Normal96"/>
              <w:spacing w:after="0" w:line="240" w:lineRule="auto"/>
              <w:jc w:val="center"/>
              <w:rPr>
                <w:rFonts w:eastAsia="Times New Roman" w:cs="Times New Roman"/>
                <w:noProof/>
                <w:szCs w:val="18"/>
              </w:rPr>
            </w:pPr>
            <w:r>
              <w:rPr>
                <w:noProof/>
              </w:rPr>
              <w:t>Objectif</w:t>
            </w:r>
          </w:p>
        </w:tc>
        <w:tc>
          <w:tcPr>
            <w:tcW w:w="92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70" w14:textId="77777777" w:rsidR="003C4798" w:rsidRDefault="00417595">
            <w:pPr>
              <w:pStyle w:val="P68B1DB1-Normal96"/>
              <w:spacing w:after="0" w:line="240" w:lineRule="auto"/>
              <w:jc w:val="center"/>
              <w:rPr>
                <w:rFonts w:eastAsia="Times New Roman" w:cs="Times New Roman"/>
                <w:noProof/>
                <w:szCs w:val="18"/>
              </w:rPr>
            </w:pPr>
            <w:r>
              <w:rPr>
                <w:noProof/>
              </w:rPr>
              <w:t>Trimestre</w:t>
            </w:r>
          </w:p>
        </w:tc>
        <w:tc>
          <w:tcPr>
            <w:tcW w:w="92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71" w14:textId="77777777" w:rsidR="003C4798" w:rsidRDefault="00417595">
            <w:pPr>
              <w:pStyle w:val="P68B1DB1-Normal96"/>
              <w:spacing w:after="0" w:line="240" w:lineRule="auto"/>
              <w:jc w:val="center"/>
              <w:rPr>
                <w:rFonts w:eastAsia="Times New Roman" w:cs="Times New Roman"/>
                <w:noProof/>
                <w:szCs w:val="18"/>
              </w:rPr>
            </w:pPr>
            <w:r>
              <w:rPr>
                <w:noProof/>
              </w:rPr>
              <w:t>Année</w:t>
            </w:r>
          </w:p>
        </w:tc>
        <w:tc>
          <w:tcPr>
            <w:tcW w:w="3685" w:type="dxa"/>
            <w:vMerge/>
            <w:vAlign w:val="center"/>
            <w:hideMark/>
          </w:tcPr>
          <w:p w14:paraId="1216C272" w14:textId="77777777" w:rsidR="003C4798" w:rsidRDefault="003C4798">
            <w:pPr>
              <w:spacing w:after="0" w:line="240" w:lineRule="auto"/>
              <w:rPr>
                <w:rFonts w:ascii="Times New Roman" w:eastAsia="Times New Roman" w:hAnsi="Times New Roman" w:cs="Times New Roman"/>
                <w:b/>
                <w:bCs/>
                <w:noProof/>
              </w:rPr>
            </w:pPr>
          </w:p>
        </w:tc>
      </w:tr>
      <w:tr w:rsidR="003C4798" w14:paraId="1216C27F"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74" w14:textId="77777777" w:rsidR="003C4798" w:rsidRDefault="00417595">
            <w:pPr>
              <w:pStyle w:val="P68B1DB1-Normal45"/>
              <w:spacing w:after="0" w:line="240" w:lineRule="auto"/>
              <w:jc w:val="center"/>
              <w:rPr>
                <w:rFonts w:eastAsia="Times New Roman" w:cs="Times New Roman"/>
                <w:noProof/>
              </w:rPr>
            </w:pPr>
            <w:r>
              <w:rPr>
                <w:noProof/>
              </w:rPr>
              <w:t>G12G</w:t>
            </w:r>
          </w:p>
        </w:tc>
        <w:tc>
          <w:tcPr>
            <w:tcW w:w="1559" w:type="dxa"/>
            <w:tcBorders>
              <w:top w:val="single" w:sz="4" w:space="0" w:color="auto"/>
              <w:left w:val="nil"/>
              <w:bottom w:val="single" w:sz="4" w:space="0" w:color="auto"/>
              <w:right w:val="single" w:sz="4" w:space="0" w:color="auto"/>
            </w:tcBorders>
            <w:shd w:val="clear" w:color="auto" w:fill="C6EFCE"/>
            <w:noWrap/>
          </w:tcPr>
          <w:p w14:paraId="1216C275" w14:textId="77777777" w:rsidR="003C4798" w:rsidRDefault="00417595">
            <w:pPr>
              <w:pStyle w:val="P68B1DB1-Normal89"/>
              <w:spacing w:after="0" w:line="240" w:lineRule="auto"/>
              <w:rPr>
                <w:rFonts w:eastAsia="Times New Roman" w:cs="Times New Roman"/>
                <w:noProof/>
                <w:szCs w:val="18"/>
              </w:rPr>
            </w:pPr>
            <w:r>
              <w:rPr>
                <w:noProof/>
              </w:rPr>
              <w:t>G1.2.1 Solutions réglementaires pour une intégration accélérée des énergies renouvelables dans les réseaux de distribution</w:t>
            </w:r>
          </w:p>
        </w:tc>
        <w:tc>
          <w:tcPr>
            <w:tcW w:w="992" w:type="dxa"/>
            <w:tcBorders>
              <w:top w:val="single" w:sz="4" w:space="0" w:color="auto"/>
              <w:left w:val="nil"/>
              <w:bottom w:val="single" w:sz="4" w:space="0" w:color="auto"/>
              <w:right w:val="single" w:sz="4" w:space="0" w:color="auto"/>
            </w:tcBorders>
            <w:shd w:val="clear" w:color="auto" w:fill="C6EFCE"/>
            <w:noWrap/>
          </w:tcPr>
          <w:p w14:paraId="1216C276" w14:textId="77777777" w:rsidR="003C4798" w:rsidRDefault="00417595">
            <w:pPr>
              <w:pStyle w:val="P68B1DB1-Normal89"/>
              <w:spacing w:after="0" w:line="240" w:lineRule="auto"/>
              <w:jc w:val="center"/>
              <w:rPr>
                <w:rFonts w:eastAsia="Times New Roman" w:cs="Times New Roman"/>
                <w:noProof/>
                <w:szCs w:val="18"/>
              </w:rPr>
            </w:pPr>
            <w:r>
              <w:rPr>
                <w:noProof/>
              </w:rPr>
              <w:t>Étape</w:t>
            </w:r>
          </w:p>
        </w:tc>
        <w:tc>
          <w:tcPr>
            <w:tcW w:w="1985" w:type="dxa"/>
            <w:tcBorders>
              <w:top w:val="single" w:sz="4" w:space="0" w:color="auto"/>
              <w:left w:val="nil"/>
              <w:bottom w:val="single" w:sz="4" w:space="0" w:color="auto"/>
              <w:right w:val="single" w:sz="4" w:space="0" w:color="auto"/>
            </w:tcBorders>
            <w:shd w:val="clear" w:color="auto" w:fill="C6EFCE"/>
            <w:noWrap/>
          </w:tcPr>
          <w:p w14:paraId="1216C277" w14:textId="77777777" w:rsidR="003C4798" w:rsidRDefault="00417595">
            <w:pPr>
              <w:pStyle w:val="P68B1DB1-Normal89"/>
              <w:spacing w:after="0" w:line="240" w:lineRule="auto"/>
              <w:rPr>
                <w:rFonts w:eastAsia="Times New Roman" w:cs="Times New Roman"/>
                <w:noProof/>
                <w:szCs w:val="18"/>
              </w:rPr>
            </w:pPr>
            <w:r>
              <w:rPr>
                <w:noProof/>
              </w:rPr>
              <w:t>Publication du nouveau modèle réglementaire sur les investissements prioritaires pour le développement du réseau</w:t>
            </w:r>
          </w:p>
        </w:tc>
        <w:tc>
          <w:tcPr>
            <w:tcW w:w="1701" w:type="dxa"/>
            <w:tcBorders>
              <w:top w:val="single" w:sz="4" w:space="0" w:color="auto"/>
              <w:left w:val="nil"/>
              <w:bottom w:val="single" w:sz="4" w:space="0" w:color="auto"/>
              <w:right w:val="single" w:sz="4" w:space="0" w:color="auto"/>
            </w:tcBorders>
            <w:shd w:val="clear" w:color="auto" w:fill="C6EFCE"/>
            <w:noWrap/>
          </w:tcPr>
          <w:p w14:paraId="1216C278" w14:textId="77777777" w:rsidR="003C4798" w:rsidRDefault="00417595">
            <w:pPr>
              <w:pStyle w:val="P68B1DB1-Normal89"/>
              <w:spacing w:after="0" w:line="240" w:lineRule="auto"/>
              <w:rPr>
                <w:rFonts w:eastAsia="Times New Roman" w:cs="Times New Roman"/>
                <w:noProof/>
                <w:szCs w:val="18"/>
              </w:rPr>
            </w:pPr>
            <w:r>
              <w:rPr>
                <w:noProof/>
              </w:rPr>
              <w:t xml:space="preserve">Le cadre réglementaire a été publié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79"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7A"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16C27B"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216C27C" w14:textId="77777777" w:rsidR="003C4798" w:rsidRDefault="00417595">
            <w:pPr>
              <w:pStyle w:val="P68B1DB1-Normal89"/>
              <w:spacing w:after="0" w:line="240" w:lineRule="auto"/>
              <w:jc w:val="center"/>
              <w:rPr>
                <w:rFonts w:eastAsia="Times New Roman" w:cs="Times New Roman"/>
                <w:noProof/>
                <w:szCs w:val="18"/>
              </w:rPr>
            </w:pPr>
            <w:r>
              <w:rPr>
                <w:noProof/>
              </w:rPr>
              <w:t>T4</w:t>
            </w:r>
          </w:p>
        </w:tc>
        <w:tc>
          <w:tcPr>
            <w:tcW w:w="922" w:type="dxa"/>
            <w:tcBorders>
              <w:top w:val="single" w:sz="4" w:space="0" w:color="auto"/>
              <w:left w:val="single" w:sz="4" w:space="0" w:color="auto"/>
              <w:bottom w:val="single" w:sz="4" w:space="0" w:color="auto"/>
              <w:right w:val="single" w:sz="4" w:space="0" w:color="auto"/>
            </w:tcBorders>
            <w:shd w:val="clear" w:color="auto" w:fill="C6EFCE"/>
            <w:noWrap/>
          </w:tcPr>
          <w:p w14:paraId="1216C27D" w14:textId="77777777" w:rsidR="003C4798" w:rsidRDefault="00417595">
            <w:pPr>
              <w:pStyle w:val="P68B1DB1-Normal89"/>
              <w:spacing w:after="0" w:line="240" w:lineRule="auto"/>
              <w:jc w:val="center"/>
              <w:rPr>
                <w:rFonts w:eastAsia="Times New Roman" w:cs="Times New Roman"/>
                <w:noProof/>
                <w:szCs w:val="18"/>
              </w:rPr>
            </w:pPr>
            <w:r>
              <w:rPr>
                <w:noProof/>
              </w:rPr>
              <w:t>2024</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216C27E" w14:textId="77777777" w:rsidR="003C4798" w:rsidRDefault="00417595">
            <w:pPr>
              <w:pStyle w:val="P68B1DB1-Normal45"/>
              <w:spacing w:after="0" w:line="240" w:lineRule="auto"/>
              <w:rPr>
                <w:noProof/>
              </w:rPr>
            </w:pPr>
            <w:r>
              <w:rPr>
                <w:noProof/>
              </w:rPr>
              <w:t>Publication d’un cadre réglementaire permettant à l’Office de régulation de l’énergie d’identifier les investissements prioritaires pour le développement du réseau et de refléter les investissements prioritaires dans les tarifs du réseau de distribution.</w:t>
            </w:r>
          </w:p>
        </w:tc>
      </w:tr>
      <w:tr w:rsidR="003C4798" w14:paraId="1216C28B"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80" w14:textId="77777777" w:rsidR="003C4798" w:rsidRDefault="00417595">
            <w:pPr>
              <w:pStyle w:val="P68B1DB1-Normal89"/>
              <w:spacing w:after="0" w:line="240" w:lineRule="auto"/>
              <w:jc w:val="center"/>
              <w:rPr>
                <w:rFonts w:eastAsia="Times New Roman" w:cs="Times New Roman"/>
                <w:noProof/>
                <w:szCs w:val="18"/>
              </w:rPr>
            </w:pPr>
            <w:r>
              <w:rPr>
                <w:noProof/>
              </w:rPr>
              <w:t>G13G</w:t>
            </w:r>
          </w:p>
        </w:tc>
        <w:tc>
          <w:tcPr>
            <w:tcW w:w="1559" w:type="dxa"/>
            <w:tcBorders>
              <w:top w:val="single" w:sz="4" w:space="0" w:color="auto"/>
              <w:left w:val="nil"/>
              <w:bottom w:val="single" w:sz="4" w:space="0" w:color="auto"/>
              <w:right w:val="single" w:sz="4" w:space="0" w:color="auto"/>
            </w:tcBorders>
            <w:shd w:val="clear" w:color="auto" w:fill="C6EFCE"/>
            <w:noWrap/>
          </w:tcPr>
          <w:p w14:paraId="1216C281" w14:textId="05A9C9D6" w:rsidR="003C4798" w:rsidRDefault="00417595">
            <w:pPr>
              <w:pStyle w:val="P68B1DB1-Normal89"/>
              <w:spacing w:after="0" w:line="240" w:lineRule="auto"/>
              <w:rPr>
                <w:rFonts w:eastAsia="Times New Roman" w:cs="Times New Roman"/>
                <w:noProof/>
                <w:szCs w:val="18"/>
              </w:rPr>
            </w:pPr>
            <w:r>
              <w:rPr>
                <w:noProof/>
              </w:rPr>
              <w:t>G1.2.2 Suppression des obstacles à l'intégration des sources d'énergie renouvelables dans les réseaux électriques</w:t>
            </w:r>
          </w:p>
        </w:tc>
        <w:tc>
          <w:tcPr>
            <w:tcW w:w="992" w:type="dxa"/>
            <w:tcBorders>
              <w:top w:val="single" w:sz="4" w:space="0" w:color="auto"/>
              <w:left w:val="nil"/>
              <w:bottom w:val="single" w:sz="4" w:space="0" w:color="auto"/>
              <w:right w:val="single" w:sz="4" w:space="0" w:color="auto"/>
            </w:tcBorders>
            <w:shd w:val="clear" w:color="auto" w:fill="C6EFCE"/>
            <w:noWrap/>
          </w:tcPr>
          <w:p w14:paraId="1216C282" w14:textId="77777777" w:rsidR="003C4798" w:rsidRDefault="00417595">
            <w:pPr>
              <w:pStyle w:val="P68B1DB1-Normal89"/>
              <w:spacing w:after="0" w:line="240" w:lineRule="auto"/>
              <w:jc w:val="center"/>
              <w:rPr>
                <w:rFonts w:eastAsia="Times New Roman" w:cs="Times New Roman"/>
                <w:noProof/>
                <w:szCs w:val="18"/>
              </w:rPr>
            </w:pPr>
            <w:r>
              <w:rPr>
                <w:noProof/>
              </w:rPr>
              <w:t>Étape</w:t>
            </w:r>
          </w:p>
        </w:tc>
        <w:tc>
          <w:tcPr>
            <w:tcW w:w="1985" w:type="dxa"/>
            <w:tcBorders>
              <w:top w:val="single" w:sz="4" w:space="0" w:color="auto"/>
              <w:left w:val="nil"/>
              <w:bottom w:val="single" w:sz="4" w:space="0" w:color="auto"/>
              <w:right w:val="single" w:sz="4" w:space="0" w:color="auto"/>
            </w:tcBorders>
            <w:shd w:val="clear" w:color="auto" w:fill="C6EFCE"/>
            <w:noWrap/>
          </w:tcPr>
          <w:p w14:paraId="1216C283" w14:textId="77777777" w:rsidR="003C4798" w:rsidRDefault="00417595">
            <w:pPr>
              <w:pStyle w:val="P68B1DB1-Normal89"/>
              <w:spacing w:after="0" w:line="240" w:lineRule="auto"/>
              <w:rPr>
                <w:rFonts w:eastAsia="Times New Roman" w:cs="Times New Roman"/>
                <w:noProof/>
                <w:szCs w:val="18"/>
              </w:rPr>
            </w:pPr>
            <w:r>
              <w:rPr>
                <w:noProof/>
              </w:rPr>
              <w:t>Entrée en vigueur du cadre juridique permettant la mise en commun des câbles</w:t>
            </w:r>
          </w:p>
        </w:tc>
        <w:tc>
          <w:tcPr>
            <w:tcW w:w="1701" w:type="dxa"/>
            <w:tcBorders>
              <w:top w:val="single" w:sz="4" w:space="0" w:color="auto"/>
              <w:left w:val="nil"/>
              <w:bottom w:val="single" w:sz="4" w:space="0" w:color="auto"/>
              <w:right w:val="single" w:sz="4" w:space="0" w:color="auto"/>
            </w:tcBorders>
            <w:shd w:val="clear" w:color="auto" w:fill="C6EFCE"/>
            <w:noWrap/>
          </w:tcPr>
          <w:p w14:paraId="1216C284" w14:textId="77777777" w:rsidR="003C4798" w:rsidRDefault="00417595">
            <w:pPr>
              <w:pStyle w:val="P68B1DB1-Normal89"/>
              <w:spacing w:after="0" w:line="240" w:lineRule="auto"/>
              <w:rPr>
                <w:rFonts w:eastAsia="Times New Roman" w:cs="Times New Roman"/>
                <w:noProof/>
                <w:szCs w:val="18"/>
              </w:rPr>
            </w:pPr>
            <w:r>
              <w:rPr>
                <w:noProof/>
              </w:rPr>
              <w:t>Disposition de l’acte modificatif indiquant son entrée en vigueur</w:t>
            </w:r>
          </w:p>
        </w:tc>
        <w:tc>
          <w:tcPr>
            <w:tcW w:w="992" w:type="dxa"/>
            <w:tcBorders>
              <w:top w:val="single" w:sz="4" w:space="0" w:color="auto"/>
              <w:left w:val="nil"/>
              <w:bottom w:val="single" w:sz="4" w:space="0" w:color="auto"/>
              <w:right w:val="single" w:sz="4" w:space="0" w:color="auto"/>
            </w:tcBorders>
            <w:shd w:val="clear" w:color="auto" w:fill="C6EFCE"/>
            <w:noWrap/>
          </w:tcPr>
          <w:p w14:paraId="1216C285"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86"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87"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88" w14:textId="77777777" w:rsidR="003C4798" w:rsidRDefault="00417595">
            <w:pPr>
              <w:pStyle w:val="P68B1DB1-Normal89"/>
              <w:spacing w:after="0" w:line="240" w:lineRule="auto"/>
              <w:jc w:val="center"/>
              <w:rPr>
                <w:rFonts w:eastAsia="Times New Roman" w:cs="Times New Roman"/>
                <w:noProof/>
                <w:szCs w:val="18"/>
              </w:rPr>
            </w:pPr>
            <w:r>
              <w:rPr>
                <w:noProof/>
              </w:rPr>
              <w:t>T4</w:t>
            </w:r>
          </w:p>
        </w:tc>
        <w:tc>
          <w:tcPr>
            <w:tcW w:w="922" w:type="dxa"/>
            <w:tcBorders>
              <w:top w:val="single" w:sz="4" w:space="0" w:color="auto"/>
              <w:left w:val="nil"/>
              <w:bottom w:val="single" w:sz="4" w:space="0" w:color="auto"/>
              <w:right w:val="single" w:sz="4" w:space="0" w:color="auto"/>
            </w:tcBorders>
            <w:shd w:val="clear" w:color="auto" w:fill="C6EFCE"/>
            <w:noWrap/>
          </w:tcPr>
          <w:p w14:paraId="1216C289" w14:textId="77777777" w:rsidR="003C4798" w:rsidRDefault="00417595">
            <w:pPr>
              <w:pStyle w:val="P68B1DB1-Normal89"/>
              <w:spacing w:after="0" w:line="240" w:lineRule="auto"/>
              <w:jc w:val="center"/>
              <w:rPr>
                <w:rFonts w:eastAsia="Times New Roman" w:cs="Times New Roman"/>
                <w:noProof/>
                <w:szCs w:val="18"/>
              </w:rPr>
            </w:pPr>
            <w:r>
              <w:rPr>
                <w:noProof/>
              </w:rPr>
              <w:t>2023</w:t>
            </w:r>
          </w:p>
        </w:tc>
        <w:tc>
          <w:tcPr>
            <w:tcW w:w="3685" w:type="dxa"/>
            <w:tcBorders>
              <w:top w:val="single" w:sz="4" w:space="0" w:color="auto"/>
              <w:left w:val="nil"/>
              <w:bottom w:val="single" w:sz="4" w:space="0" w:color="auto"/>
              <w:right w:val="single" w:sz="4" w:space="0" w:color="auto"/>
            </w:tcBorders>
            <w:shd w:val="clear" w:color="auto" w:fill="C6EFCE"/>
            <w:noWrap/>
          </w:tcPr>
          <w:p w14:paraId="1216C28A" w14:textId="77777777" w:rsidR="003C4798" w:rsidRDefault="00417595">
            <w:pPr>
              <w:spacing w:after="0" w:line="240" w:lineRule="auto"/>
              <w:rPr>
                <w:rFonts w:ascii="Times New Roman" w:eastAsia="Times New Roman" w:hAnsi="Times New Roman" w:cs="Times New Roman"/>
                <w:noProof/>
                <w:sz w:val="18"/>
                <w:szCs w:val="18"/>
              </w:rPr>
            </w:pPr>
            <w:r>
              <w:rPr>
                <w:rFonts w:ascii="Times New Roman" w:hAnsi="Times New Roman"/>
                <w:noProof/>
                <w:sz w:val="18"/>
              </w:rPr>
              <w:t>Modifications de la loi sur les sources d’énergie renouvelables et de la loi sur l’énergie permettant de connecter plusieurs sources d’énergie renouvelables au réseau électrique à un seul point de connexion.</w:t>
            </w:r>
            <w:r>
              <w:rPr>
                <w:noProof/>
              </w:rPr>
              <w:t xml:space="preserve"> </w:t>
            </w:r>
            <w:r>
              <w:rPr>
                <w:rFonts w:ascii="Times New Roman" w:hAnsi="Times New Roman"/>
                <w:noProof/>
                <w:sz w:val="18"/>
              </w:rPr>
              <w:t>Les nouvelles règles permettent aux producteurs d’énergie renouvelable qui concluent un accord, dans les conditions prévues par la loi sur l’énergie, de partager une connexion, c’est-à-dire d’utiliser la même capacité de connexion à un point de connexion, tout en conservant la possibilité de conclure des contrats de vente de l’énergie produite. En outre, la Loi sur les sources d'énergie renouvelables est modifiée. Les modifications permettent aux entités bénéficiant de régimes d’aide en faveur des sources d’énergie renouvelables de partager leur capacité de raccordement avec d’autres installations raccordées au même point de raccordement sans perdre le droit au soutien prévu par ladite loi. Parmi les installations partageant un point de connexion unique, une seule peut bénéficier d'un régime d'aide.</w:t>
            </w:r>
          </w:p>
        </w:tc>
      </w:tr>
      <w:tr w:rsidR="003C4798" w14:paraId="1216C29B"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8C" w14:textId="77777777" w:rsidR="003C4798" w:rsidRDefault="00417595">
            <w:pPr>
              <w:pStyle w:val="P68B1DB1-Normal45"/>
              <w:spacing w:after="0" w:line="240" w:lineRule="auto"/>
              <w:jc w:val="center"/>
              <w:rPr>
                <w:rFonts w:eastAsia="Times New Roman" w:cs="Times New Roman"/>
                <w:noProof/>
              </w:rPr>
            </w:pPr>
            <w:r>
              <w:rPr>
                <w:noProof/>
              </w:rPr>
              <w:t>G14G</w:t>
            </w:r>
          </w:p>
        </w:tc>
        <w:tc>
          <w:tcPr>
            <w:tcW w:w="1559" w:type="dxa"/>
            <w:tcBorders>
              <w:top w:val="single" w:sz="4" w:space="0" w:color="auto"/>
              <w:left w:val="nil"/>
              <w:bottom w:val="single" w:sz="4" w:space="0" w:color="auto"/>
              <w:right w:val="single" w:sz="4" w:space="0" w:color="auto"/>
            </w:tcBorders>
            <w:shd w:val="clear" w:color="auto" w:fill="C6EFCE"/>
            <w:noWrap/>
          </w:tcPr>
          <w:p w14:paraId="1216C28D" w14:textId="77777777" w:rsidR="003C4798" w:rsidRDefault="00417595">
            <w:pPr>
              <w:pStyle w:val="P68B1DB1-Normal89"/>
              <w:spacing w:after="0" w:line="240" w:lineRule="auto"/>
              <w:rPr>
                <w:rFonts w:eastAsia="Times New Roman" w:cs="Times New Roman"/>
                <w:noProof/>
                <w:szCs w:val="18"/>
              </w:rPr>
            </w:pPr>
            <w:r>
              <w:rPr>
                <w:noProof/>
              </w:rPr>
              <w:t>G1.2.2 Suppression des obstacles à l'intégration des sources d'énergie renouvelables dans les réseaux électriques</w:t>
            </w:r>
          </w:p>
        </w:tc>
        <w:tc>
          <w:tcPr>
            <w:tcW w:w="992" w:type="dxa"/>
            <w:tcBorders>
              <w:top w:val="single" w:sz="4" w:space="0" w:color="auto"/>
              <w:left w:val="nil"/>
              <w:bottom w:val="single" w:sz="4" w:space="0" w:color="auto"/>
              <w:right w:val="single" w:sz="4" w:space="0" w:color="auto"/>
            </w:tcBorders>
            <w:shd w:val="clear" w:color="auto" w:fill="C6EFCE"/>
            <w:noWrap/>
          </w:tcPr>
          <w:p w14:paraId="1216C28E" w14:textId="77777777" w:rsidR="003C4798" w:rsidRDefault="00417595">
            <w:pPr>
              <w:pStyle w:val="P68B1DB1-Normal89"/>
              <w:spacing w:after="0" w:line="240" w:lineRule="auto"/>
              <w:jc w:val="center"/>
              <w:rPr>
                <w:rFonts w:eastAsia="Times New Roman" w:cs="Times New Roman"/>
                <w:noProof/>
                <w:szCs w:val="18"/>
              </w:rPr>
            </w:pPr>
            <w:r>
              <w:rPr>
                <w:noProof/>
              </w:rPr>
              <w:t>Étape</w:t>
            </w:r>
          </w:p>
        </w:tc>
        <w:tc>
          <w:tcPr>
            <w:tcW w:w="1985" w:type="dxa"/>
            <w:tcBorders>
              <w:top w:val="single" w:sz="4" w:space="0" w:color="auto"/>
              <w:left w:val="nil"/>
              <w:bottom w:val="single" w:sz="4" w:space="0" w:color="auto"/>
              <w:right w:val="single" w:sz="4" w:space="0" w:color="auto"/>
            </w:tcBorders>
            <w:shd w:val="clear" w:color="auto" w:fill="C6EFCE"/>
            <w:noWrap/>
          </w:tcPr>
          <w:p w14:paraId="1216C28F" w14:textId="77777777" w:rsidR="003C4798" w:rsidRDefault="00417595">
            <w:pPr>
              <w:pStyle w:val="P68B1DB1-Normal45"/>
              <w:spacing w:after="0" w:line="240" w:lineRule="auto"/>
              <w:rPr>
                <w:rFonts w:eastAsia="Times New Roman" w:cs="Times New Roman"/>
                <w:noProof/>
              </w:rPr>
            </w:pPr>
            <w:r>
              <w:rPr>
                <w:noProof/>
              </w:rPr>
              <w:t>Entrée en vigueur du ou des actes juridiques concernant les connexions au réseau</w:t>
            </w:r>
          </w:p>
        </w:tc>
        <w:tc>
          <w:tcPr>
            <w:tcW w:w="1701" w:type="dxa"/>
            <w:tcBorders>
              <w:top w:val="single" w:sz="4" w:space="0" w:color="auto"/>
              <w:left w:val="nil"/>
              <w:bottom w:val="single" w:sz="4" w:space="0" w:color="auto"/>
              <w:right w:val="single" w:sz="4" w:space="0" w:color="auto"/>
            </w:tcBorders>
            <w:shd w:val="clear" w:color="auto" w:fill="C6EFCE"/>
            <w:noWrap/>
          </w:tcPr>
          <w:p w14:paraId="1216C290" w14:textId="77777777" w:rsidR="003C4798" w:rsidRDefault="00417595">
            <w:pPr>
              <w:pStyle w:val="P68B1DB1-Normal45"/>
              <w:spacing w:after="0" w:line="240" w:lineRule="auto"/>
              <w:rPr>
                <w:rFonts w:eastAsia="Times New Roman" w:cs="Times New Roman"/>
                <w:noProof/>
              </w:rPr>
            </w:pPr>
            <w:r>
              <w:rPr>
                <w:noProof/>
              </w:rPr>
              <w:t>Dispositions de l'acte ou des actes juridiques indiquant leur entrée en vigueur</w:t>
            </w:r>
          </w:p>
        </w:tc>
        <w:tc>
          <w:tcPr>
            <w:tcW w:w="992" w:type="dxa"/>
            <w:tcBorders>
              <w:top w:val="single" w:sz="4" w:space="0" w:color="auto"/>
              <w:left w:val="nil"/>
              <w:bottom w:val="single" w:sz="4" w:space="0" w:color="auto"/>
              <w:right w:val="single" w:sz="4" w:space="0" w:color="auto"/>
            </w:tcBorders>
            <w:shd w:val="clear" w:color="auto" w:fill="C6EFCE"/>
            <w:noWrap/>
          </w:tcPr>
          <w:p w14:paraId="1216C291"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92"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93"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94" w14:textId="77777777" w:rsidR="003C4798" w:rsidRDefault="00417595">
            <w:pPr>
              <w:pStyle w:val="P68B1DB1-Normal89"/>
              <w:spacing w:after="0" w:line="240" w:lineRule="auto"/>
              <w:jc w:val="center"/>
              <w:rPr>
                <w:rFonts w:eastAsia="Times New Roman" w:cs="Times New Roman"/>
                <w:noProof/>
                <w:szCs w:val="18"/>
              </w:rPr>
            </w:pPr>
            <w:r>
              <w:rPr>
                <w:noProof/>
              </w:rPr>
              <w:t>T4</w:t>
            </w:r>
          </w:p>
        </w:tc>
        <w:tc>
          <w:tcPr>
            <w:tcW w:w="922" w:type="dxa"/>
            <w:tcBorders>
              <w:top w:val="single" w:sz="4" w:space="0" w:color="auto"/>
              <w:left w:val="nil"/>
              <w:bottom w:val="single" w:sz="4" w:space="0" w:color="auto"/>
              <w:right w:val="single" w:sz="4" w:space="0" w:color="auto"/>
            </w:tcBorders>
            <w:shd w:val="clear" w:color="auto" w:fill="C6EFCE"/>
            <w:noWrap/>
          </w:tcPr>
          <w:p w14:paraId="1216C295" w14:textId="77777777" w:rsidR="003C4798" w:rsidRDefault="00417595">
            <w:pPr>
              <w:pStyle w:val="P68B1DB1-Normal89"/>
              <w:spacing w:after="0" w:line="240" w:lineRule="auto"/>
              <w:jc w:val="center"/>
              <w:rPr>
                <w:rFonts w:eastAsia="Times New Roman" w:cs="Times New Roman"/>
                <w:noProof/>
                <w:szCs w:val="18"/>
              </w:rPr>
            </w:pPr>
            <w:r>
              <w:rPr>
                <w:noProof/>
              </w:rPr>
              <w:t>2025</w:t>
            </w:r>
          </w:p>
        </w:tc>
        <w:tc>
          <w:tcPr>
            <w:tcW w:w="3685" w:type="dxa"/>
            <w:tcBorders>
              <w:top w:val="single" w:sz="4" w:space="0" w:color="auto"/>
              <w:left w:val="nil"/>
              <w:bottom w:val="single" w:sz="4" w:space="0" w:color="auto"/>
              <w:right w:val="single" w:sz="4" w:space="0" w:color="auto"/>
            </w:tcBorders>
            <w:shd w:val="clear" w:color="auto" w:fill="C6EFCE"/>
            <w:noWrap/>
          </w:tcPr>
          <w:p w14:paraId="1216C297" w14:textId="4F31EAEA" w:rsidR="003C4798" w:rsidRDefault="00417595">
            <w:pPr>
              <w:pStyle w:val="P68B1DB1-Normal89"/>
              <w:spacing w:after="0" w:line="240" w:lineRule="auto"/>
              <w:rPr>
                <w:rFonts w:eastAsia="Times New Roman" w:cs="Times New Roman"/>
                <w:noProof/>
                <w:szCs w:val="18"/>
              </w:rPr>
            </w:pPr>
            <w:r>
              <w:rPr>
                <w:noProof/>
              </w:rPr>
              <w:t xml:space="preserve">Entrée en vigueur d'un ou de plusieurs actes juridiques imposant aux </w:t>
            </w:r>
            <w:r>
              <w:rPr>
                <w:noProof/>
                <w:szCs w:val="18"/>
              </w:rPr>
              <w:t>gestionnaires de réseaux de transport et de distribution d'électricité desservant au moins cent mille clients connectés:</w:t>
            </w:r>
          </w:p>
          <w:p w14:paraId="1216C298" w14:textId="77777777" w:rsidR="003C4798" w:rsidRDefault="00417595">
            <w:pPr>
              <w:pStyle w:val="P68B1DB1-Normal45"/>
              <w:numPr>
                <w:ilvl w:val="0"/>
                <w:numId w:val="29"/>
              </w:numPr>
              <w:spacing w:after="0" w:line="240" w:lineRule="auto"/>
              <w:ind w:left="169" w:hanging="175"/>
              <w:contextualSpacing/>
              <w:rPr>
                <w:rFonts w:eastAsia="Times New Roman" w:cs="Times New Roman"/>
                <w:noProof/>
              </w:rPr>
            </w:pPr>
            <w:r>
              <w:rPr>
                <w:noProof/>
              </w:rPr>
              <w:t>établir un ensemble uniforme de règles, y compris en ce qui concerne les critères et les délais de traitement des demandes de connexion;</w:t>
            </w:r>
          </w:p>
          <w:p w14:paraId="1216C299" w14:textId="2086672C" w:rsidR="003C4798" w:rsidRDefault="00417595">
            <w:pPr>
              <w:pStyle w:val="P68B1DB1-Normal45"/>
              <w:numPr>
                <w:ilvl w:val="0"/>
                <w:numId w:val="29"/>
              </w:numPr>
              <w:spacing w:after="0" w:line="240" w:lineRule="auto"/>
              <w:ind w:left="169" w:hanging="175"/>
              <w:contextualSpacing/>
              <w:rPr>
                <w:rFonts w:eastAsia="Times New Roman" w:cs="Times New Roman"/>
                <w:noProof/>
              </w:rPr>
            </w:pPr>
            <w:r>
              <w:rPr>
                <w:noProof/>
              </w:rPr>
              <w:t>Mettre à la disposition du public les informations suivantes: i) les capacités de connexion au réseau disponibles; ii) les demandes de connexion rejetées, y compris la motivation du rejet et iii) l’ensemble uniforme de règles;</w:t>
            </w:r>
          </w:p>
          <w:p w14:paraId="1216C29A" w14:textId="77777777" w:rsidR="003C4798" w:rsidRDefault="00417595">
            <w:pPr>
              <w:pStyle w:val="P68B1DB1-Normal45"/>
              <w:numPr>
                <w:ilvl w:val="0"/>
                <w:numId w:val="29"/>
              </w:numPr>
              <w:spacing w:after="0" w:line="240" w:lineRule="auto"/>
              <w:ind w:left="169" w:hanging="175"/>
              <w:contextualSpacing/>
              <w:rPr>
                <w:rFonts w:eastAsia="Times New Roman" w:cs="Times New Roman"/>
                <w:noProof/>
              </w:rPr>
            </w:pPr>
            <w:r>
              <w:rPr>
                <w:noProof/>
              </w:rPr>
              <w:t>Permettre la soumission électronique des demandes de connexion.</w:t>
            </w:r>
          </w:p>
        </w:tc>
      </w:tr>
      <w:tr w:rsidR="003C4798" w14:paraId="1216C2A7"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9C" w14:textId="77777777" w:rsidR="003C4798" w:rsidRDefault="00417595">
            <w:pPr>
              <w:pStyle w:val="P68B1DB1-Normal45"/>
              <w:spacing w:after="0" w:line="240" w:lineRule="auto"/>
              <w:jc w:val="center"/>
              <w:rPr>
                <w:rFonts w:eastAsia="Times New Roman" w:cs="Times New Roman"/>
                <w:noProof/>
              </w:rPr>
            </w:pPr>
            <w:r>
              <w:rPr>
                <w:noProof/>
              </w:rPr>
              <w:t>G17G</w:t>
            </w:r>
          </w:p>
        </w:tc>
        <w:tc>
          <w:tcPr>
            <w:tcW w:w="1559" w:type="dxa"/>
            <w:tcBorders>
              <w:top w:val="single" w:sz="4" w:space="0" w:color="auto"/>
              <w:left w:val="nil"/>
              <w:bottom w:val="single" w:sz="4" w:space="0" w:color="auto"/>
              <w:right w:val="single" w:sz="4" w:space="0" w:color="auto"/>
            </w:tcBorders>
            <w:shd w:val="clear" w:color="auto" w:fill="C6EFCE"/>
            <w:noWrap/>
          </w:tcPr>
          <w:p w14:paraId="1216C29D" w14:textId="77777777" w:rsidR="003C4798" w:rsidRDefault="00417595">
            <w:pPr>
              <w:pStyle w:val="P68B1DB1-Normal89"/>
              <w:spacing w:after="0" w:line="240" w:lineRule="auto"/>
              <w:rPr>
                <w:rFonts w:eastAsia="Times New Roman" w:cs="Times New Roman"/>
                <w:noProof/>
                <w:szCs w:val="18"/>
              </w:rPr>
            </w:pPr>
            <w:r>
              <w:rPr>
                <w:noProof/>
              </w:rPr>
              <w:t>G1.2.3 Réseaux de transport et infrastructures électriques intelligentes</w:t>
            </w:r>
          </w:p>
        </w:tc>
        <w:tc>
          <w:tcPr>
            <w:tcW w:w="992" w:type="dxa"/>
            <w:tcBorders>
              <w:top w:val="single" w:sz="4" w:space="0" w:color="auto"/>
              <w:left w:val="nil"/>
              <w:bottom w:val="single" w:sz="4" w:space="0" w:color="auto"/>
              <w:right w:val="single" w:sz="4" w:space="0" w:color="auto"/>
            </w:tcBorders>
            <w:shd w:val="clear" w:color="auto" w:fill="C6EFCE"/>
            <w:noWrap/>
          </w:tcPr>
          <w:p w14:paraId="1216C29E" w14:textId="267CC296" w:rsidR="003C4798" w:rsidRDefault="00417595">
            <w:pPr>
              <w:pStyle w:val="P68B1DB1-Normal89"/>
              <w:spacing w:after="0" w:line="240" w:lineRule="auto"/>
              <w:jc w:val="center"/>
              <w:rPr>
                <w:rFonts w:eastAsia="Times New Roman" w:cs="Times New Roman"/>
                <w:noProof/>
                <w:szCs w:val="18"/>
              </w:rPr>
            </w:pPr>
            <w:r>
              <w:rPr>
                <w:noProof/>
              </w:rPr>
              <w:t>Étape</w:t>
            </w:r>
          </w:p>
        </w:tc>
        <w:tc>
          <w:tcPr>
            <w:tcW w:w="1985" w:type="dxa"/>
            <w:tcBorders>
              <w:top w:val="single" w:sz="4" w:space="0" w:color="auto"/>
              <w:left w:val="nil"/>
              <w:bottom w:val="single" w:sz="4" w:space="0" w:color="auto"/>
              <w:right w:val="single" w:sz="4" w:space="0" w:color="auto"/>
            </w:tcBorders>
            <w:shd w:val="clear" w:color="auto" w:fill="C6EFCE"/>
            <w:noWrap/>
          </w:tcPr>
          <w:p w14:paraId="1216C29F" w14:textId="6905E7C8" w:rsidR="003C4798" w:rsidRDefault="00417595">
            <w:pPr>
              <w:pStyle w:val="P68B1DB1-Normal89"/>
              <w:spacing w:after="0" w:line="240" w:lineRule="auto"/>
              <w:rPr>
                <w:rFonts w:eastAsia="Times New Roman" w:cs="Times New Roman"/>
                <w:noProof/>
                <w:szCs w:val="18"/>
              </w:rPr>
            </w:pPr>
            <w:r>
              <w:rPr>
                <w:noProof/>
              </w:rPr>
              <w:t>Infrastructure de réseau et bâtiment technique</w:t>
            </w:r>
          </w:p>
        </w:tc>
        <w:tc>
          <w:tcPr>
            <w:tcW w:w="1701" w:type="dxa"/>
            <w:tcBorders>
              <w:top w:val="single" w:sz="4" w:space="0" w:color="auto"/>
              <w:left w:val="nil"/>
              <w:bottom w:val="single" w:sz="4" w:space="0" w:color="auto"/>
              <w:right w:val="single" w:sz="4" w:space="0" w:color="auto"/>
            </w:tcBorders>
            <w:shd w:val="clear" w:color="auto" w:fill="C6EFCE"/>
            <w:noWrap/>
          </w:tcPr>
          <w:p w14:paraId="1216C2A0" w14:textId="77777777" w:rsidR="003C4798" w:rsidRDefault="003C4798">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1" w14:textId="1503D4E2" w:rsidR="003C4798" w:rsidRDefault="003C4798">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2" w14:textId="43AE6920" w:rsidR="003C4798" w:rsidRDefault="003C4798">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A3" w14:textId="061A8D61" w:rsidR="003C4798" w:rsidRDefault="003C4798">
            <w:pPr>
              <w:spacing w:after="0" w:line="240" w:lineRule="auto"/>
              <w:jc w:val="center"/>
              <w:rPr>
                <w:rFonts w:ascii="Times New Roman" w:eastAsia="Times New Roman" w:hAnsi="Times New Roman" w:cs="Times New Roman"/>
                <w:noProof/>
                <w:sz w:val="18"/>
                <w:szCs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A4" w14:textId="03836B45" w:rsidR="003C4798" w:rsidRDefault="00417595">
            <w:pPr>
              <w:pStyle w:val="P68B1DB1-Normal89"/>
              <w:spacing w:after="0" w:line="240" w:lineRule="auto"/>
              <w:jc w:val="center"/>
              <w:rPr>
                <w:rFonts w:eastAsia="Times New Roman" w:cs="Times New Roman"/>
                <w:noProof/>
                <w:szCs w:val="18"/>
              </w:rPr>
            </w:pPr>
            <w:r>
              <w:rPr>
                <w:noProof/>
              </w:rPr>
              <w:t>T3</w:t>
            </w:r>
          </w:p>
        </w:tc>
        <w:tc>
          <w:tcPr>
            <w:tcW w:w="922" w:type="dxa"/>
            <w:tcBorders>
              <w:top w:val="single" w:sz="4" w:space="0" w:color="auto"/>
              <w:left w:val="nil"/>
              <w:bottom w:val="single" w:sz="4" w:space="0" w:color="auto"/>
              <w:right w:val="single" w:sz="4" w:space="0" w:color="auto"/>
            </w:tcBorders>
            <w:shd w:val="clear" w:color="auto" w:fill="C6EFCE"/>
            <w:noWrap/>
          </w:tcPr>
          <w:p w14:paraId="1216C2A5" w14:textId="77777777" w:rsidR="003C4798" w:rsidRDefault="00417595">
            <w:pPr>
              <w:pStyle w:val="P68B1DB1-Normal89"/>
              <w:spacing w:after="0" w:line="240" w:lineRule="auto"/>
              <w:jc w:val="center"/>
              <w:rPr>
                <w:rFonts w:eastAsia="Times New Roman" w:cs="Times New Roman"/>
                <w:noProof/>
                <w:szCs w:val="18"/>
              </w:rPr>
            </w:pPr>
            <w:r>
              <w:rPr>
                <w:noProof/>
              </w:rPr>
              <w:t>2026</w:t>
            </w:r>
          </w:p>
        </w:tc>
        <w:tc>
          <w:tcPr>
            <w:tcW w:w="3685" w:type="dxa"/>
            <w:tcBorders>
              <w:top w:val="single" w:sz="4" w:space="0" w:color="auto"/>
              <w:left w:val="nil"/>
              <w:bottom w:val="single" w:sz="4" w:space="0" w:color="auto"/>
              <w:right w:val="single" w:sz="4" w:space="0" w:color="auto"/>
            </w:tcBorders>
            <w:shd w:val="clear" w:color="auto" w:fill="C6EFCE"/>
            <w:noWrap/>
          </w:tcPr>
          <w:p w14:paraId="156EB7A9" w14:textId="28CC0154" w:rsidR="003C4798" w:rsidRDefault="00417595">
            <w:pPr>
              <w:pStyle w:val="P68B1DB1-Normal45"/>
              <w:spacing w:after="0" w:line="240" w:lineRule="auto"/>
              <w:jc w:val="both"/>
              <w:rPr>
                <w:noProof/>
              </w:rPr>
            </w:pPr>
            <w:r>
              <w:rPr>
                <w:noProof/>
              </w:rPr>
              <w:t>Construction ou modernisation de 360 kilomètres de tronçons du réseau de transport d'électricité (400 kV).</w:t>
            </w:r>
          </w:p>
          <w:p w14:paraId="6D1FBFEF" w14:textId="77777777" w:rsidR="003C4798" w:rsidRDefault="003C4798">
            <w:pPr>
              <w:spacing w:after="0" w:line="240" w:lineRule="auto"/>
              <w:rPr>
                <w:rFonts w:ascii="Times New Roman" w:hAnsi="Times New Roman"/>
                <w:noProof/>
                <w:sz w:val="18"/>
                <w:szCs w:val="18"/>
              </w:rPr>
            </w:pPr>
          </w:p>
          <w:p w14:paraId="1F6303D1" w14:textId="3ED0D8F3" w:rsidR="003C4798" w:rsidRDefault="00417595">
            <w:pPr>
              <w:pStyle w:val="P68B1DB1-Normal45"/>
              <w:spacing w:after="0" w:line="240" w:lineRule="auto"/>
              <w:jc w:val="both"/>
              <w:rPr>
                <w:noProof/>
              </w:rPr>
            </w:pPr>
            <w:r>
              <w:rPr>
                <w:noProof/>
              </w:rPr>
              <w:t>Permis d'occupation délivré pour un bâtiment technique servant de centre informatique.</w:t>
            </w:r>
          </w:p>
          <w:p w14:paraId="1216C2A6" w14:textId="6519D413" w:rsidR="003C4798" w:rsidRDefault="003C4798">
            <w:pPr>
              <w:spacing w:after="0" w:line="240" w:lineRule="auto"/>
              <w:rPr>
                <w:rFonts w:ascii="Times New Roman" w:eastAsia="Times New Roman" w:hAnsi="Times New Roman" w:cs="Times New Roman"/>
                <w:noProof/>
                <w:sz w:val="18"/>
                <w:szCs w:val="18"/>
              </w:rPr>
            </w:pPr>
          </w:p>
        </w:tc>
      </w:tr>
      <w:tr w:rsidR="003C4798" w14:paraId="1216C2B3"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A8" w14:textId="77777777" w:rsidR="003C4798" w:rsidRDefault="00417595">
            <w:pPr>
              <w:pStyle w:val="P68B1DB1-Normal89"/>
              <w:spacing w:after="0" w:line="240" w:lineRule="auto"/>
              <w:jc w:val="center"/>
              <w:rPr>
                <w:noProof/>
              </w:rPr>
            </w:pPr>
            <w:r>
              <w:rPr>
                <w:noProof/>
              </w:rPr>
              <w:t>G18G</w:t>
            </w:r>
          </w:p>
        </w:tc>
        <w:tc>
          <w:tcPr>
            <w:tcW w:w="1559" w:type="dxa"/>
            <w:tcBorders>
              <w:top w:val="single" w:sz="4" w:space="0" w:color="auto"/>
              <w:left w:val="nil"/>
              <w:bottom w:val="single" w:sz="4" w:space="0" w:color="auto"/>
              <w:right w:val="single" w:sz="4" w:space="0" w:color="auto"/>
            </w:tcBorders>
            <w:shd w:val="clear" w:color="auto" w:fill="C6EFCE"/>
            <w:noWrap/>
          </w:tcPr>
          <w:p w14:paraId="1216C2A9" w14:textId="77777777" w:rsidR="003C4798" w:rsidRDefault="00417595">
            <w:pPr>
              <w:pStyle w:val="P68B1DB1-Normal89"/>
              <w:spacing w:after="0" w:line="240" w:lineRule="auto"/>
              <w:rPr>
                <w:noProof/>
              </w:rPr>
            </w:pPr>
            <w:r>
              <w:rPr>
                <w:noProof/>
              </w:rPr>
              <w:t>G1.2.3 Réseaux de transport et infrastructures électriques intelligentes</w:t>
            </w:r>
          </w:p>
        </w:tc>
        <w:tc>
          <w:tcPr>
            <w:tcW w:w="992" w:type="dxa"/>
            <w:tcBorders>
              <w:top w:val="single" w:sz="4" w:space="0" w:color="auto"/>
              <w:left w:val="nil"/>
              <w:bottom w:val="single" w:sz="4" w:space="0" w:color="auto"/>
              <w:right w:val="single" w:sz="4" w:space="0" w:color="auto"/>
            </w:tcBorders>
            <w:shd w:val="clear" w:color="auto" w:fill="C6EFCE"/>
            <w:noWrap/>
          </w:tcPr>
          <w:p w14:paraId="1216C2AA" w14:textId="77777777" w:rsidR="003C4798" w:rsidRDefault="00417595">
            <w:pPr>
              <w:pStyle w:val="P68B1DB1-Normal89"/>
              <w:spacing w:after="0" w:line="240" w:lineRule="auto"/>
              <w:jc w:val="center"/>
              <w:rPr>
                <w:noProof/>
              </w:rPr>
            </w:pPr>
            <w:r>
              <w:rPr>
                <w:noProof/>
              </w:rPr>
              <w:t>Étape</w:t>
            </w:r>
          </w:p>
        </w:tc>
        <w:tc>
          <w:tcPr>
            <w:tcW w:w="1985" w:type="dxa"/>
            <w:tcBorders>
              <w:top w:val="single" w:sz="4" w:space="0" w:color="auto"/>
              <w:left w:val="nil"/>
              <w:bottom w:val="single" w:sz="4" w:space="0" w:color="auto"/>
              <w:right w:val="single" w:sz="4" w:space="0" w:color="auto"/>
            </w:tcBorders>
            <w:shd w:val="clear" w:color="auto" w:fill="C6EFCE"/>
            <w:noWrap/>
          </w:tcPr>
          <w:p w14:paraId="1216C2AB" w14:textId="77777777" w:rsidR="003C4798" w:rsidRDefault="00417595">
            <w:pPr>
              <w:pStyle w:val="P68B1DB1-Normal89"/>
              <w:spacing w:after="0" w:line="240" w:lineRule="auto"/>
              <w:rPr>
                <w:noProof/>
              </w:rPr>
            </w:pPr>
            <w:r>
              <w:rPr>
                <w:noProof/>
              </w:rPr>
              <w:t>Signature de conventions de subvention entre le gestionnaire de réseau de transport (GRT) et les autorités concernant la construction ou la modernisation de tronçons du réseau de transport d'électricité</w:t>
            </w:r>
          </w:p>
        </w:tc>
        <w:tc>
          <w:tcPr>
            <w:tcW w:w="1701" w:type="dxa"/>
            <w:tcBorders>
              <w:top w:val="single" w:sz="4" w:space="0" w:color="auto"/>
              <w:left w:val="nil"/>
              <w:bottom w:val="single" w:sz="4" w:space="0" w:color="auto"/>
              <w:right w:val="single" w:sz="4" w:space="0" w:color="auto"/>
            </w:tcBorders>
            <w:shd w:val="clear" w:color="auto" w:fill="C6EFCE"/>
            <w:noWrap/>
          </w:tcPr>
          <w:p w14:paraId="1216C2AC" w14:textId="77777777" w:rsidR="003C4798" w:rsidRDefault="00417595">
            <w:pPr>
              <w:pStyle w:val="P68B1DB1-Normal89"/>
              <w:spacing w:after="0" w:line="240" w:lineRule="auto"/>
              <w:rPr>
                <w:rFonts w:eastAsia="Times New Roman" w:cs="Times New Roman"/>
                <w:noProof/>
                <w:szCs w:val="18"/>
              </w:rPr>
            </w:pPr>
            <w:r>
              <w:rPr>
                <w:noProof/>
              </w:rPr>
              <w:t>Conventions de subvention signées</w:t>
            </w:r>
          </w:p>
        </w:tc>
        <w:tc>
          <w:tcPr>
            <w:tcW w:w="992" w:type="dxa"/>
            <w:tcBorders>
              <w:top w:val="single" w:sz="4" w:space="0" w:color="auto"/>
              <w:left w:val="nil"/>
              <w:bottom w:val="single" w:sz="4" w:space="0" w:color="auto"/>
              <w:right w:val="single" w:sz="4" w:space="0" w:color="auto"/>
            </w:tcBorders>
            <w:shd w:val="clear" w:color="auto" w:fill="C6EFCE"/>
            <w:noWrap/>
          </w:tcPr>
          <w:p w14:paraId="1216C2AD" w14:textId="77777777" w:rsidR="003C4798" w:rsidRDefault="003C4798">
            <w:pPr>
              <w:spacing w:after="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E" w14:textId="77777777" w:rsidR="003C4798" w:rsidRDefault="003C4798">
            <w:pPr>
              <w:spacing w:after="0" w:line="240" w:lineRule="auto"/>
              <w:jc w:val="center"/>
              <w:rPr>
                <w:rFonts w:ascii="Times New Roman" w:hAnsi="Times New Roman"/>
                <w:noProof/>
                <w:sz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AF" w14:textId="77777777" w:rsidR="003C4798" w:rsidRDefault="003C4798">
            <w:pPr>
              <w:spacing w:after="0" w:line="240" w:lineRule="auto"/>
              <w:jc w:val="center"/>
              <w:rPr>
                <w:rFonts w:ascii="Times New Roman" w:hAnsi="Times New Roman"/>
                <w:noProof/>
                <w:sz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B0" w14:textId="77777777" w:rsidR="003C4798" w:rsidRDefault="00417595">
            <w:pPr>
              <w:pStyle w:val="P68B1DB1-Normal89"/>
              <w:spacing w:after="0" w:line="240" w:lineRule="auto"/>
              <w:jc w:val="center"/>
              <w:rPr>
                <w:noProof/>
              </w:rPr>
            </w:pPr>
            <w:r>
              <w:rPr>
                <w:noProof/>
              </w:rPr>
              <w:t>T4</w:t>
            </w:r>
          </w:p>
        </w:tc>
        <w:tc>
          <w:tcPr>
            <w:tcW w:w="922" w:type="dxa"/>
            <w:tcBorders>
              <w:top w:val="single" w:sz="4" w:space="0" w:color="auto"/>
              <w:left w:val="nil"/>
              <w:bottom w:val="single" w:sz="4" w:space="0" w:color="auto"/>
              <w:right w:val="single" w:sz="4" w:space="0" w:color="auto"/>
            </w:tcBorders>
            <w:shd w:val="clear" w:color="auto" w:fill="C6EFCE"/>
            <w:noWrap/>
          </w:tcPr>
          <w:p w14:paraId="1216C2B1" w14:textId="77777777" w:rsidR="003C4798" w:rsidRDefault="00417595">
            <w:pPr>
              <w:pStyle w:val="P68B1DB1-Normal89"/>
              <w:spacing w:after="0" w:line="240" w:lineRule="auto"/>
              <w:jc w:val="center"/>
              <w:rPr>
                <w:noProof/>
              </w:rPr>
            </w:pPr>
            <w:r>
              <w:rPr>
                <w:noProof/>
              </w:rPr>
              <w:t>2024</w:t>
            </w:r>
          </w:p>
        </w:tc>
        <w:tc>
          <w:tcPr>
            <w:tcW w:w="3685" w:type="dxa"/>
            <w:tcBorders>
              <w:top w:val="single" w:sz="4" w:space="0" w:color="auto"/>
              <w:left w:val="nil"/>
              <w:bottom w:val="single" w:sz="4" w:space="0" w:color="auto"/>
              <w:right w:val="single" w:sz="4" w:space="0" w:color="auto"/>
            </w:tcBorders>
            <w:shd w:val="clear" w:color="auto" w:fill="C6EFCE"/>
            <w:noWrap/>
          </w:tcPr>
          <w:p w14:paraId="1216C2B2" w14:textId="1A6C9591" w:rsidR="003C4798" w:rsidRDefault="00417595">
            <w:pPr>
              <w:pStyle w:val="P68B1DB1-Normal89"/>
              <w:spacing w:after="0" w:line="240" w:lineRule="auto"/>
              <w:rPr>
                <w:rFonts w:eastAsia="Times New Roman" w:cs="Times New Roman"/>
                <w:noProof/>
                <w:szCs w:val="18"/>
              </w:rPr>
            </w:pPr>
            <w:r>
              <w:rPr>
                <w:noProof/>
              </w:rPr>
              <w:t xml:space="preserve">Signature de conventions de subvention pour des projets de construction ou de modernisation de tronçons du réseau de transport d’électricité, représentant 50 km de tronçons </w:t>
            </w:r>
            <w:r>
              <w:rPr>
                <w:noProof/>
                <w:szCs w:val="18"/>
              </w:rPr>
              <w:t xml:space="preserve">du réseau de transport d’électricité de 220 kV </w:t>
            </w:r>
            <w:r>
              <w:rPr>
                <w:noProof/>
              </w:rPr>
              <w:t>et 5 (sous-)stations</w:t>
            </w:r>
            <w:r>
              <w:rPr>
                <w:noProof/>
                <w:szCs w:val="18"/>
              </w:rPr>
              <w:t xml:space="preserve"> du réseau de transport d’électricité.</w:t>
            </w:r>
          </w:p>
        </w:tc>
      </w:tr>
      <w:tr w:rsidR="003C4798" w14:paraId="1216C2BF"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B4" w14:textId="77777777" w:rsidR="003C4798" w:rsidRDefault="00417595">
            <w:pPr>
              <w:pStyle w:val="P68B1DB1-Normal89"/>
              <w:spacing w:after="0" w:line="240" w:lineRule="auto"/>
              <w:jc w:val="center"/>
              <w:rPr>
                <w:rFonts w:eastAsia="Times New Roman" w:cs="Times New Roman"/>
                <w:noProof/>
                <w:szCs w:val="18"/>
              </w:rPr>
            </w:pPr>
            <w:r>
              <w:rPr>
                <w:noProof/>
              </w:rPr>
              <w:t>G19G</w:t>
            </w:r>
          </w:p>
        </w:tc>
        <w:tc>
          <w:tcPr>
            <w:tcW w:w="1559" w:type="dxa"/>
            <w:tcBorders>
              <w:top w:val="single" w:sz="4" w:space="0" w:color="auto"/>
              <w:left w:val="nil"/>
              <w:bottom w:val="single" w:sz="4" w:space="0" w:color="auto"/>
              <w:right w:val="single" w:sz="4" w:space="0" w:color="auto"/>
            </w:tcBorders>
            <w:shd w:val="clear" w:color="auto" w:fill="C6EFCE"/>
            <w:noWrap/>
          </w:tcPr>
          <w:p w14:paraId="1216C2B5" w14:textId="77777777" w:rsidR="003C4798" w:rsidRDefault="00417595">
            <w:pPr>
              <w:pStyle w:val="P68B1DB1-Normal89"/>
              <w:spacing w:after="0" w:line="240" w:lineRule="auto"/>
              <w:rPr>
                <w:rFonts w:eastAsia="Times New Roman" w:cs="Times New Roman"/>
                <w:noProof/>
                <w:szCs w:val="18"/>
              </w:rPr>
            </w:pPr>
            <w:r>
              <w:rPr>
                <w:noProof/>
              </w:rPr>
              <w:t>G1.2.3. Réseaux de transport et infrastructures électriques intelligentes</w:t>
            </w:r>
          </w:p>
        </w:tc>
        <w:tc>
          <w:tcPr>
            <w:tcW w:w="992" w:type="dxa"/>
            <w:tcBorders>
              <w:top w:val="single" w:sz="4" w:space="0" w:color="auto"/>
              <w:left w:val="nil"/>
              <w:bottom w:val="single" w:sz="4" w:space="0" w:color="auto"/>
              <w:right w:val="single" w:sz="4" w:space="0" w:color="auto"/>
            </w:tcBorders>
            <w:shd w:val="clear" w:color="auto" w:fill="C6EFCE"/>
            <w:noWrap/>
          </w:tcPr>
          <w:p w14:paraId="1216C2B6" w14:textId="77777777" w:rsidR="003C4798" w:rsidRDefault="00417595">
            <w:pPr>
              <w:pStyle w:val="P68B1DB1-Normal89"/>
              <w:spacing w:after="0" w:line="240" w:lineRule="auto"/>
              <w:jc w:val="center"/>
              <w:rPr>
                <w:rFonts w:eastAsia="Times New Roman" w:cs="Times New Roman"/>
                <w:noProof/>
                <w:szCs w:val="18"/>
              </w:rPr>
            </w:pPr>
            <w:r>
              <w:rPr>
                <w:noProof/>
              </w:rPr>
              <w:t>Objectif</w:t>
            </w:r>
          </w:p>
        </w:tc>
        <w:tc>
          <w:tcPr>
            <w:tcW w:w="1985" w:type="dxa"/>
            <w:tcBorders>
              <w:top w:val="single" w:sz="4" w:space="0" w:color="auto"/>
              <w:left w:val="nil"/>
              <w:bottom w:val="single" w:sz="4" w:space="0" w:color="auto"/>
              <w:right w:val="single" w:sz="4" w:space="0" w:color="auto"/>
            </w:tcBorders>
            <w:shd w:val="clear" w:color="auto" w:fill="C6EFCE"/>
            <w:noWrap/>
          </w:tcPr>
          <w:p w14:paraId="1216C2B7" w14:textId="67DE447C" w:rsidR="003C4798" w:rsidRDefault="00417595">
            <w:pPr>
              <w:pStyle w:val="P68B1DB1-Normal89"/>
              <w:spacing w:after="0" w:line="240" w:lineRule="auto"/>
              <w:rPr>
                <w:rFonts w:eastAsia="Times New Roman" w:cs="Times New Roman"/>
                <w:noProof/>
                <w:szCs w:val="18"/>
              </w:rPr>
            </w:pPr>
            <w:r>
              <w:rPr>
                <w:noProof/>
              </w:rPr>
              <w:t xml:space="preserve">Longueur du réseau de </w:t>
            </w:r>
            <w:r>
              <w:rPr>
                <w:noProof/>
                <w:szCs w:val="18"/>
              </w:rPr>
              <w:t xml:space="preserve">transport d’électricité </w:t>
            </w:r>
            <w:r>
              <w:rPr>
                <w:noProof/>
              </w:rPr>
              <w:t>construit, modernisé ou modernisé (km)</w:t>
            </w:r>
          </w:p>
        </w:tc>
        <w:tc>
          <w:tcPr>
            <w:tcW w:w="1701" w:type="dxa"/>
            <w:tcBorders>
              <w:top w:val="single" w:sz="4" w:space="0" w:color="auto"/>
              <w:left w:val="nil"/>
              <w:bottom w:val="single" w:sz="4" w:space="0" w:color="auto"/>
              <w:right w:val="single" w:sz="4" w:space="0" w:color="auto"/>
            </w:tcBorders>
            <w:shd w:val="clear" w:color="auto" w:fill="C6EFCE"/>
            <w:noWrap/>
          </w:tcPr>
          <w:p w14:paraId="1216C2B8" w14:textId="77777777" w:rsidR="003C4798" w:rsidRDefault="003C4798">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B9" w14:textId="77777777" w:rsidR="003C4798" w:rsidRDefault="00417595">
            <w:pPr>
              <w:pStyle w:val="P68B1DB1-Normal89"/>
              <w:spacing w:after="0" w:line="240" w:lineRule="auto"/>
              <w:jc w:val="center"/>
              <w:rPr>
                <w:rFonts w:eastAsia="Times New Roman" w:cs="Times New Roman"/>
                <w:noProof/>
                <w:szCs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1216C2BA" w14:textId="77777777" w:rsidR="003C4798" w:rsidRDefault="00417595">
            <w:pPr>
              <w:pStyle w:val="P68B1DB1-Normal89"/>
              <w:spacing w:after="0" w:line="240" w:lineRule="auto"/>
              <w:jc w:val="center"/>
              <w:rPr>
                <w:rFonts w:eastAsia="Times New Roman" w:cs="Times New Roman"/>
                <w:noProof/>
                <w:szCs w:val="18"/>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1216C2BB" w14:textId="77777777" w:rsidR="003C4798" w:rsidRDefault="00417595">
            <w:pPr>
              <w:pStyle w:val="P68B1DB1-Normal89"/>
              <w:spacing w:after="0" w:line="240" w:lineRule="auto"/>
              <w:jc w:val="center"/>
              <w:rPr>
                <w:rFonts w:eastAsia="Times New Roman" w:cs="Times New Roman"/>
                <w:noProof/>
                <w:szCs w:val="18"/>
              </w:rPr>
            </w:pPr>
            <w:r>
              <w:rPr>
                <w:noProof/>
              </w:rPr>
              <w:t>50</w:t>
            </w:r>
          </w:p>
        </w:tc>
        <w:tc>
          <w:tcPr>
            <w:tcW w:w="921" w:type="dxa"/>
            <w:tcBorders>
              <w:top w:val="single" w:sz="4" w:space="0" w:color="auto"/>
              <w:left w:val="nil"/>
              <w:bottom w:val="single" w:sz="4" w:space="0" w:color="auto"/>
              <w:right w:val="single" w:sz="4" w:space="0" w:color="auto"/>
            </w:tcBorders>
            <w:shd w:val="clear" w:color="auto" w:fill="C6EFCE"/>
            <w:noWrap/>
          </w:tcPr>
          <w:p w14:paraId="1216C2BC" w14:textId="77777777" w:rsidR="003C4798" w:rsidRDefault="00417595">
            <w:pPr>
              <w:pStyle w:val="P68B1DB1-Normal89"/>
              <w:spacing w:after="0" w:line="240" w:lineRule="auto"/>
              <w:jc w:val="center"/>
              <w:rPr>
                <w:rFonts w:eastAsia="Times New Roman" w:cs="Times New Roman"/>
                <w:noProof/>
                <w:szCs w:val="18"/>
              </w:rPr>
            </w:pPr>
            <w:r>
              <w:rPr>
                <w:noProof/>
              </w:rPr>
              <w:t>T2</w:t>
            </w:r>
          </w:p>
        </w:tc>
        <w:tc>
          <w:tcPr>
            <w:tcW w:w="922" w:type="dxa"/>
            <w:tcBorders>
              <w:top w:val="single" w:sz="4" w:space="0" w:color="auto"/>
              <w:left w:val="nil"/>
              <w:bottom w:val="single" w:sz="4" w:space="0" w:color="auto"/>
              <w:right w:val="single" w:sz="4" w:space="0" w:color="auto"/>
            </w:tcBorders>
            <w:shd w:val="clear" w:color="auto" w:fill="C6EFCE"/>
            <w:noWrap/>
          </w:tcPr>
          <w:p w14:paraId="1216C2BD" w14:textId="77777777" w:rsidR="003C4798" w:rsidRDefault="00417595">
            <w:pPr>
              <w:pStyle w:val="P68B1DB1-Normal89"/>
              <w:spacing w:after="0" w:line="240" w:lineRule="auto"/>
              <w:jc w:val="center"/>
              <w:rPr>
                <w:rFonts w:eastAsia="Times New Roman" w:cs="Times New Roman"/>
                <w:noProof/>
                <w:szCs w:val="18"/>
              </w:rPr>
            </w:pPr>
            <w:r>
              <w:rPr>
                <w:noProof/>
              </w:rPr>
              <w:t>2026</w:t>
            </w:r>
          </w:p>
        </w:tc>
        <w:tc>
          <w:tcPr>
            <w:tcW w:w="3685" w:type="dxa"/>
            <w:tcBorders>
              <w:top w:val="single" w:sz="4" w:space="0" w:color="auto"/>
              <w:left w:val="nil"/>
              <w:bottom w:val="single" w:sz="4" w:space="0" w:color="auto"/>
              <w:right w:val="single" w:sz="4" w:space="0" w:color="auto"/>
            </w:tcBorders>
            <w:shd w:val="clear" w:color="auto" w:fill="C6EFCE"/>
            <w:noWrap/>
          </w:tcPr>
          <w:p w14:paraId="1216C2BE" w14:textId="31E69E32" w:rsidR="003C4798" w:rsidRDefault="00417595">
            <w:pPr>
              <w:pStyle w:val="P68B1DB1-Normal45"/>
              <w:spacing w:after="0" w:line="240" w:lineRule="auto"/>
              <w:rPr>
                <w:rFonts w:eastAsia="Times New Roman" w:cs="Times New Roman"/>
                <w:noProof/>
              </w:rPr>
            </w:pPr>
            <w:r>
              <w:rPr>
                <w:noProof/>
              </w:rPr>
              <w:t>Nombre de kilomètres de tronçons construits, modernisés ou modernisés du réseau de transport d’électricité (220 kV).</w:t>
            </w:r>
          </w:p>
        </w:tc>
      </w:tr>
      <w:tr w:rsidR="003C4798" w14:paraId="1216C2CB"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C0" w14:textId="77777777" w:rsidR="003C4798" w:rsidRDefault="00417595">
            <w:pPr>
              <w:pStyle w:val="P68B1DB1-Normal89"/>
              <w:spacing w:after="0" w:line="240" w:lineRule="auto"/>
              <w:jc w:val="center"/>
              <w:rPr>
                <w:rFonts w:eastAsia="Times New Roman" w:cs="Times New Roman"/>
                <w:noProof/>
                <w:szCs w:val="18"/>
              </w:rPr>
            </w:pPr>
            <w:r>
              <w:rPr>
                <w:noProof/>
              </w:rPr>
              <w:t>G20G</w:t>
            </w:r>
          </w:p>
        </w:tc>
        <w:tc>
          <w:tcPr>
            <w:tcW w:w="1559" w:type="dxa"/>
            <w:tcBorders>
              <w:top w:val="single" w:sz="4" w:space="0" w:color="auto"/>
              <w:left w:val="nil"/>
              <w:bottom w:val="single" w:sz="4" w:space="0" w:color="auto"/>
              <w:right w:val="single" w:sz="4" w:space="0" w:color="auto"/>
            </w:tcBorders>
            <w:shd w:val="clear" w:color="auto" w:fill="C6EFCE"/>
            <w:noWrap/>
          </w:tcPr>
          <w:p w14:paraId="1216C2C1" w14:textId="61A0806C" w:rsidR="003C4798" w:rsidRDefault="00417595">
            <w:pPr>
              <w:pStyle w:val="P68B1DB1-Normal89"/>
              <w:spacing w:after="0" w:line="240" w:lineRule="auto"/>
              <w:rPr>
                <w:rFonts w:eastAsia="Times New Roman" w:cs="Times New Roman"/>
                <w:noProof/>
                <w:szCs w:val="18"/>
              </w:rPr>
            </w:pPr>
            <w:r>
              <w:rPr>
                <w:noProof/>
              </w:rPr>
              <w:t>G1.2.3 Réseaux de transport et infrastructures électriques intelligentes</w:t>
            </w:r>
          </w:p>
        </w:tc>
        <w:tc>
          <w:tcPr>
            <w:tcW w:w="992" w:type="dxa"/>
            <w:tcBorders>
              <w:top w:val="single" w:sz="4" w:space="0" w:color="auto"/>
              <w:left w:val="nil"/>
              <w:bottom w:val="single" w:sz="4" w:space="0" w:color="auto"/>
              <w:right w:val="single" w:sz="4" w:space="0" w:color="auto"/>
            </w:tcBorders>
            <w:shd w:val="clear" w:color="auto" w:fill="C6EFCE"/>
            <w:noWrap/>
          </w:tcPr>
          <w:p w14:paraId="1216C2C2" w14:textId="77777777" w:rsidR="003C4798" w:rsidRDefault="00417595">
            <w:pPr>
              <w:pStyle w:val="P68B1DB1-Normal89"/>
              <w:spacing w:after="0" w:line="240" w:lineRule="auto"/>
              <w:jc w:val="center"/>
              <w:rPr>
                <w:rFonts w:eastAsia="Times New Roman" w:cs="Times New Roman"/>
                <w:noProof/>
                <w:szCs w:val="18"/>
              </w:rPr>
            </w:pPr>
            <w:r>
              <w:rPr>
                <w:noProof/>
              </w:rPr>
              <w:t>Objectif</w:t>
            </w:r>
          </w:p>
        </w:tc>
        <w:tc>
          <w:tcPr>
            <w:tcW w:w="1985" w:type="dxa"/>
            <w:tcBorders>
              <w:top w:val="single" w:sz="4" w:space="0" w:color="auto"/>
              <w:left w:val="nil"/>
              <w:bottom w:val="single" w:sz="4" w:space="0" w:color="auto"/>
              <w:right w:val="single" w:sz="4" w:space="0" w:color="auto"/>
            </w:tcBorders>
            <w:shd w:val="clear" w:color="auto" w:fill="C6EFCE"/>
            <w:noWrap/>
          </w:tcPr>
          <w:p w14:paraId="1216C2C3" w14:textId="77777777" w:rsidR="003C4798" w:rsidRDefault="00417595">
            <w:pPr>
              <w:pStyle w:val="P68B1DB1-Normal89"/>
              <w:spacing w:after="0" w:line="240" w:lineRule="auto"/>
              <w:rPr>
                <w:rFonts w:eastAsia="Times New Roman" w:cs="Times New Roman"/>
                <w:noProof/>
                <w:szCs w:val="18"/>
              </w:rPr>
            </w:pPr>
            <w:r>
              <w:rPr>
                <w:noProof/>
              </w:rPr>
              <w:t>Stations étendues, mises à niveau ou nouvelles (sous-)stations au sein du réseau de transmission</w:t>
            </w:r>
          </w:p>
        </w:tc>
        <w:tc>
          <w:tcPr>
            <w:tcW w:w="1701" w:type="dxa"/>
            <w:tcBorders>
              <w:top w:val="single" w:sz="4" w:space="0" w:color="auto"/>
              <w:left w:val="nil"/>
              <w:bottom w:val="single" w:sz="4" w:space="0" w:color="auto"/>
              <w:right w:val="single" w:sz="4" w:space="0" w:color="auto"/>
            </w:tcBorders>
            <w:shd w:val="clear" w:color="auto" w:fill="C6EFCE"/>
            <w:noWrap/>
          </w:tcPr>
          <w:p w14:paraId="1216C2C4" w14:textId="77777777" w:rsidR="003C4798" w:rsidRDefault="003C4798">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C5" w14:textId="77777777" w:rsidR="003C4798" w:rsidRDefault="00417595">
            <w:pPr>
              <w:pStyle w:val="P68B1DB1-Normal89"/>
              <w:spacing w:after="0" w:line="240" w:lineRule="auto"/>
              <w:jc w:val="center"/>
              <w:rPr>
                <w:rFonts w:eastAsia="Times New Roman" w:cs="Times New Roman"/>
                <w:noProof/>
                <w:szCs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1216C2C6" w14:textId="77777777" w:rsidR="003C4798" w:rsidRDefault="00417595">
            <w:pPr>
              <w:pStyle w:val="P68B1DB1-Normal89"/>
              <w:spacing w:after="0" w:line="240" w:lineRule="auto"/>
              <w:jc w:val="center"/>
              <w:rPr>
                <w:rFonts w:eastAsia="Times New Roman" w:cs="Times New Roman"/>
                <w:noProof/>
                <w:szCs w:val="18"/>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1216C2C7" w14:textId="77777777" w:rsidR="003C4798" w:rsidRDefault="00417595">
            <w:pPr>
              <w:pStyle w:val="P68B1DB1-Normal89"/>
              <w:spacing w:after="0" w:line="240" w:lineRule="auto"/>
              <w:jc w:val="center"/>
              <w:rPr>
                <w:rFonts w:eastAsia="Times New Roman" w:cs="Times New Roman"/>
                <w:noProof/>
                <w:szCs w:val="18"/>
              </w:rPr>
            </w:pPr>
            <w:r>
              <w:rPr>
                <w:noProof/>
              </w:rPr>
              <w:t>5</w:t>
            </w:r>
          </w:p>
        </w:tc>
        <w:tc>
          <w:tcPr>
            <w:tcW w:w="921" w:type="dxa"/>
            <w:tcBorders>
              <w:top w:val="single" w:sz="4" w:space="0" w:color="auto"/>
              <w:left w:val="nil"/>
              <w:bottom w:val="single" w:sz="4" w:space="0" w:color="auto"/>
              <w:right w:val="single" w:sz="4" w:space="0" w:color="auto"/>
            </w:tcBorders>
            <w:shd w:val="clear" w:color="auto" w:fill="C6EFCE"/>
            <w:noWrap/>
          </w:tcPr>
          <w:p w14:paraId="1216C2C8" w14:textId="77777777" w:rsidR="003C4798" w:rsidRDefault="00417595">
            <w:pPr>
              <w:pStyle w:val="P68B1DB1-Normal89"/>
              <w:spacing w:after="0" w:line="240" w:lineRule="auto"/>
              <w:jc w:val="center"/>
              <w:rPr>
                <w:rFonts w:eastAsia="Times New Roman" w:cs="Times New Roman"/>
                <w:noProof/>
                <w:szCs w:val="18"/>
              </w:rPr>
            </w:pPr>
            <w:r>
              <w:rPr>
                <w:noProof/>
              </w:rPr>
              <w:t>T2</w:t>
            </w:r>
          </w:p>
        </w:tc>
        <w:tc>
          <w:tcPr>
            <w:tcW w:w="922" w:type="dxa"/>
            <w:tcBorders>
              <w:top w:val="single" w:sz="4" w:space="0" w:color="auto"/>
              <w:left w:val="nil"/>
              <w:bottom w:val="single" w:sz="4" w:space="0" w:color="auto"/>
              <w:right w:val="single" w:sz="4" w:space="0" w:color="auto"/>
            </w:tcBorders>
            <w:shd w:val="clear" w:color="auto" w:fill="C6EFCE"/>
            <w:noWrap/>
          </w:tcPr>
          <w:p w14:paraId="1216C2C9" w14:textId="77777777" w:rsidR="003C4798" w:rsidRDefault="00417595">
            <w:pPr>
              <w:pStyle w:val="P68B1DB1-Normal89"/>
              <w:spacing w:after="0" w:line="240" w:lineRule="auto"/>
              <w:jc w:val="center"/>
              <w:rPr>
                <w:rFonts w:eastAsia="Times New Roman" w:cs="Times New Roman"/>
                <w:noProof/>
                <w:szCs w:val="18"/>
              </w:rPr>
            </w:pPr>
            <w:r>
              <w:rPr>
                <w:noProof/>
              </w:rPr>
              <w:t>2026</w:t>
            </w:r>
          </w:p>
        </w:tc>
        <w:tc>
          <w:tcPr>
            <w:tcW w:w="3685" w:type="dxa"/>
            <w:tcBorders>
              <w:top w:val="single" w:sz="4" w:space="0" w:color="auto"/>
              <w:left w:val="nil"/>
              <w:bottom w:val="single" w:sz="4" w:space="0" w:color="auto"/>
              <w:right w:val="single" w:sz="4" w:space="0" w:color="auto"/>
            </w:tcBorders>
            <w:shd w:val="clear" w:color="auto" w:fill="C6EFCE"/>
            <w:noWrap/>
          </w:tcPr>
          <w:p w14:paraId="1216C2CA" w14:textId="10024F68" w:rsidR="003C4798" w:rsidRDefault="00417595">
            <w:pPr>
              <w:pStyle w:val="P68B1DB1-Normal45"/>
              <w:spacing w:after="0" w:line="240" w:lineRule="auto"/>
              <w:rPr>
                <w:rFonts w:eastAsia="Times New Roman" w:cs="Times New Roman"/>
                <w:noProof/>
              </w:rPr>
            </w:pPr>
            <w:r>
              <w:rPr>
                <w:noProof/>
              </w:rPr>
              <w:t>Nombre de stations étendues, modernisées ou nouvelles (sous-)stations du réseau de transport d’électricité.</w:t>
            </w:r>
          </w:p>
        </w:tc>
      </w:tr>
      <w:tr w:rsidR="003C4798" w14:paraId="1216C2D7"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CC" w14:textId="7666F315" w:rsidR="003C4798" w:rsidRDefault="00417595">
            <w:pPr>
              <w:pStyle w:val="P68B1DB1-Normal45"/>
              <w:spacing w:after="0" w:line="240" w:lineRule="auto"/>
              <w:jc w:val="center"/>
              <w:rPr>
                <w:rFonts w:eastAsia="Times New Roman" w:cs="Times New Roman"/>
                <w:noProof/>
              </w:rPr>
            </w:pPr>
            <w:r>
              <w:rPr>
                <w:noProof/>
              </w:rPr>
              <w:t>G21G</w:t>
            </w:r>
          </w:p>
        </w:tc>
        <w:tc>
          <w:tcPr>
            <w:tcW w:w="1559" w:type="dxa"/>
            <w:tcBorders>
              <w:top w:val="single" w:sz="4" w:space="0" w:color="auto"/>
              <w:left w:val="nil"/>
              <w:bottom w:val="single" w:sz="4" w:space="0" w:color="auto"/>
              <w:right w:val="single" w:sz="4" w:space="0" w:color="auto"/>
            </w:tcBorders>
            <w:shd w:val="clear" w:color="auto" w:fill="C6EFCE"/>
            <w:noWrap/>
          </w:tcPr>
          <w:p w14:paraId="1216C2CD" w14:textId="77777777" w:rsidR="003C4798" w:rsidRDefault="00417595">
            <w:pPr>
              <w:pStyle w:val="P68B1DB1-Normal89"/>
              <w:spacing w:after="0" w:line="240" w:lineRule="auto"/>
              <w:rPr>
                <w:rFonts w:eastAsia="Times New Roman" w:cs="Times New Roman"/>
                <w:noProof/>
                <w:szCs w:val="18"/>
              </w:rPr>
            </w:pPr>
            <w:r>
              <w:rPr>
                <w:noProof/>
              </w:rPr>
              <w:t>G1.2.3 Réseaux de transport et infrastructures électriques intelligentes</w:t>
            </w:r>
          </w:p>
        </w:tc>
        <w:tc>
          <w:tcPr>
            <w:tcW w:w="992" w:type="dxa"/>
            <w:tcBorders>
              <w:top w:val="single" w:sz="4" w:space="0" w:color="auto"/>
              <w:left w:val="nil"/>
              <w:bottom w:val="single" w:sz="4" w:space="0" w:color="auto"/>
              <w:right w:val="single" w:sz="4" w:space="0" w:color="auto"/>
            </w:tcBorders>
            <w:shd w:val="clear" w:color="auto" w:fill="C6EFCE"/>
            <w:noWrap/>
          </w:tcPr>
          <w:p w14:paraId="1216C2CE" w14:textId="77777777" w:rsidR="003C4798" w:rsidRDefault="00417595">
            <w:pPr>
              <w:pStyle w:val="P68B1DB1-Normal89"/>
              <w:spacing w:after="0" w:line="240" w:lineRule="auto"/>
              <w:jc w:val="center"/>
              <w:rPr>
                <w:rFonts w:eastAsia="Times New Roman" w:cs="Times New Roman"/>
                <w:noProof/>
                <w:szCs w:val="18"/>
              </w:rPr>
            </w:pPr>
            <w:r>
              <w:rPr>
                <w:noProof/>
              </w:rPr>
              <w:t>Étape</w:t>
            </w:r>
          </w:p>
        </w:tc>
        <w:tc>
          <w:tcPr>
            <w:tcW w:w="1985" w:type="dxa"/>
            <w:tcBorders>
              <w:top w:val="single" w:sz="4" w:space="0" w:color="auto"/>
              <w:left w:val="nil"/>
              <w:bottom w:val="single" w:sz="4" w:space="0" w:color="auto"/>
              <w:right w:val="single" w:sz="4" w:space="0" w:color="auto"/>
            </w:tcBorders>
            <w:shd w:val="clear" w:color="auto" w:fill="C6EFCE"/>
            <w:noWrap/>
          </w:tcPr>
          <w:p w14:paraId="1216C2CF" w14:textId="343EC266" w:rsidR="003C4798" w:rsidRDefault="00417595">
            <w:pPr>
              <w:pStyle w:val="P68B1DB1-Normal89"/>
              <w:spacing w:after="0" w:line="240" w:lineRule="auto"/>
              <w:rPr>
                <w:rFonts w:eastAsia="Times New Roman" w:cs="Times New Roman"/>
                <w:noProof/>
                <w:szCs w:val="18"/>
              </w:rPr>
            </w:pPr>
            <w:r>
              <w:rPr>
                <w:noProof/>
                <w:szCs w:val="18"/>
              </w:rPr>
              <w:t>Système central d'information sur le marché de l'énergie (CSIRE) et  systèmes de surveillance de la qualité de l'énergie</w:t>
            </w:r>
          </w:p>
        </w:tc>
        <w:tc>
          <w:tcPr>
            <w:tcW w:w="1701" w:type="dxa"/>
            <w:tcBorders>
              <w:top w:val="single" w:sz="4" w:space="0" w:color="auto"/>
              <w:left w:val="nil"/>
              <w:bottom w:val="single" w:sz="4" w:space="0" w:color="auto"/>
              <w:right w:val="single" w:sz="4" w:space="0" w:color="auto"/>
            </w:tcBorders>
            <w:shd w:val="clear" w:color="auto" w:fill="C6EFCE"/>
            <w:noWrap/>
          </w:tcPr>
          <w:p w14:paraId="1216C2D0" w14:textId="04678888" w:rsidR="003C4798" w:rsidRDefault="00417595">
            <w:pPr>
              <w:pStyle w:val="P68B1DB1-Normal89"/>
              <w:spacing w:after="0" w:line="240" w:lineRule="auto"/>
              <w:rPr>
                <w:rFonts w:eastAsia="Times New Roman" w:cs="Times New Roman"/>
                <w:noProof/>
                <w:szCs w:val="18"/>
              </w:rPr>
            </w:pPr>
            <w:r>
              <w:rPr>
                <w:noProof/>
                <w:szCs w:val="18"/>
              </w:rPr>
              <w:t>Installation d’un système central d’information sur le marché de l’énergie (CSIRE) et installation de systèmes de surveillance de la qualité de l’électricité dans 48 sous-stations</w:t>
            </w:r>
          </w:p>
        </w:tc>
        <w:tc>
          <w:tcPr>
            <w:tcW w:w="992" w:type="dxa"/>
            <w:tcBorders>
              <w:top w:val="single" w:sz="4" w:space="0" w:color="auto"/>
              <w:left w:val="nil"/>
              <w:bottom w:val="single" w:sz="4" w:space="0" w:color="auto"/>
              <w:right w:val="single" w:sz="4" w:space="0" w:color="auto"/>
            </w:tcBorders>
            <w:shd w:val="clear" w:color="auto" w:fill="C6EFCE"/>
            <w:noWrap/>
          </w:tcPr>
          <w:p w14:paraId="1216C2D1"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D2"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D3"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D4" w14:textId="77777777" w:rsidR="003C4798" w:rsidRDefault="00417595">
            <w:pPr>
              <w:pStyle w:val="P68B1DB1-Normal89"/>
              <w:spacing w:after="0" w:line="240" w:lineRule="auto"/>
              <w:jc w:val="center"/>
              <w:rPr>
                <w:rFonts w:eastAsia="Times New Roman" w:cs="Times New Roman"/>
                <w:noProof/>
                <w:szCs w:val="18"/>
              </w:rPr>
            </w:pPr>
            <w:r>
              <w:rPr>
                <w:noProof/>
              </w:rPr>
              <w:t>T3</w:t>
            </w:r>
          </w:p>
        </w:tc>
        <w:tc>
          <w:tcPr>
            <w:tcW w:w="922" w:type="dxa"/>
            <w:tcBorders>
              <w:top w:val="single" w:sz="4" w:space="0" w:color="auto"/>
              <w:left w:val="nil"/>
              <w:bottom w:val="single" w:sz="4" w:space="0" w:color="auto"/>
              <w:right w:val="single" w:sz="4" w:space="0" w:color="auto"/>
            </w:tcBorders>
            <w:shd w:val="clear" w:color="auto" w:fill="C6EFCE"/>
            <w:noWrap/>
          </w:tcPr>
          <w:p w14:paraId="1216C2D5" w14:textId="77777777" w:rsidR="003C4798" w:rsidRDefault="00417595">
            <w:pPr>
              <w:pStyle w:val="P68B1DB1-Normal89"/>
              <w:spacing w:after="0" w:line="240" w:lineRule="auto"/>
              <w:jc w:val="center"/>
              <w:rPr>
                <w:rFonts w:eastAsia="Times New Roman" w:cs="Times New Roman"/>
                <w:noProof/>
                <w:szCs w:val="18"/>
              </w:rPr>
            </w:pPr>
            <w:r>
              <w:rPr>
                <w:noProof/>
              </w:rPr>
              <w:t>2025</w:t>
            </w:r>
          </w:p>
        </w:tc>
        <w:tc>
          <w:tcPr>
            <w:tcW w:w="3685" w:type="dxa"/>
            <w:tcBorders>
              <w:top w:val="single" w:sz="4" w:space="0" w:color="auto"/>
              <w:left w:val="nil"/>
              <w:bottom w:val="single" w:sz="4" w:space="0" w:color="auto"/>
              <w:right w:val="single" w:sz="4" w:space="0" w:color="auto"/>
            </w:tcBorders>
            <w:shd w:val="clear" w:color="auto" w:fill="C6EFCE"/>
            <w:noWrap/>
          </w:tcPr>
          <w:p w14:paraId="1216C2D6" w14:textId="3E9A1C38" w:rsidR="003C4798" w:rsidRDefault="00417595">
            <w:pPr>
              <w:pStyle w:val="P68B1DB1-Normal45"/>
              <w:spacing w:after="0" w:line="240" w:lineRule="auto"/>
              <w:rPr>
                <w:rFonts w:eastAsia="Times New Roman" w:cs="Times New Roman"/>
                <w:noProof/>
              </w:rPr>
            </w:pPr>
            <w:r>
              <w:rPr>
                <w:noProof/>
              </w:rPr>
              <w:t>Installation d'un système central d'information sur le marché de l'énergie (CSIRE) et installation de systèmes de surveillance de la qualité de l'électricité dans 48 sous-stations.</w:t>
            </w:r>
          </w:p>
        </w:tc>
      </w:tr>
      <w:tr w:rsidR="003C4798" w14:paraId="1216C2E3"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D8" w14:textId="5CA786A7" w:rsidR="003C4798" w:rsidRDefault="00417595">
            <w:pPr>
              <w:pStyle w:val="P68B1DB1-Normal89"/>
              <w:spacing w:after="0" w:line="240" w:lineRule="auto"/>
              <w:jc w:val="center"/>
              <w:rPr>
                <w:rFonts w:eastAsia="Times New Roman" w:cs="Times New Roman"/>
                <w:noProof/>
                <w:szCs w:val="18"/>
              </w:rPr>
            </w:pPr>
            <w:r>
              <w:rPr>
                <w:noProof/>
              </w:rPr>
              <w:t>G22G</w:t>
            </w:r>
          </w:p>
        </w:tc>
        <w:tc>
          <w:tcPr>
            <w:tcW w:w="1559" w:type="dxa"/>
            <w:tcBorders>
              <w:top w:val="single" w:sz="4" w:space="0" w:color="auto"/>
              <w:left w:val="nil"/>
              <w:bottom w:val="single" w:sz="4" w:space="0" w:color="auto"/>
              <w:right w:val="single" w:sz="4" w:space="0" w:color="auto"/>
            </w:tcBorders>
            <w:shd w:val="clear" w:color="auto" w:fill="C6EFCE"/>
            <w:noWrap/>
          </w:tcPr>
          <w:p w14:paraId="1216C2D9" w14:textId="77777777" w:rsidR="003C4798" w:rsidRDefault="00417595">
            <w:pPr>
              <w:pStyle w:val="P68B1DB1-Normal89"/>
              <w:spacing w:after="0" w:line="240" w:lineRule="auto"/>
              <w:rPr>
                <w:rFonts w:eastAsia="Times New Roman" w:cs="Times New Roman"/>
                <w:noProof/>
                <w:szCs w:val="18"/>
              </w:rPr>
            </w:pPr>
            <w:r>
              <w:rPr>
                <w:noProof/>
              </w:rPr>
              <w:t>G1.2.3 Réseaux de transport et infrastructures électriques intelligentes</w:t>
            </w:r>
          </w:p>
        </w:tc>
        <w:tc>
          <w:tcPr>
            <w:tcW w:w="992" w:type="dxa"/>
            <w:tcBorders>
              <w:top w:val="single" w:sz="4" w:space="0" w:color="auto"/>
              <w:left w:val="nil"/>
              <w:bottom w:val="single" w:sz="4" w:space="0" w:color="auto"/>
              <w:right w:val="single" w:sz="4" w:space="0" w:color="auto"/>
            </w:tcBorders>
            <w:shd w:val="clear" w:color="auto" w:fill="C6EFCE"/>
            <w:noWrap/>
          </w:tcPr>
          <w:p w14:paraId="1216C2DA" w14:textId="77777777" w:rsidR="003C4798" w:rsidRDefault="00417595">
            <w:pPr>
              <w:pStyle w:val="P68B1DB1-Normal89"/>
              <w:spacing w:after="0" w:line="240" w:lineRule="auto"/>
              <w:jc w:val="center"/>
              <w:rPr>
                <w:rFonts w:eastAsia="Times New Roman" w:cs="Times New Roman"/>
                <w:noProof/>
                <w:szCs w:val="18"/>
              </w:rPr>
            </w:pPr>
            <w:r>
              <w:rPr>
                <w:noProof/>
              </w:rPr>
              <w:t>Objectif</w:t>
            </w:r>
          </w:p>
        </w:tc>
        <w:tc>
          <w:tcPr>
            <w:tcW w:w="1985" w:type="dxa"/>
            <w:tcBorders>
              <w:top w:val="single" w:sz="4" w:space="0" w:color="auto"/>
              <w:left w:val="nil"/>
              <w:bottom w:val="single" w:sz="4" w:space="0" w:color="auto"/>
              <w:right w:val="single" w:sz="4" w:space="0" w:color="auto"/>
            </w:tcBorders>
            <w:shd w:val="clear" w:color="auto" w:fill="C6EFCE"/>
            <w:noWrap/>
          </w:tcPr>
          <w:p w14:paraId="1216C2DB" w14:textId="7D021176" w:rsidR="003C4798" w:rsidRDefault="00417595">
            <w:pPr>
              <w:pStyle w:val="P68B1DB1-Normal45"/>
              <w:spacing w:after="0" w:line="240" w:lineRule="auto"/>
              <w:rPr>
                <w:rFonts w:eastAsia="Times New Roman" w:cs="Times New Roman"/>
                <w:noProof/>
              </w:rPr>
            </w:pPr>
            <w:r>
              <w:rPr>
                <w:noProof/>
              </w:rPr>
              <w:t>Systèmes informatiques pour le gestionnaire de réseau de transport</w:t>
            </w:r>
          </w:p>
        </w:tc>
        <w:tc>
          <w:tcPr>
            <w:tcW w:w="1701" w:type="dxa"/>
            <w:tcBorders>
              <w:top w:val="single" w:sz="4" w:space="0" w:color="auto"/>
              <w:left w:val="nil"/>
              <w:bottom w:val="single" w:sz="4" w:space="0" w:color="auto"/>
              <w:right w:val="single" w:sz="4" w:space="0" w:color="auto"/>
            </w:tcBorders>
            <w:shd w:val="clear" w:color="auto" w:fill="C6EFCE"/>
            <w:noWrap/>
          </w:tcPr>
          <w:p w14:paraId="1216C2DC" w14:textId="77777777" w:rsidR="003C4798" w:rsidRDefault="003C4798">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DD" w14:textId="77777777" w:rsidR="003C4798" w:rsidRDefault="00417595">
            <w:pPr>
              <w:pStyle w:val="P68B1DB1-Normal89"/>
              <w:spacing w:after="0" w:line="240" w:lineRule="auto"/>
              <w:jc w:val="center"/>
              <w:rPr>
                <w:rFonts w:eastAsia="Times New Roman" w:cs="Times New Roman"/>
                <w:noProof/>
                <w:szCs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1216C2DE" w14:textId="77777777" w:rsidR="003C4798" w:rsidRDefault="00417595">
            <w:pPr>
              <w:pStyle w:val="P68B1DB1-Normal89"/>
              <w:spacing w:after="0" w:line="240" w:lineRule="auto"/>
              <w:jc w:val="center"/>
              <w:rPr>
                <w:rFonts w:eastAsia="Times New Roman" w:cs="Times New Roman"/>
                <w:noProof/>
                <w:szCs w:val="18"/>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1216C2DF" w14:textId="77777777" w:rsidR="003C4798" w:rsidRDefault="00417595">
            <w:pPr>
              <w:pStyle w:val="P68B1DB1-Normal89"/>
              <w:spacing w:after="0" w:line="240" w:lineRule="auto"/>
              <w:jc w:val="center"/>
              <w:rPr>
                <w:rFonts w:eastAsia="Times New Roman" w:cs="Times New Roman"/>
                <w:noProof/>
                <w:szCs w:val="18"/>
              </w:rPr>
            </w:pPr>
            <w:r>
              <w:rPr>
                <w:noProof/>
              </w:rPr>
              <w:t>3</w:t>
            </w:r>
          </w:p>
        </w:tc>
        <w:tc>
          <w:tcPr>
            <w:tcW w:w="921" w:type="dxa"/>
            <w:tcBorders>
              <w:top w:val="single" w:sz="4" w:space="0" w:color="auto"/>
              <w:left w:val="nil"/>
              <w:bottom w:val="single" w:sz="4" w:space="0" w:color="auto"/>
              <w:right w:val="single" w:sz="4" w:space="0" w:color="auto"/>
            </w:tcBorders>
            <w:shd w:val="clear" w:color="auto" w:fill="C6EFCE"/>
            <w:noWrap/>
          </w:tcPr>
          <w:p w14:paraId="1216C2E0" w14:textId="77777777" w:rsidR="003C4798" w:rsidRDefault="00417595">
            <w:pPr>
              <w:pStyle w:val="P68B1DB1-Normal89"/>
              <w:spacing w:after="0" w:line="240" w:lineRule="auto"/>
              <w:jc w:val="center"/>
              <w:rPr>
                <w:rFonts w:eastAsia="Times New Roman" w:cs="Times New Roman"/>
                <w:noProof/>
                <w:szCs w:val="18"/>
              </w:rPr>
            </w:pPr>
            <w:r>
              <w:rPr>
                <w:noProof/>
              </w:rPr>
              <w:t>T4</w:t>
            </w:r>
          </w:p>
        </w:tc>
        <w:tc>
          <w:tcPr>
            <w:tcW w:w="922" w:type="dxa"/>
            <w:tcBorders>
              <w:top w:val="single" w:sz="4" w:space="0" w:color="auto"/>
              <w:left w:val="nil"/>
              <w:bottom w:val="single" w:sz="4" w:space="0" w:color="auto"/>
              <w:right w:val="single" w:sz="4" w:space="0" w:color="auto"/>
            </w:tcBorders>
            <w:shd w:val="clear" w:color="auto" w:fill="C6EFCE"/>
            <w:noWrap/>
          </w:tcPr>
          <w:p w14:paraId="1216C2E1" w14:textId="77777777" w:rsidR="003C4798" w:rsidRDefault="00417595">
            <w:pPr>
              <w:pStyle w:val="P68B1DB1-Normal89"/>
              <w:spacing w:after="0" w:line="240" w:lineRule="auto"/>
              <w:jc w:val="center"/>
              <w:rPr>
                <w:rFonts w:eastAsia="Times New Roman" w:cs="Times New Roman"/>
                <w:noProof/>
                <w:szCs w:val="18"/>
              </w:rPr>
            </w:pPr>
            <w:r>
              <w:rPr>
                <w:noProof/>
              </w:rPr>
              <w:t>2025</w:t>
            </w:r>
          </w:p>
        </w:tc>
        <w:tc>
          <w:tcPr>
            <w:tcW w:w="3685" w:type="dxa"/>
            <w:tcBorders>
              <w:top w:val="single" w:sz="4" w:space="0" w:color="auto"/>
              <w:left w:val="nil"/>
              <w:bottom w:val="single" w:sz="4" w:space="0" w:color="auto"/>
              <w:right w:val="single" w:sz="4" w:space="0" w:color="auto"/>
            </w:tcBorders>
            <w:shd w:val="clear" w:color="auto" w:fill="C6EFCE"/>
            <w:noWrap/>
          </w:tcPr>
          <w:p w14:paraId="32869D9A" w14:textId="615DF936" w:rsidR="003C4798" w:rsidRDefault="00417595">
            <w:pPr>
              <w:pStyle w:val="P68B1DB1-Normal45"/>
              <w:spacing w:after="0" w:line="240" w:lineRule="auto"/>
              <w:rPr>
                <w:noProof/>
              </w:rPr>
            </w:pPr>
            <w:r>
              <w:rPr>
                <w:noProof/>
              </w:rPr>
              <w:t>Trois systèmes informatiques nouveaux, mis à niveau ou étendus, y compris l’infrastructure technique, pour le gestionnaire de réseau de transport (GRT), notamment:</w:t>
            </w:r>
          </w:p>
          <w:p w14:paraId="4B893741" w14:textId="28D28008" w:rsidR="003C4798" w:rsidRDefault="00417595">
            <w:pPr>
              <w:pStyle w:val="P68B1DB1-ListParagraph97"/>
              <w:numPr>
                <w:ilvl w:val="0"/>
                <w:numId w:val="39"/>
              </w:numPr>
              <w:spacing w:after="0" w:line="240" w:lineRule="auto"/>
              <w:ind w:left="173" w:hanging="173"/>
              <w:rPr>
                <w:noProof/>
              </w:rPr>
            </w:pPr>
            <w:r>
              <w:rPr>
                <w:noProof/>
              </w:rPr>
              <w:t>un centre de données;</w:t>
            </w:r>
          </w:p>
          <w:p w14:paraId="4F2F0593" w14:textId="22E1F26B" w:rsidR="003C4798" w:rsidRDefault="00417595">
            <w:pPr>
              <w:pStyle w:val="P68B1DB1-ListParagraph97"/>
              <w:numPr>
                <w:ilvl w:val="0"/>
                <w:numId w:val="39"/>
              </w:numPr>
              <w:spacing w:after="0" w:line="240" w:lineRule="auto"/>
              <w:ind w:left="173" w:hanging="173"/>
              <w:rPr>
                <w:noProof/>
              </w:rPr>
            </w:pPr>
            <w:r>
              <w:rPr>
                <w:noProof/>
              </w:rPr>
              <w:t>logiciels pour le marché de l’équilibrage du marché de l’électricité;</w:t>
            </w:r>
          </w:p>
          <w:p w14:paraId="1216C2E2" w14:textId="55A2337E" w:rsidR="003C4798" w:rsidRDefault="00417595">
            <w:pPr>
              <w:pStyle w:val="P68B1DB1-ListParagraph97"/>
              <w:numPr>
                <w:ilvl w:val="0"/>
                <w:numId w:val="39"/>
              </w:numPr>
              <w:spacing w:after="0" w:line="240" w:lineRule="auto"/>
              <w:ind w:left="173" w:hanging="173"/>
              <w:rPr>
                <w:rFonts w:eastAsia="Times New Roman" w:cs="Times New Roman"/>
                <w:noProof/>
              </w:rPr>
            </w:pPr>
            <w:r>
              <w:rPr>
                <w:noProof/>
              </w:rPr>
              <w:t>mise à niveau des (sous-)systèmes SCADA et EMS du système DYSTER.</w:t>
            </w:r>
          </w:p>
        </w:tc>
      </w:tr>
      <w:tr w:rsidR="003C4798" w14:paraId="1216C2F3"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E4" w14:textId="77777777" w:rsidR="003C4798" w:rsidRDefault="00417595">
            <w:pPr>
              <w:pStyle w:val="P68B1DB1-Normal89"/>
              <w:spacing w:after="0" w:line="240" w:lineRule="auto"/>
              <w:jc w:val="center"/>
              <w:rPr>
                <w:noProof/>
              </w:rPr>
            </w:pPr>
            <w:r>
              <w:rPr>
                <w:noProof/>
              </w:rPr>
              <w:t>G23G</w:t>
            </w:r>
          </w:p>
        </w:tc>
        <w:tc>
          <w:tcPr>
            <w:tcW w:w="1559" w:type="dxa"/>
            <w:tcBorders>
              <w:top w:val="single" w:sz="4" w:space="0" w:color="auto"/>
              <w:left w:val="nil"/>
              <w:bottom w:val="single" w:sz="4" w:space="0" w:color="auto"/>
              <w:right w:val="single" w:sz="4" w:space="0" w:color="auto"/>
            </w:tcBorders>
            <w:shd w:val="clear" w:color="auto" w:fill="C6EFCE"/>
            <w:noWrap/>
          </w:tcPr>
          <w:p w14:paraId="1216C2E5" w14:textId="77777777" w:rsidR="003C4798" w:rsidRDefault="00417595">
            <w:pPr>
              <w:pStyle w:val="P68B1DB1-Normal89"/>
              <w:spacing w:after="0" w:line="240" w:lineRule="auto"/>
              <w:rPr>
                <w:noProof/>
              </w:rPr>
            </w:pPr>
            <w:r>
              <w:rPr>
                <w:noProof/>
              </w:rPr>
              <w:t xml:space="preserve">G1.2.4 Construction ou modernisation de réseaux de distribution d'électricité </w:t>
            </w:r>
          </w:p>
        </w:tc>
        <w:tc>
          <w:tcPr>
            <w:tcW w:w="992" w:type="dxa"/>
            <w:tcBorders>
              <w:top w:val="single" w:sz="4" w:space="0" w:color="auto"/>
              <w:left w:val="nil"/>
              <w:bottom w:val="single" w:sz="4" w:space="0" w:color="auto"/>
              <w:right w:val="single" w:sz="4" w:space="0" w:color="auto"/>
            </w:tcBorders>
            <w:shd w:val="clear" w:color="auto" w:fill="C6EFCE"/>
            <w:noWrap/>
          </w:tcPr>
          <w:p w14:paraId="1216C2E6" w14:textId="77777777" w:rsidR="003C4798" w:rsidRDefault="00417595">
            <w:pPr>
              <w:pStyle w:val="P68B1DB1-Normal89"/>
              <w:spacing w:after="0" w:line="240" w:lineRule="auto"/>
              <w:jc w:val="center"/>
              <w:rPr>
                <w:noProof/>
              </w:rPr>
            </w:pPr>
            <w:r>
              <w:rPr>
                <w:noProof/>
              </w:rPr>
              <w:t>Étape</w:t>
            </w:r>
          </w:p>
        </w:tc>
        <w:tc>
          <w:tcPr>
            <w:tcW w:w="1985" w:type="dxa"/>
            <w:tcBorders>
              <w:top w:val="single" w:sz="4" w:space="0" w:color="auto"/>
              <w:left w:val="nil"/>
              <w:bottom w:val="single" w:sz="4" w:space="0" w:color="auto"/>
              <w:right w:val="single" w:sz="4" w:space="0" w:color="auto"/>
            </w:tcBorders>
            <w:shd w:val="clear" w:color="auto" w:fill="C6EFCE"/>
            <w:noWrap/>
          </w:tcPr>
          <w:p w14:paraId="1216C2E7" w14:textId="77777777" w:rsidR="003C4798" w:rsidRDefault="00417595">
            <w:pPr>
              <w:pStyle w:val="P68B1DB1-Normal89"/>
              <w:spacing w:after="0" w:line="240" w:lineRule="auto"/>
              <w:rPr>
                <w:noProof/>
              </w:rPr>
            </w:pPr>
            <w:r>
              <w:rPr>
                <w:noProof/>
              </w:rPr>
              <w:t xml:space="preserve">Identification et définition des projets </w:t>
            </w:r>
          </w:p>
        </w:tc>
        <w:tc>
          <w:tcPr>
            <w:tcW w:w="1701" w:type="dxa"/>
            <w:tcBorders>
              <w:top w:val="single" w:sz="4" w:space="0" w:color="auto"/>
              <w:left w:val="nil"/>
              <w:bottom w:val="single" w:sz="4" w:space="0" w:color="auto"/>
              <w:right w:val="single" w:sz="4" w:space="0" w:color="auto"/>
            </w:tcBorders>
            <w:shd w:val="clear" w:color="auto" w:fill="C6EFCE"/>
            <w:noWrap/>
          </w:tcPr>
          <w:p w14:paraId="1216C2E8" w14:textId="77777777" w:rsidR="003C4798" w:rsidRDefault="00417595">
            <w:pPr>
              <w:pStyle w:val="P68B1DB1-Normal89"/>
              <w:spacing w:after="0" w:line="240" w:lineRule="auto"/>
              <w:rPr>
                <w:noProof/>
              </w:rPr>
            </w:pPr>
            <w:r>
              <w:rPr>
                <w:noProof/>
              </w:rPr>
              <w:t>Document interne recensant les projets visant à améliorer les réseaux de distribution en Pologne, signé par l’autorité compétente</w:t>
            </w:r>
          </w:p>
        </w:tc>
        <w:tc>
          <w:tcPr>
            <w:tcW w:w="992" w:type="dxa"/>
            <w:tcBorders>
              <w:top w:val="single" w:sz="4" w:space="0" w:color="auto"/>
              <w:left w:val="nil"/>
              <w:bottom w:val="single" w:sz="4" w:space="0" w:color="auto"/>
              <w:right w:val="single" w:sz="4" w:space="0" w:color="auto"/>
            </w:tcBorders>
            <w:shd w:val="clear" w:color="auto" w:fill="C6EFCE"/>
            <w:noWrap/>
          </w:tcPr>
          <w:p w14:paraId="1216C2E9" w14:textId="77777777" w:rsidR="003C4798" w:rsidRDefault="003C4798">
            <w:pPr>
              <w:spacing w:after="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EA" w14:textId="77777777" w:rsidR="003C4798" w:rsidRDefault="003C4798">
            <w:pPr>
              <w:spacing w:after="0" w:line="240" w:lineRule="auto"/>
              <w:jc w:val="center"/>
              <w:rPr>
                <w:rFonts w:ascii="Times New Roman" w:hAnsi="Times New Roman"/>
                <w:noProof/>
                <w:sz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EB" w14:textId="77777777" w:rsidR="003C4798" w:rsidRDefault="003C4798">
            <w:pPr>
              <w:spacing w:after="0" w:line="240" w:lineRule="auto"/>
              <w:jc w:val="center"/>
              <w:rPr>
                <w:rFonts w:ascii="Times New Roman" w:hAnsi="Times New Roman"/>
                <w:noProof/>
                <w:sz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EC" w14:textId="77777777" w:rsidR="003C4798" w:rsidRDefault="00417595">
            <w:pPr>
              <w:pStyle w:val="P68B1DB1-Normal89"/>
              <w:spacing w:after="0" w:line="240" w:lineRule="auto"/>
              <w:jc w:val="center"/>
              <w:rPr>
                <w:noProof/>
              </w:rPr>
            </w:pPr>
            <w:r>
              <w:rPr>
                <w:noProof/>
              </w:rPr>
              <w:t>T4</w:t>
            </w:r>
          </w:p>
        </w:tc>
        <w:tc>
          <w:tcPr>
            <w:tcW w:w="922" w:type="dxa"/>
            <w:tcBorders>
              <w:top w:val="single" w:sz="4" w:space="0" w:color="auto"/>
              <w:left w:val="nil"/>
              <w:bottom w:val="single" w:sz="4" w:space="0" w:color="auto"/>
              <w:right w:val="single" w:sz="4" w:space="0" w:color="auto"/>
            </w:tcBorders>
            <w:shd w:val="clear" w:color="auto" w:fill="C6EFCE"/>
            <w:noWrap/>
          </w:tcPr>
          <w:p w14:paraId="1216C2ED" w14:textId="77777777" w:rsidR="003C4798" w:rsidRDefault="00417595">
            <w:pPr>
              <w:pStyle w:val="P68B1DB1-Normal89"/>
              <w:spacing w:after="0" w:line="240" w:lineRule="auto"/>
              <w:jc w:val="center"/>
              <w:rPr>
                <w:noProof/>
              </w:rPr>
            </w:pPr>
            <w:r>
              <w:rPr>
                <w:noProof/>
              </w:rPr>
              <w:t>2024</w:t>
            </w:r>
          </w:p>
        </w:tc>
        <w:tc>
          <w:tcPr>
            <w:tcW w:w="3685" w:type="dxa"/>
            <w:tcBorders>
              <w:top w:val="single" w:sz="4" w:space="0" w:color="auto"/>
              <w:left w:val="nil"/>
              <w:bottom w:val="single" w:sz="4" w:space="0" w:color="auto"/>
              <w:right w:val="single" w:sz="4" w:space="0" w:color="auto"/>
            </w:tcBorders>
            <w:shd w:val="clear" w:color="auto" w:fill="C6EFCE"/>
            <w:noWrap/>
            <w:vAlign w:val="bottom"/>
          </w:tcPr>
          <w:p w14:paraId="1216C2EE" w14:textId="77777777" w:rsidR="003C4798" w:rsidRDefault="00417595">
            <w:pPr>
              <w:pStyle w:val="P68B1DB1-Normal89"/>
              <w:spacing w:after="0" w:line="240" w:lineRule="auto"/>
              <w:rPr>
                <w:noProof/>
              </w:rPr>
            </w:pPr>
            <w:r>
              <w:rPr>
                <w:noProof/>
              </w:rPr>
              <w:t>Les projets destinés à améliorer les réseaux de distribution desservant principalement les zones rurales sont identifiés et présentés dans un document finalisé approuvé en interne par l'autorité polonaise compétente. Ce document indique également, pour chaque projet, sa source de financement, qui n'inclut pas d'autres sources de financement de l'UE.</w:t>
            </w:r>
          </w:p>
          <w:p w14:paraId="1216C2EF" w14:textId="77777777" w:rsidR="003C4798" w:rsidRDefault="003C4798">
            <w:pPr>
              <w:spacing w:after="0" w:line="240" w:lineRule="auto"/>
              <w:rPr>
                <w:rFonts w:ascii="Times New Roman" w:hAnsi="Times New Roman"/>
                <w:noProof/>
                <w:sz w:val="18"/>
              </w:rPr>
            </w:pPr>
          </w:p>
          <w:p w14:paraId="1216C2F0" w14:textId="6963AD7D" w:rsidR="003C4798" w:rsidRDefault="00417595">
            <w:pPr>
              <w:pStyle w:val="P68B1DB1-Normal89"/>
              <w:spacing w:after="0" w:line="240" w:lineRule="auto"/>
              <w:rPr>
                <w:noProof/>
              </w:rPr>
            </w:pPr>
            <w:r>
              <w:rPr>
                <w:noProof/>
              </w:rPr>
              <w:t xml:space="preserve">Ensemble, les projets identifiés conduiront à la construction ou à la modernisation d’au moins 880 km de réseaux de distribution (indépendamment de la tension), y compris les stations associées. </w:t>
            </w:r>
          </w:p>
          <w:p w14:paraId="1216C2F1" w14:textId="77777777" w:rsidR="003C4798" w:rsidRDefault="003C4798">
            <w:pPr>
              <w:spacing w:after="0" w:line="240" w:lineRule="auto"/>
              <w:rPr>
                <w:rFonts w:ascii="Times New Roman" w:hAnsi="Times New Roman"/>
                <w:noProof/>
                <w:sz w:val="18"/>
              </w:rPr>
            </w:pPr>
          </w:p>
          <w:p w14:paraId="1216C2F2" w14:textId="77777777" w:rsidR="003C4798" w:rsidRDefault="00417595">
            <w:pPr>
              <w:pStyle w:val="P68B1DB1-Normal89"/>
              <w:spacing w:after="0" w:line="240" w:lineRule="auto"/>
              <w:rPr>
                <w:noProof/>
              </w:rPr>
            </w:pPr>
            <w:r>
              <w:rPr>
                <w:noProof/>
              </w:rPr>
              <w:t>Tous les projets recensés comprennent des fonctionnalités de réseau intelligent dans le but de permettre une communication numérique bidirectionnelle, en temps réel ou proche du temps réel, un suivi et une gestion interactifs et intelligents de la production, du transport, de la distribution et de la consommation d’électricité au sein d’un réseau électrique et de contribuer ainsi au développement des sources d’énergie renouvelables.</w:t>
            </w:r>
          </w:p>
        </w:tc>
      </w:tr>
      <w:tr w:rsidR="003C4798" w14:paraId="1216C300" w14:textId="77777777">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F4" w14:textId="77777777" w:rsidR="003C4798" w:rsidRDefault="00417595">
            <w:pPr>
              <w:pStyle w:val="P68B1DB1-Normal89"/>
              <w:spacing w:after="0" w:line="240" w:lineRule="auto"/>
              <w:jc w:val="center"/>
              <w:rPr>
                <w:rFonts w:eastAsia="Times New Roman" w:cs="Times New Roman"/>
                <w:noProof/>
                <w:szCs w:val="18"/>
              </w:rPr>
            </w:pPr>
            <w:r>
              <w:rPr>
                <w:noProof/>
              </w:rPr>
              <w:t>G24G</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216C2F5" w14:textId="38F999DD" w:rsidR="003C4798" w:rsidRDefault="00417595">
            <w:pPr>
              <w:pStyle w:val="P68B1DB1-Normal45"/>
              <w:spacing w:after="0" w:line="240" w:lineRule="auto"/>
              <w:rPr>
                <w:rFonts w:eastAsia="Times New Roman" w:cs="Times New Roman"/>
                <w:noProof/>
              </w:rPr>
            </w:pPr>
            <w:r>
              <w:rPr>
                <w:noProof/>
              </w:rPr>
              <w:t>G1.2.4 Construction ou modernisation de réseaux de distribution d'électricité</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6" w14:textId="77777777" w:rsidR="003C4798" w:rsidRDefault="00417595">
            <w:pPr>
              <w:pStyle w:val="P68B1DB1-Normal89"/>
              <w:spacing w:after="0" w:line="240" w:lineRule="auto"/>
              <w:jc w:val="center"/>
              <w:rPr>
                <w:rFonts w:eastAsia="Times New Roman" w:cs="Times New Roman"/>
                <w:noProof/>
                <w:szCs w:val="18"/>
              </w:rPr>
            </w:pPr>
            <w:r>
              <w:rPr>
                <w:noProof/>
              </w:rPr>
              <w:t>Objectif</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1216C2F7" w14:textId="694EA1B1" w:rsidR="003C4798" w:rsidRDefault="00417595">
            <w:pPr>
              <w:pStyle w:val="P68B1DB1-Normal89"/>
              <w:spacing w:after="0" w:line="240" w:lineRule="auto"/>
              <w:rPr>
                <w:rFonts w:eastAsia="Times New Roman" w:cs="Times New Roman"/>
                <w:noProof/>
                <w:szCs w:val="18"/>
              </w:rPr>
            </w:pPr>
            <w:r>
              <w:rPr>
                <w:noProof/>
              </w:rPr>
              <w:t>Longueur du réseau de distribution construit, modernisé ou modernisé (km)</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216C2F8" w14:textId="77777777" w:rsidR="003C4798" w:rsidRDefault="003C4798">
            <w:pPr>
              <w:spacing w:after="0" w:line="240" w:lineRule="auto"/>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9" w14:textId="77777777" w:rsidR="003C4798" w:rsidRDefault="00417595">
            <w:pPr>
              <w:pStyle w:val="P68B1DB1-Normal89"/>
              <w:spacing w:after="0" w:line="240" w:lineRule="auto"/>
              <w:jc w:val="center"/>
              <w:rPr>
                <w:rFonts w:eastAsia="Times New Roman" w:cs="Times New Roman"/>
                <w:noProof/>
                <w:szCs w:val="18"/>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A" w14:textId="77777777" w:rsidR="003C4798" w:rsidRDefault="00417595">
            <w:pPr>
              <w:pStyle w:val="P68B1DB1-Normal89"/>
              <w:spacing w:after="0" w:line="240" w:lineRule="auto"/>
              <w:jc w:val="center"/>
              <w:rPr>
                <w:rFonts w:eastAsia="Times New Roman"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16C2FB" w14:textId="77777777" w:rsidR="003C4798" w:rsidRDefault="00417595">
            <w:pPr>
              <w:pStyle w:val="P68B1DB1-Normal89"/>
              <w:spacing w:after="0" w:line="240" w:lineRule="auto"/>
              <w:jc w:val="center"/>
              <w:rPr>
                <w:rFonts w:eastAsia="Times New Roman" w:cs="Times New Roman"/>
                <w:noProof/>
                <w:szCs w:val="18"/>
              </w:rPr>
            </w:pPr>
            <w:r>
              <w:rPr>
                <w:noProof/>
              </w:rPr>
              <w:t>880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216C2FC" w14:textId="77777777" w:rsidR="003C4798" w:rsidRDefault="00417595">
            <w:pPr>
              <w:pStyle w:val="P68B1DB1-Normal89"/>
              <w:spacing w:after="0" w:line="240" w:lineRule="auto"/>
              <w:jc w:val="center"/>
              <w:rPr>
                <w:rFonts w:eastAsia="Times New Roman" w:cs="Times New Roman"/>
                <w:noProof/>
                <w:szCs w:val="18"/>
              </w:rPr>
            </w:pPr>
            <w:r>
              <w:rPr>
                <w:noProof/>
              </w:rPr>
              <w:t>T2</w:t>
            </w:r>
          </w:p>
        </w:tc>
        <w:tc>
          <w:tcPr>
            <w:tcW w:w="922" w:type="dxa"/>
            <w:tcBorders>
              <w:top w:val="single" w:sz="4" w:space="0" w:color="auto"/>
              <w:left w:val="single" w:sz="4" w:space="0" w:color="auto"/>
              <w:bottom w:val="single" w:sz="4" w:space="0" w:color="auto"/>
              <w:right w:val="single" w:sz="4" w:space="0" w:color="auto"/>
            </w:tcBorders>
            <w:shd w:val="clear" w:color="auto" w:fill="C6EFCE"/>
            <w:noWrap/>
          </w:tcPr>
          <w:p w14:paraId="1216C2FD" w14:textId="77777777" w:rsidR="003C4798" w:rsidRDefault="00417595">
            <w:pPr>
              <w:pStyle w:val="P68B1DB1-Normal89"/>
              <w:spacing w:after="0" w:line="240" w:lineRule="auto"/>
              <w:jc w:val="center"/>
              <w:rPr>
                <w:rFonts w:eastAsia="Times New Roman" w:cs="Times New Roman"/>
                <w:noProof/>
                <w:szCs w:val="18"/>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216C2FF" w14:textId="2797D7ED" w:rsidR="003C4798" w:rsidRDefault="00417595">
            <w:pPr>
              <w:pStyle w:val="P68B1DB1-Normal89"/>
              <w:spacing w:after="0" w:line="240" w:lineRule="auto"/>
              <w:rPr>
                <w:rFonts w:eastAsia="Times New Roman" w:cs="Times New Roman"/>
                <w:noProof/>
                <w:szCs w:val="18"/>
              </w:rPr>
            </w:pPr>
            <w:r>
              <w:rPr>
                <w:noProof/>
                <w:szCs w:val="18"/>
              </w:rPr>
              <w:t>Nombre de kilomètres de réseaux de distribution construits, modernisés ou modernisés.</w:t>
            </w:r>
          </w:p>
        </w:tc>
      </w:tr>
    </w:tbl>
    <w:p w14:paraId="1216C301" w14:textId="77777777" w:rsidR="003C4798" w:rsidRDefault="00417595">
      <w:pPr>
        <w:pStyle w:val="P68B1DB1-Normal93"/>
        <w:pageBreakBefore/>
        <w:spacing w:before="120" w:after="120" w:line="240" w:lineRule="auto"/>
        <w:jc w:val="both"/>
        <w:rPr>
          <w:noProof/>
        </w:rPr>
      </w:pPr>
      <w:r>
        <w:rPr>
          <w:noProof/>
        </w:rPr>
        <w:t>Sous-composante G1.3 – Développement de transports durables</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565"/>
        <w:gridCol w:w="1134"/>
        <w:gridCol w:w="1843"/>
        <w:gridCol w:w="1701"/>
        <w:gridCol w:w="992"/>
        <w:gridCol w:w="992"/>
        <w:gridCol w:w="851"/>
        <w:gridCol w:w="992"/>
        <w:gridCol w:w="709"/>
        <w:gridCol w:w="3690"/>
      </w:tblGrid>
      <w:tr w:rsidR="003C4798" w14:paraId="1216C30A" w14:textId="77777777" w:rsidTr="00DA6ACB">
        <w:trPr>
          <w:trHeight w:val="731"/>
          <w:tblHeader/>
          <w:jc w:val="center"/>
        </w:trPr>
        <w:tc>
          <w:tcPr>
            <w:tcW w:w="840" w:type="dxa"/>
            <w:vMerge w:val="restart"/>
            <w:shd w:val="clear" w:color="auto" w:fill="BDD7EE"/>
            <w:vAlign w:val="center"/>
            <w:hideMark/>
          </w:tcPr>
          <w:p w14:paraId="1216C302" w14:textId="77777777" w:rsidR="003C4798" w:rsidRDefault="00417595">
            <w:pPr>
              <w:pStyle w:val="P68B1DB1-Normal96"/>
              <w:spacing w:after="0" w:line="240" w:lineRule="auto"/>
              <w:jc w:val="center"/>
              <w:rPr>
                <w:rFonts w:eastAsia="Times New Roman" w:cs="Times New Roman"/>
                <w:noProof/>
                <w:szCs w:val="18"/>
              </w:rPr>
            </w:pPr>
            <w:r>
              <w:rPr>
                <w:noProof/>
              </w:rPr>
              <w:t>Seq. N°</w:t>
            </w:r>
          </w:p>
        </w:tc>
        <w:tc>
          <w:tcPr>
            <w:tcW w:w="1565" w:type="dxa"/>
            <w:vMerge w:val="restart"/>
            <w:shd w:val="clear" w:color="auto" w:fill="BDD7EE"/>
            <w:vAlign w:val="center"/>
            <w:hideMark/>
          </w:tcPr>
          <w:p w14:paraId="1216C303" w14:textId="77777777" w:rsidR="003C4798" w:rsidRDefault="00417595">
            <w:pPr>
              <w:pStyle w:val="P68B1DB1-Normal88"/>
              <w:spacing w:after="0" w:line="240" w:lineRule="auto"/>
              <w:jc w:val="center"/>
              <w:rPr>
                <w:rFonts w:eastAsia="Times New Roman" w:cs="Times New Roman"/>
                <w:noProof/>
              </w:rPr>
            </w:pPr>
            <w:r>
              <w:rPr>
                <w:noProof/>
              </w:rPr>
              <w:t>Mesure connexe (réforme ou investissement)</w:t>
            </w:r>
          </w:p>
        </w:tc>
        <w:tc>
          <w:tcPr>
            <w:tcW w:w="1134" w:type="dxa"/>
            <w:vMerge w:val="restart"/>
            <w:shd w:val="clear" w:color="auto" w:fill="BDD7EE"/>
            <w:vAlign w:val="center"/>
            <w:hideMark/>
          </w:tcPr>
          <w:p w14:paraId="1216C304" w14:textId="77777777" w:rsidR="003C4798" w:rsidRDefault="00417595">
            <w:pPr>
              <w:pStyle w:val="P68B1DB1-Normal88"/>
              <w:keepNext/>
              <w:keepLines/>
              <w:spacing w:after="0" w:line="240" w:lineRule="auto"/>
              <w:jc w:val="center"/>
              <w:rPr>
                <w:rFonts w:eastAsia="Times New Roman" w:cs="Times New Roman"/>
                <w:noProof/>
              </w:rPr>
            </w:pPr>
            <w:r>
              <w:rPr>
                <w:noProof/>
              </w:rPr>
              <w:t>Étape/cible</w:t>
            </w:r>
          </w:p>
        </w:tc>
        <w:tc>
          <w:tcPr>
            <w:tcW w:w="1843" w:type="dxa"/>
            <w:vMerge w:val="restart"/>
            <w:shd w:val="clear" w:color="auto" w:fill="BDD7EE"/>
            <w:vAlign w:val="center"/>
            <w:hideMark/>
          </w:tcPr>
          <w:p w14:paraId="1216C305" w14:textId="77777777" w:rsidR="003C4798" w:rsidRDefault="00417595">
            <w:pPr>
              <w:pStyle w:val="P68B1DB1-Normal88"/>
              <w:spacing w:after="0" w:line="240" w:lineRule="auto"/>
              <w:jc w:val="center"/>
              <w:rPr>
                <w:rFonts w:eastAsia="Times New Roman" w:cs="Times New Roman"/>
                <w:noProof/>
              </w:rPr>
            </w:pPr>
            <w:r>
              <w:rPr>
                <w:noProof/>
              </w:rPr>
              <w:t>Nom</w:t>
            </w:r>
          </w:p>
        </w:tc>
        <w:tc>
          <w:tcPr>
            <w:tcW w:w="1701" w:type="dxa"/>
            <w:vMerge w:val="restart"/>
            <w:shd w:val="clear" w:color="auto" w:fill="BDD7EE"/>
            <w:vAlign w:val="center"/>
            <w:hideMark/>
          </w:tcPr>
          <w:p w14:paraId="1216C306" w14:textId="71DA741F" w:rsidR="003C4798" w:rsidRDefault="00417595">
            <w:pPr>
              <w:pStyle w:val="P68B1DB1-Normal88"/>
              <w:spacing w:after="0" w:line="240" w:lineRule="auto"/>
              <w:jc w:val="center"/>
              <w:rPr>
                <w:rFonts w:eastAsia="Times New Roman" w:cs="Times New Roman"/>
                <w:noProof/>
              </w:rPr>
            </w:pPr>
            <w:r>
              <w:rPr>
                <w:noProof/>
              </w:rPr>
              <w:t>Indicateurs qualitatifs (pour les jalons)</w:t>
            </w:r>
          </w:p>
        </w:tc>
        <w:tc>
          <w:tcPr>
            <w:tcW w:w="2835" w:type="dxa"/>
            <w:gridSpan w:val="3"/>
            <w:shd w:val="clear" w:color="auto" w:fill="BDD7EE"/>
            <w:vAlign w:val="center"/>
            <w:hideMark/>
          </w:tcPr>
          <w:p w14:paraId="1216C307" w14:textId="3985FDF3" w:rsidR="003C4798" w:rsidRDefault="00417595">
            <w:pPr>
              <w:pStyle w:val="P68B1DB1-Normal88"/>
              <w:spacing w:after="0" w:line="240" w:lineRule="auto"/>
              <w:jc w:val="center"/>
              <w:rPr>
                <w:rFonts w:eastAsia="Times New Roman" w:cs="Times New Roman"/>
                <w:noProof/>
              </w:rPr>
            </w:pPr>
            <w:r>
              <w:rPr>
                <w:noProof/>
              </w:rPr>
              <w:t>Indicateurs quantitatifs (pour les objectifs)</w:t>
            </w:r>
          </w:p>
        </w:tc>
        <w:tc>
          <w:tcPr>
            <w:tcW w:w="1701" w:type="dxa"/>
            <w:gridSpan w:val="2"/>
            <w:shd w:val="clear" w:color="auto" w:fill="BDD7EE"/>
            <w:vAlign w:val="center"/>
            <w:hideMark/>
          </w:tcPr>
          <w:p w14:paraId="1216C308" w14:textId="77777777" w:rsidR="003C4798" w:rsidRDefault="00417595">
            <w:pPr>
              <w:pStyle w:val="P68B1DB1-Normal88"/>
              <w:spacing w:after="0" w:line="240" w:lineRule="auto"/>
              <w:jc w:val="center"/>
              <w:rPr>
                <w:rFonts w:eastAsia="Times New Roman" w:cs="Times New Roman"/>
                <w:noProof/>
              </w:rPr>
            </w:pPr>
            <w:r>
              <w:rPr>
                <w:noProof/>
              </w:rPr>
              <w:t>Calendrier indicatif d'achèvement</w:t>
            </w:r>
          </w:p>
        </w:tc>
        <w:tc>
          <w:tcPr>
            <w:tcW w:w="3690" w:type="dxa"/>
            <w:vMerge w:val="restart"/>
            <w:shd w:val="clear" w:color="auto" w:fill="BDD7EE"/>
            <w:vAlign w:val="center"/>
            <w:hideMark/>
          </w:tcPr>
          <w:p w14:paraId="1216C309" w14:textId="77777777" w:rsidR="003C4798" w:rsidRDefault="00417595">
            <w:pPr>
              <w:pStyle w:val="P68B1DB1-Normal88"/>
              <w:spacing w:after="0" w:line="240" w:lineRule="auto"/>
              <w:jc w:val="center"/>
              <w:rPr>
                <w:rFonts w:eastAsia="Times New Roman" w:cs="Times New Roman"/>
                <w:noProof/>
              </w:rPr>
            </w:pPr>
            <w:r>
              <w:rPr>
                <w:noProof/>
              </w:rPr>
              <w:t>Description de chaque jalon et cible</w:t>
            </w:r>
          </w:p>
        </w:tc>
      </w:tr>
      <w:tr w:rsidR="003C4798" w14:paraId="1216C316" w14:textId="77777777" w:rsidTr="00DA6ACB">
        <w:trPr>
          <w:trHeight w:val="699"/>
          <w:tblHeader/>
          <w:jc w:val="center"/>
        </w:trPr>
        <w:tc>
          <w:tcPr>
            <w:tcW w:w="840" w:type="dxa"/>
            <w:vMerge/>
            <w:vAlign w:val="center"/>
            <w:hideMark/>
          </w:tcPr>
          <w:p w14:paraId="1216C30B" w14:textId="77777777" w:rsidR="003C4798" w:rsidRDefault="003C4798">
            <w:pPr>
              <w:spacing w:after="0" w:line="240" w:lineRule="auto"/>
              <w:jc w:val="center"/>
              <w:rPr>
                <w:rFonts w:ascii="Times New Roman" w:eastAsia="Times New Roman" w:hAnsi="Times New Roman" w:cs="Times New Roman"/>
                <w:b/>
                <w:noProof/>
                <w:sz w:val="18"/>
                <w:szCs w:val="18"/>
              </w:rPr>
            </w:pPr>
          </w:p>
        </w:tc>
        <w:tc>
          <w:tcPr>
            <w:tcW w:w="1565" w:type="dxa"/>
            <w:vMerge/>
            <w:vAlign w:val="center"/>
            <w:hideMark/>
          </w:tcPr>
          <w:p w14:paraId="1216C30C" w14:textId="77777777" w:rsidR="003C4798" w:rsidRDefault="003C4798">
            <w:pPr>
              <w:spacing w:after="0" w:line="240" w:lineRule="auto"/>
              <w:rPr>
                <w:rFonts w:ascii="Times New Roman" w:eastAsia="Times New Roman" w:hAnsi="Times New Roman" w:cs="Times New Roman"/>
                <w:b/>
                <w:bCs/>
                <w:noProof/>
              </w:rPr>
            </w:pPr>
          </w:p>
        </w:tc>
        <w:tc>
          <w:tcPr>
            <w:tcW w:w="1134" w:type="dxa"/>
            <w:vMerge/>
            <w:vAlign w:val="center"/>
            <w:hideMark/>
          </w:tcPr>
          <w:p w14:paraId="1216C30D" w14:textId="77777777" w:rsidR="003C4798" w:rsidRDefault="003C4798">
            <w:pPr>
              <w:spacing w:after="0" w:line="240" w:lineRule="auto"/>
              <w:jc w:val="center"/>
              <w:rPr>
                <w:rFonts w:ascii="Times New Roman" w:eastAsia="Times New Roman" w:hAnsi="Times New Roman" w:cs="Times New Roman"/>
                <w:b/>
                <w:bCs/>
                <w:noProof/>
              </w:rPr>
            </w:pPr>
          </w:p>
        </w:tc>
        <w:tc>
          <w:tcPr>
            <w:tcW w:w="1843" w:type="dxa"/>
            <w:vMerge/>
            <w:vAlign w:val="center"/>
            <w:hideMark/>
          </w:tcPr>
          <w:p w14:paraId="1216C30E" w14:textId="77777777" w:rsidR="003C4798" w:rsidRDefault="003C4798">
            <w:pPr>
              <w:spacing w:after="0" w:line="240" w:lineRule="auto"/>
              <w:rPr>
                <w:rFonts w:ascii="Times New Roman" w:eastAsia="Times New Roman" w:hAnsi="Times New Roman" w:cs="Times New Roman"/>
                <w:b/>
                <w:bCs/>
                <w:noProof/>
              </w:rPr>
            </w:pPr>
          </w:p>
        </w:tc>
        <w:tc>
          <w:tcPr>
            <w:tcW w:w="1701" w:type="dxa"/>
            <w:vMerge/>
            <w:vAlign w:val="center"/>
            <w:hideMark/>
          </w:tcPr>
          <w:p w14:paraId="1216C30F" w14:textId="77777777" w:rsidR="003C4798" w:rsidRDefault="003C4798">
            <w:pPr>
              <w:spacing w:after="0" w:line="240" w:lineRule="auto"/>
              <w:rPr>
                <w:rFonts w:ascii="Times New Roman" w:eastAsia="Times New Roman" w:hAnsi="Times New Roman" w:cs="Times New Roman"/>
                <w:b/>
                <w:bCs/>
                <w:noProof/>
              </w:rPr>
            </w:pPr>
          </w:p>
        </w:tc>
        <w:tc>
          <w:tcPr>
            <w:tcW w:w="992" w:type="dxa"/>
            <w:shd w:val="clear" w:color="auto" w:fill="BDD7EE"/>
            <w:vAlign w:val="center"/>
            <w:hideMark/>
          </w:tcPr>
          <w:p w14:paraId="1216C310" w14:textId="77777777" w:rsidR="003C4798" w:rsidRDefault="00417595">
            <w:pPr>
              <w:pStyle w:val="P68B1DB1-Normal96"/>
              <w:spacing w:after="0" w:line="240" w:lineRule="auto"/>
              <w:jc w:val="center"/>
              <w:rPr>
                <w:rFonts w:eastAsia="Times New Roman" w:cs="Times New Roman"/>
                <w:noProof/>
                <w:szCs w:val="18"/>
              </w:rPr>
            </w:pPr>
            <w:r>
              <w:rPr>
                <w:noProof/>
              </w:rPr>
              <w:t>Unité de mesure</w:t>
            </w:r>
          </w:p>
        </w:tc>
        <w:tc>
          <w:tcPr>
            <w:tcW w:w="992" w:type="dxa"/>
            <w:shd w:val="clear" w:color="auto" w:fill="BDD7EE"/>
            <w:vAlign w:val="center"/>
            <w:hideMark/>
          </w:tcPr>
          <w:p w14:paraId="1216C311" w14:textId="77777777" w:rsidR="003C4798" w:rsidRDefault="00417595">
            <w:pPr>
              <w:pStyle w:val="P68B1DB1-Normal96"/>
              <w:spacing w:after="0" w:line="240" w:lineRule="auto"/>
              <w:jc w:val="center"/>
              <w:rPr>
                <w:rFonts w:eastAsia="Times New Roman" w:cs="Times New Roman"/>
                <w:noProof/>
                <w:szCs w:val="18"/>
              </w:rPr>
            </w:pPr>
            <w:r>
              <w:rPr>
                <w:noProof/>
              </w:rPr>
              <w:t>Données de référence</w:t>
            </w:r>
          </w:p>
        </w:tc>
        <w:tc>
          <w:tcPr>
            <w:tcW w:w="851" w:type="dxa"/>
            <w:shd w:val="clear" w:color="auto" w:fill="BDD7EE"/>
            <w:vAlign w:val="center"/>
            <w:hideMark/>
          </w:tcPr>
          <w:p w14:paraId="1216C312" w14:textId="77777777" w:rsidR="003C4798" w:rsidRDefault="00417595">
            <w:pPr>
              <w:pStyle w:val="P68B1DB1-Normal96"/>
              <w:spacing w:after="0" w:line="240" w:lineRule="auto"/>
              <w:jc w:val="center"/>
              <w:rPr>
                <w:rFonts w:eastAsia="Times New Roman" w:cs="Times New Roman"/>
                <w:noProof/>
                <w:szCs w:val="18"/>
              </w:rPr>
            </w:pPr>
            <w:r>
              <w:rPr>
                <w:noProof/>
              </w:rPr>
              <w:t>Objectif</w:t>
            </w:r>
          </w:p>
        </w:tc>
        <w:tc>
          <w:tcPr>
            <w:tcW w:w="992" w:type="dxa"/>
            <w:shd w:val="clear" w:color="auto" w:fill="BDD7EE"/>
            <w:vAlign w:val="center"/>
            <w:hideMark/>
          </w:tcPr>
          <w:p w14:paraId="1216C313" w14:textId="77777777" w:rsidR="003C4798" w:rsidRDefault="00417595">
            <w:pPr>
              <w:pStyle w:val="P68B1DB1-Normal96"/>
              <w:spacing w:after="0" w:line="240" w:lineRule="auto"/>
              <w:jc w:val="center"/>
              <w:rPr>
                <w:rFonts w:eastAsia="Times New Roman" w:cs="Times New Roman"/>
                <w:noProof/>
                <w:szCs w:val="18"/>
              </w:rPr>
            </w:pPr>
            <w:r>
              <w:rPr>
                <w:noProof/>
              </w:rPr>
              <w:t>Trimestre</w:t>
            </w:r>
          </w:p>
        </w:tc>
        <w:tc>
          <w:tcPr>
            <w:tcW w:w="709" w:type="dxa"/>
            <w:shd w:val="clear" w:color="auto" w:fill="BDD7EE"/>
            <w:vAlign w:val="center"/>
            <w:hideMark/>
          </w:tcPr>
          <w:p w14:paraId="1216C314" w14:textId="77777777" w:rsidR="003C4798" w:rsidRDefault="00417595">
            <w:pPr>
              <w:pStyle w:val="P68B1DB1-Normal96"/>
              <w:spacing w:after="0" w:line="240" w:lineRule="auto"/>
              <w:jc w:val="center"/>
              <w:rPr>
                <w:rFonts w:eastAsia="Times New Roman" w:cs="Times New Roman"/>
                <w:noProof/>
                <w:szCs w:val="18"/>
              </w:rPr>
            </w:pPr>
            <w:r>
              <w:rPr>
                <w:noProof/>
              </w:rPr>
              <w:t>Année</w:t>
            </w:r>
          </w:p>
        </w:tc>
        <w:tc>
          <w:tcPr>
            <w:tcW w:w="3690" w:type="dxa"/>
            <w:vMerge/>
            <w:vAlign w:val="center"/>
            <w:hideMark/>
          </w:tcPr>
          <w:p w14:paraId="1216C315" w14:textId="77777777" w:rsidR="003C4798" w:rsidRDefault="003C4798">
            <w:pPr>
              <w:spacing w:after="0" w:line="240" w:lineRule="auto"/>
              <w:rPr>
                <w:rFonts w:ascii="Times New Roman" w:eastAsia="Times New Roman" w:hAnsi="Times New Roman" w:cs="Times New Roman"/>
                <w:b/>
                <w:bCs/>
                <w:noProof/>
              </w:rPr>
            </w:pPr>
          </w:p>
        </w:tc>
      </w:tr>
      <w:tr w:rsidR="003C4798" w14:paraId="1216C322" w14:textId="77777777" w:rsidTr="00DA6ACB">
        <w:trPr>
          <w:trHeight w:val="300"/>
          <w:jc w:val="center"/>
        </w:trPr>
        <w:tc>
          <w:tcPr>
            <w:tcW w:w="840" w:type="dxa"/>
            <w:shd w:val="clear" w:color="auto" w:fill="C6EFCE"/>
            <w:noWrap/>
          </w:tcPr>
          <w:p w14:paraId="1216C317" w14:textId="77777777" w:rsidR="003C4798" w:rsidRDefault="00417595">
            <w:pPr>
              <w:pStyle w:val="P68B1DB1-Normal82"/>
              <w:spacing w:line="240" w:lineRule="auto"/>
              <w:jc w:val="center"/>
              <w:rPr>
                <w:noProof/>
              </w:rPr>
            </w:pPr>
            <w:r>
              <w:rPr>
                <w:noProof/>
              </w:rPr>
              <w:t>G26G</w:t>
            </w:r>
          </w:p>
        </w:tc>
        <w:tc>
          <w:tcPr>
            <w:tcW w:w="1565" w:type="dxa"/>
            <w:shd w:val="clear" w:color="auto" w:fill="C6EFCE"/>
            <w:noWrap/>
          </w:tcPr>
          <w:p w14:paraId="1216C318" w14:textId="77777777" w:rsidR="003C4798" w:rsidRDefault="00417595">
            <w:pPr>
              <w:pStyle w:val="P68B1DB1-Normal45"/>
              <w:spacing w:line="240" w:lineRule="auto"/>
              <w:rPr>
                <w:noProof/>
              </w:rPr>
            </w:pPr>
            <w:r>
              <w:rPr>
                <w:noProof/>
              </w:rPr>
              <w:t>G1.3.2 Transport collectif à émissions nulles (autobus)</w:t>
            </w:r>
          </w:p>
        </w:tc>
        <w:tc>
          <w:tcPr>
            <w:tcW w:w="1134" w:type="dxa"/>
            <w:shd w:val="clear" w:color="auto" w:fill="C6EFCE"/>
            <w:noWrap/>
          </w:tcPr>
          <w:p w14:paraId="1216C319" w14:textId="77777777" w:rsidR="003C4798" w:rsidRDefault="00417595">
            <w:pPr>
              <w:pStyle w:val="P68B1DB1-Normal45"/>
              <w:spacing w:line="240" w:lineRule="auto"/>
              <w:jc w:val="center"/>
              <w:rPr>
                <w:noProof/>
              </w:rPr>
            </w:pPr>
            <w:r>
              <w:rPr>
                <w:noProof/>
              </w:rPr>
              <w:t>Étape</w:t>
            </w:r>
          </w:p>
        </w:tc>
        <w:tc>
          <w:tcPr>
            <w:tcW w:w="1843" w:type="dxa"/>
            <w:shd w:val="clear" w:color="auto" w:fill="C6EFCE"/>
            <w:noWrap/>
          </w:tcPr>
          <w:p w14:paraId="1216C31A" w14:textId="77777777" w:rsidR="003C4798" w:rsidRDefault="00417595">
            <w:pPr>
              <w:pStyle w:val="P68B1DB1-Normal45"/>
              <w:spacing w:line="240" w:lineRule="auto"/>
              <w:rPr>
                <w:noProof/>
              </w:rPr>
            </w:pPr>
            <w:r>
              <w:rPr>
                <w:noProof/>
              </w:rPr>
              <w:t>Nouveaux autobus à émissions nulles: signature des contrats</w:t>
            </w:r>
          </w:p>
        </w:tc>
        <w:tc>
          <w:tcPr>
            <w:tcW w:w="1701" w:type="dxa"/>
            <w:shd w:val="clear" w:color="auto" w:fill="C6EFCE"/>
            <w:noWrap/>
          </w:tcPr>
          <w:p w14:paraId="1216C31B" w14:textId="77777777" w:rsidR="003C4798" w:rsidRDefault="00417595">
            <w:pPr>
              <w:pStyle w:val="P68B1DB1-Normal82"/>
              <w:spacing w:line="240" w:lineRule="auto"/>
              <w:rPr>
                <w:noProof/>
              </w:rPr>
            </w:pPr>
            <w:r>
              <w:rPr>
                <w:noProof/>
              </w:rPr>
              <w:t>Contrats signés</w:t>
            </w:r>
          </w:p>
        </w:tc>
        <w:tc>
          <w:tcPr>
            <w:tcW w:w="992" w:type="dxa"/>
            <w:shd w:val="clear" w:color="auto" w:fill="C6EFCE"/>
            <w:noWrap/>
          </w:tcPr>
          <w:p w14:paraId="1216C31C" w14:textId="77777777" w:rsidR="003C4798" w:rsidRDefault="003C4798">
            <w:pPr>
              <w:spacing w:line="240" w:lineRule="auto"/>
              <w:jc w:val="center"/>
              <w:rPr>
                <w:rFonts w:ascii="Times New Roman" w:hAnsi="Times New Roman"/>
                <w:noProof/>
                <w:sz w:val="18"/>
                <w:szCs w:val="18"/>
              </w:rPr>
            </w:pPr>
          </w:p>
        </w:tc>
        <w:tc>
          <w:tcPr>
            <w:tcW w:w="992" w:type="dxa"/>
            <w:shd w:val="clear" w:color="auto" w:fill="C6EFCE"/>
            <w:noWrap/>
          </w:tcPr>
          <w:p w14:paraId="1216C31D" w14:textId="77777777" w:rsidR="003C4798" w:rsidRDefault="003C4798">
            <w:pPr>
              <w:spacing w:line="240" w:lineRule="auto"/>
              <w:jc w:val="center"/>
              <w:rPr>
                <w:rFonts w:ascii="Times New Roman" w:hAnsi="Times New Roman"/>
                <w:noProof/>
                <w:sz w:val="18"/>
                <w:szCs w:val="18"/>
              </w:rPr>
            </w:pPr>
          </w:p>
        </w:tc>
        <w:tc>
          <w:tcPr>
            <w:tcW w:w="851" w:type="dxa"/>
            <w:shd w:val="clear" w:color="auto" w:fill="C6EFCE"/>
            <w:noWrap/>
          </w:tcPr>
          <w:p w14:paraId="1216C31E" w14:textId="77777777" w:rsidR="003C4798" w:rsidRDefault="003C4798">
            <w:pPr>
              <w:spacing w:line="240" w:lineRule="auto"/>
              <w:jc w:val="center"/>
              <w:rPr>
                <w:rFonts w:ascii="Times New Roman" w:hAnsi="Times New Roman"/>
                <w:noProof/>
                <w:sz w:val="18"/>
                <w:szCs w:val="18"/>
              </w:rPr>
            </w:pPr>
          </w:p>
        </w:tc>
        <w:tc>
          <w:tcPr>
            <w:tcW w:w="992" w:type="dxa"/>
            <w:shd w:val="clear" w:color="auto" w:fill="C6EFCE"/>
            <w:noWrap/>
          </w:tcPr>
          <w:p w14:paraId="1216C31F" w14:textId="77777777" w:rsidR="003C4798" w:rsidRDefault="00417595">
            <w:pPr>
              <w:pStyle w:val="P68B1DB1-Normal45"/>
              <w:spacing w:line="240" w:lineRule="auto"/>
              <w:jc w:val="center"/>
              <w:rPr>
                <w:noProof/>
              </w:rPr>
            </w:pPr>
            <w:r>
              <w:rPr>
                <w:noProof/>
              </w:rPr>
              <w:t>T3</w:t>
            </w:r>
          </w:p>
        </w:tc>
        <w:tc>
          <w:tcPr>
            <w:tcW w:w="709" w:type="dxa"/>
            <w:shd w:val="clear" w:color="auto" w:fill="C6EFCE"/>
            <w:noWrap/>
          </w:tcPr>
          <w:p w14:paraId="1216C320" w14:textId="77777777" w:rsidR="003C4798" w:rsidRDefault="00417595">
            <w:pPr>
              <w:pStyle w:val="P68B1DB1-Normal45"/>
              <w:spacing w:line="240" w:lineRule="auto"/>
              <w:jc w:val="center"/>
              <w:rPr>
                <w:noProof/>
              </w:rPr>
            </w:pPr>
            <w:r>
              <w:rPr>
                <w:noProof/>
              </w:rPr>
              <w:t>2024</w:t>
            </w:r>
          </w:p>
        </w:tc>
        <w:tc>
          <w:tcPr>
            <w:tcW w:w="3690" w:type="dxa"/>
            <w:shd w:val="clear" w:color="auto" w:fill="C6EFCE"/>
            <w:noWrap/>
            <w:vAlign w:val="bottom"/>
          </w:tcPr>
          <w:p w14:paraId="1216C321" w14:textId="3003773E" w:rsidR="003C4798" w:rsidRDefault="00417595">
            <w:pPr>
              <w:pStyle w:val="P68B1DB1-Normal45"/>
              <w:spacing w:line="240" w:lineRule="auto"/>
              <w:rPr>
                <w:noProof/>
              </w:rPr>
            </w:pPr>
            <w:r>
              <w:rPr>
                <w:noProof/>
              </w:rPr>
              <w:t>Des contrats sont signés entre les autorités polonaises et les entités bénéficiaires (autorités locales ou opérateurs de service public) pour l’achat de 1 159 nouveaux autobus à émissions nulles. Seuls les bus électriques, les trolleybus ou les bus à hydrogène doivent être pris en charge.</w:t>
            </w:r>
          </w:p>
        </w:tc>
      </w:tr>
      <w:tr w:rsidR="003C4798" w14:paraId="1216C32E" w14:textId="77777777" w:rsidTr="00DA6ACB">
        <w:trPr>
          <w:trHeight w:val="1815"/>
          <w:jc w:val="center"/>
        </w:trPr>
        <w:tc>
          <w:tcPr>
            <w:tcW w:w="840" w:type="dxa"/>
            <w:shd w:val="clear" w:color="auto" w:fill="C6EFCE"/>
            <w:noWrap/>
          </w:tcPr>
          <w:p w14:paraId="1216C323" w14:textId="41C50527" w:rsidR="003C4798" w:rsidRDefault="00417595">
            <w:pPr>
              <w:pStyle w:val="P68B1DB1-Normal45"/>
              <w:spacing w:after="0" w:line="240" w:lineRule="auto"/>
              <w:jc w:val="center"/>
              <w:rPr>
                <w:rFonts w:eastAsia="Times New Roman" w:cs="Times New Roman"/>
                <w:noProof/>
              </w:rPr>
            </w:pPr>
            <w:r>
              <w:rPr>
                <w:noProof/>
              </w:rPr>
              <w:t>G27G</w:t>
            </w:r>
          </w:p>
        </w:tc>
        <w:tc>
          <w:tcPr>
            <w:tcW w:w="1565" w:type="dxa"/>
            <w:shd w:val="clear" w:color="auto" w:fill="C6EFCE"/>
            <w:noWrap/>
          </w:tcPr>
          <w:p w14:paraId="1216C324" w14:textId="77777777" w:rsidR="003C4798" w:rsidRDefault="00417595">
            <w:pPr>
              <w:pStyle w:val="P68B1DB1-Normal89"/>
              <w:spacing w:after="0" w:line="240" w:lineRule="auto"/>
              <w:rPr>
                <w:rFonts w:eastAsia="Times New Roman" w:cs="Times New Roman"/>
                <w:noProof/>
                <w:szCs w:val="18"/>
              </w:rPr>
            </w:pPr>
            <w:r>
              <w:rPr>
                <w:noProof/>
              </w:rPr>
              <w:t>G1.3.2 Transport collectif à émissions nulles (autobus)</w:t>
            </w:r>
          </w:p>
        </w:tc>
        <w:tc>
          <w:tcPr>
            <w:tcW w:w="1134" w:type="dxa"/>
            <w:shd w:val="clear" w:color="auto" w:fill="C6EFCE"/>
            <w:noWrap/>
          </w:tcPr>
          <w:p w14:paraId="1216C325" w14:textId="77777777" w:rsidR="003C4798" w:rsidRDefault="00417595">
            <w:pPr>
              <w:pStyle w:val="P68B1DB1-Normal45"/>
              <w:spacing w:after="0" w:line="240" w:lineRule="auto"/>
              <w:jc w:val="center"/>
              <w:rPr>
                <w:noProof/>
              </w:rPr>
            </w:pPr>
            <w:r>
              <w:rPr>
                <w:noProof/>
              </w:rPr>
              <w:t>Objectif</w:t>
            </w:r>
          </w:p>
        </w:tc>
        <w:tc>
          <w:tcPr>
            <w:tcW w:w="1843" w:type="dxa"/>
            <w:shd w:val="clear" w:color="auto" w:fill="C6EFCE"/>
            <w:noWrap/>
          </w:tcPr>
          <w:p w14:paraId="1216C326" w14:textId="5A90822F" w:rsidR="003C4798" w:rsidRDefault="00417595">
            <w:pPr>
              <w:pStyle w:val="P68B1DB1-Normal45"/>
              <w:spacing w:after="0" w:line="240" w:lineRule="auto"/>
              <w:rPr>
                <w:rFonts w:eastAsia="Times New Roman" w:cs="Times New Roman"/>
                <w:noProof/>
              </w:rPr>
            </w:pPr>
            <w:r>
              <w:rPr>
                <w:noProof/>
              </w:rPr>
              <w:t>Autobus à émissions nulles</w:t>
            </w:r>
          </w:p>
        </w:tc>
        <w:tc>
          <w:tcPr>
            <w:tcW w:w="1701" w:type="dxa"/>
            <w:shd w:val="clear" w:color="auto" w:fill="C6EFCE"/>
            <w:noWrap/>
          </w:tcPr>
          <w:p w14:paraId="1216C327" w14:textId="77777777" w:rsidR="003C4798" w:rsidRDefault="003C4798">
            <w:pPr>
              <w:spacing w:after="0" w:line="240" w:lineRule="auto"/>
              <w:rPr>
                <w:rFonts w:ascii="Times New Roman" w:eastAsia="Times New Roman" w:hAnsi="Times New Roman" w:cs="Times New Roman"/>
                <w:noProof/>
                <w:sz w:val="18"/>
                <w:szCs w:val="18"/>
              </w:rPr>
            </w:pPr>
          </w:p>
        </w:tc>
        <w:tc>
          <w:tcPr>
            <w:tcW w:w="992" w:type="dxa"/>
            <w:shd w:val="clear" w:color="auto" w:fill="C6EFCE"/>
            <w:noWrap/>
          </w:tcPr>
          <w:p w14:paraId="1216C328" w14:textId="77777777" w:rsidR="003C4798" w:rsidRDefault="00417595">
            <w:pPr>
              <w:pStyle w:val="P68B1DB1-Normal89"/>
              <w:spacing w:after="0" w:line="240" w:lineRule="auto"/>
              <w:jc w:val="center"/>
              <w:rPr>
                <w:rFonts w:eastAsia="Times New Roman" w:cs="Times New Roman"/>
                <w:noProof/>
                <w:szCs w:val="18"/>
              </w:rPr>
            </w:pPr>
            <w:r>
              <w:rPr>
                <w:noProof/>
              </w:rPr>
              <w:t>Numéro</w:t>
            </w:r>
          </w:p>
        </w:tc>
        <w:tc>
          <w:tcPr>
            <w:tcW w:w="992" w:type="dxa"/>
            <w:shd w:val="clear" w:color="auto" w:fill="C6EFCE"/>
            <w:noWrap/>
          </w:tcPr>
          <w:p w14:paraId="1216C329" w14:textId="77777777" w:rsidR="003C4798" w:rsidRDefault="00417595">
            <w:pPr>
              <w:pStyle w:val="P68B1DB1-Normal89"/>
              <w:spacing w:after="0" w:line="240" w:lineRule="auto"/>
              <w:jc w:val="center"/>
              <w:rPr>
                <w:rFonts w:eastAsia="Times New Roman" w:cs="Times New Roman"/>
                <w:noProof/>
                <w:szCs w:val="18"/>
              </w:rPr>
            </w:pPr>
            <w:r>
              <w:rPr>
                <w:noProof/>
              </w:rPr>
              <w:t>0</w:t>
            </w:r>
          </w:p>
        </w:tc>
        <w:tc>
          <w:tcPr>
            <w:tcW w:w="851" w:type="dxa"/>
            <w:shd w:val="clear" w:color="auto" w:fill="C6EFCE"/>
            <w:noWrap/>
          </w:tcPr>
          <w:p w14:paraId="1216C32A" w14:textId="60E54F3B" w:rsidR="003C4798" w:rsidRDefault="00417595">
            <w:pPr>
              <w:pStyle w:val="P68B1DB1-Normal89"/>
              <w:spacing w:after="0" w:line="240" w:lineRule="auto"/>
              <w:jc w:val="center"/>
              <w:rPr>
                <w:rFonts w:eastAsia="Times New Roman" w:cs="Times New Roman"/>
                <w:noProof/>
                <w:szCs w:val="18"/>
              </w:rPr>
            </w:pPr>
            <w:r>
              <w:rPr>
                <w:noProof/>
              </w:rPr>
              <w:t>1 044</w:t>
            </w:r>
          </w:p>
        </w:tc>
        <w:tc>
          <w:tcPr>
            <w:tcW w:w="992" w:type="dxa"/>
            <w:shd w:val="clear" w:color="auto" w:fill="C6EFCE"/>
            <w:noWrap/>
          </w:tcPr>
          <w:p w14:paraId="1216C32B" w14:textId="77777777" w:rsidR="003C4798" w:rsidRDefault="00417595">
            <w:pPr>
              <w:pStyle w:val="P68B1DB1-Normal89"/>
              <w:spacing w:after="0" w:line="240" w:lineRule="auto"/>
              <w:jc w:val="center"/>
              <w:rPr>
                <w:rFonts w:eastAsia="Times New Roman" w:cs="Times New Roman"/>
                <w:noProof/>
                <w:szCs w:val="18"/>
              </w:rPr>
            </w:pPr>
            <w:r>
              <w:rPr>
                <w:noProof/>
              </w:rPr>
              <w:t>T2</w:t>
            </w:r>
          </w:p>
        </w:tc>
        <w:tc>
          <w:tcPr>
            <w:tcW w:w="709" w:type="dxa"/>
            <w:shd w:val="clear" w:color="auto" w:fill="C6EFCE"/>
            <w:noWrap/>
          </w:tcPr>
          <w:p w14:paraId="1216C32C" w14:textId="77777777" w:rsidR="003C4798" w:rsidRDefault="00417595">
            <w:pPr>
              <w:pStyle w:val="P68B1DB1-Normal89"/>
              <w:spacing w:after="0" w:line="240" w:lineRule="auto"/>
              <w:jc w:val="center"/>
              <w:rPr>
                <w:rFonts w:eastAsia="Times New Roman" w:cs="Times New Roman"/>
                <w:noProof/>
                <w:szCs w:val="18"/>
              </w:rPr>
            </w:pPr>
            <w:r>
              <w:rPr>
                <w:noProof/>
              </w:rPr>
              <w:t>2026</w:t>
            </w:r>
          </w:p>
        </w:tc>
        <w:tc>
          <w:tcPr>
            <w:tcW w:w="3690" w:type="dxa"/>
            <w:shd w:val="clear" w:color="auto" w:fill="C6EFCE"/>
            <w:noWrap/>
          </w:tcPr>
          <w:p w14:paraId="1216C32D" w14:textId="7F6A715A" w:rsidR="003C4798" w:rsidRDefault="00417595">
            <w:pPr>
              <w:pStyle w:val="P68B1DB1-Normal45"/>
              <w:spacing w:after="0" w:line="240" w:lineRule="auto"/>
              <w:rPr>
                <w:noProof/>
              </w:rPr>
            </w:pPr>
            <w:r>
              <w:rPr>
                <w:noProof/>
              </w:rPr>
              <w:t>Livraison de bus à émissions nulles (électriques, trolleybus ou hydrogène).</w:t>
            </w:r>
          </w:p>
        </w:tc>
      </w:tr>
    </w:tbl>
    <w:p w14:paraId="1216C32F" w14:textId="77777777" w:rsidR="003C4798" w:rsidRDefault="003C4798">
      <w:pPr>
        <w:rPr>
          <w:rFonts w:ascii="Times New Roman" w:hAnsi="Times New Roman" w:cs="Times New Roman"/>
          <w:noProof/>
        </w:rPr>
      </w:pPr>
    </w:p>
    <w:p w14:paraId="1216C330" w14:textId="77777777" w:rsidR="003C4798" w:rsidRDefault="00417595">
      <w:pPr>
        <w:pStyle w:val="P68B1DB1-Normal71"/>
        <w:rPr>
          <w:noProof/>
        </w:rPr>
      </w:pPr>
      <w:r>
        <w:rPr>
          <w:noProof/>
        </w:rPr>
        <w:br w:type="page"/>
      </w:r>
    </w:p>
    <w:p w14:paraId="1216C331" w14:textId="77777777" w:rsidR="003C4798" w:rsidRDefault="003C4798">
      <w:pPr>
        <w:rPr>
          <w:rFonts w:ascii="Times New Roman" w:hAnsi="Times New Roman"/>
          <w:noProof/>
          <w:color w:val="000000"/>
        </w:rPr>
        <w:sectPr w:rsidR="003C4798" w:rsidSect="006C5441">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299"/>
        </w:sectPr>
      </w:pPr>
    </w:p>
    <w:p w14:paraId="1216C332" w14:textId="77777777" w:rsidR="003C4798" w:rsidRDefault="00417595">
      <w:pPr>
        <w:pStyle w:val="P68B1DB1-Normal91"/>
        <w:spacing w:before="120" w:after="120" w:line="240" w:lineRule="auto"/>
        <w:jc w:val="both"/>
        <w:rPr>
          <w:smallCaps/>
          <w:noProof/>
        </w:rPr>
      </w:pPr>
      <w:r>
        <w:rPr>
          <w:b/>
          <w:noProof/>
        </w:rPr>
        <w:t xml:space="preserve">G3. </w:t>
      </w:r>
      <w:r>
        <w:rPr>
          <w:noProof/>
        </w:rPr>
        <w:t xml:space="preserve"> </w:t>
      </w:r>
      <w:r>
        <w:rPr>
          <w:b/>
          <w:noProof/>
        </w:rPr>
        <w:t xml:space="preserve">Description des réformes et des investissements pour le soutien sous forme de prêts </w:t>
      </w:r>
    </w:p>
    <w:p w14:paraId="1216C333" w14:textId="77777777" w:rsidR="003C4798" w:rsidRDefault="003C4798">
      <w:pPr>
        <w:spacing w:before="120" w:after="120" w:line="240" w:lineRule="auto"/>
        <w:rPr>
          <w:noProof/>
        </w:rPr>
      </w:pPr>
    </w:p>
    <w:p w14:paraId="1216C334" w14:textId="77777777" w:rsidR="003C4798" w:rsidRDefault="00417595">
      <w:pPr>
        <w:pStyle w:val="P68B1DB1-Normal93"/>
        <w:spacing w:before="120" w:after="120" w:line="240" w:lineRule="auto"/>
        <w:jc w:val="both"/>
        <w:rPr>
          <w:noProof/>
        </w:rPr>
      </w:pPr>
      <w:r>
        <w:rPr>
          <w:noProof/>
        </w:rPr>
        <w:t>Sous-composante G3.1 – Améliorer le déploiement des énergies renouvelables, les compétences vertes et l’efficacité énergétique</w:t>
      </w:r>
    </w:p>
    <w:p w14:paraId="1216C335" w14:textId="77777777" w:rsidR="003C4798" w:rsidRDefault="00417595">
      <w:pPr>
        <w:pStyle w:val="P68B1DB1-Normal85"/>
        <w:spacing w:before="120" w:after="120" w:line="240" w:lineRule="auto"/>
        <w:jc w:val="both"/>
        <w:rPr>
          <w:rFonts w:cs="Times New Roman"/>
          <w:noProof/>
        </w:rPr>
      </w:pPr>
      <w:r>
        <w:rPr>
          <w:noProof/>
        </w:rPr>
        <w:t>La sous-composante vise à rationaliser les procédures d’autorisation afin d’accélérer le déploiement des énergies renouvelables, à accélérer le rythme des rénovations en matière d’efficacité énergétique et à encourager la requalification de la main-d’œuvre en compétences vertes. Il devrait également encourager les investissements privés et améliorer l’accès au financement dans le secteur de l’énergie, y compris l’éolien en mer.</w:t>
      </w:r>
    </w:p>
    <w:p w14:paraId="1216C336" w14:textId="77777777" w:rsidR="003C4798" w:rsidRDefault="003C4798">
      <w:pPr>
        <w:spacing w:before="120" w:after="120" w:line="240" w:lineRule="auto"/>
        <w:jc w:val="both"/>
        <w:rPr>
          <w:rFonts w:ascii="Times New Roman" w:hAnsi="Times New Roman" w:cs="Times New Roman"/>
          <w:noProof/>
        </w:rPr>
      </w:pPr>
    </w:p>
    <w:p w14:paraId="1216C337" w14:textId="792EF4E4" w:rsidR="003C4798" w:rsidRDefault="00417595">
      <w:pPr>
        <w:pStyle w:val="P68B1DB1-Normal86"/>
        <w:spacing w:before="120" w:after="120" w:line="240" w:lineRule="auto"/>
        <w:jc w:val="both"/>
        <w:rPr>
          <w:rFonts w:cs="Times New Roman"/>
          <w:bCs/>
          <w:noProof/>
        </w:rPr>
      </w:pPr>
      <w:r>
        <w:rPr>
          <w:noProof/>
        </w:rPr>
        <w:t>G3.1.1 Rationalisation de l'octroi de permis pour les sources d'énergie renouvelables</w:t>
      </w:r>
    </w:p>
    <w:p w14:paraId="1216C338" w14:textId="303B96F7" w:rsidR="003C4798" w:rsidRDefault="00417595">
      <w:pPr>
        <w:pStyle w:val="P68B1DB1-Normal91"/>
        <w:spacing w:before="120" w:after="120" w:line="240" w:lineRule="auto"/>
        <w:jc w:val="both"/>
        <w:rPr>
          <w:noProof/>
        </w:rPr>
      </w:pPr>
      <w:r>
        <w:rPr>
          <w:noProof/>
        </w:rPr>
        <w:t>L’objectif de cette réforme est d’accélérer l’installation de sources d’énergie renouvelables et la rationalisation des procédures d’autorisation. Cette mesure consiste en i) la publication d’une cartographie du potentiel des énergies renouvelables pour les technologies liées aux énergies renouvelables, ii) l’entrée en vigueur d’un ou de plusieurs actes juridiques établissant un cadre juridique pour la désignation des zones d’accélération des énergies renouvelables, iii) l’entrée en vigueur d’une résolution approuvant le financement d’une plateforme informatique pour les procédures d’autorisation des installations d’énergie renouvelable et iv) la capacité installée totale des installations éoliennes et photovoltaïques terrestres de 30 GW.</w:t>
      </w:r>
    </w:p>
    <w:p w14:paraId="1216C339" w14:textId="77777777" w:rsidR="003C4798" w:rsidRDefault="003C4798">
      <w:pPr>
        <w:spacing w:before="120" w:after="120" w:line="240" w:lineRule="auto"/>
        <w:jc w:val="both"/>
        <w:rPr>
          <w:rFonts w:ascii="Times New Roman" w:hAnsi="Times New Roman" w:cs="Times New Roman"/>
          <w:noProof/>
        </w:rPr>
      </w:pPr>
    </w:p>
    <w:p w14:paraId="1216C33A" w14:textId="77777777" w:rsidR="003C4798" w:rsidRDefault="00417595">
      <w:pPr>
        <w:pStyle w:val="P68B1DB1-Normal86"/>
        <w:keepNext/>
        <w:spacing w:before="120" w:after="120" w:line="240" w:lineRule="auto"/>
        <w:jc w:val="both"/>
        <w:rPr>
          <w:rFonts w:cs="Times New Roman"/>
          <w:bCs/>
          <w:noProof/>
        </w:rPr>
      </w:pPr>
      <w:r>
        <w:rPr>
          <w:noProof/>
        </w:rPr>
        <w:t>G3.1.2. Compétences pour la transition écologique</w:t>
      </w:r>
    </w:p>
    <w:p w14:paraId="1216C33B" w14:textId="77777777" w:rsidR="003C4798" w:rsidRDefault="00417595">
      <w:pPr>
        <w:pStyle w:val="P68B1DB1-Normal85"/>
        <w:spacing w:before="120" w:after="120" w:line="240" w:lineRule="auto"/>
        <w:jc w:val="both"/>
        <w:rPr>
          <w:rFonts w:eastAsia="Times New Roman" w:cs="Times New Roman"/>
          <w:noProof/>
        </w:rPr>
      </w:pPr>
      <w:r>
        <w:rPr>
          <w:noProof/>
        </w:rPr>
        <w:t>L’objectif de la réforme est de modifier les cadres de certification dans les secteurs essentiels à la transformation écologique. Cette mesure consiste à modifier les cadres de certification sectoriels pour la construction, l’énergie, la gestion de l’eau et la gestion des déchets et à les intégrer dans le système intégré de certification.</w:t>
      </w:r>
    </w:p>
    <w:p w14:paraId="1216C33C" w14:textId="77777777" w:rsidR="003C4798" w:rsidRDefault="003C4798">
      <w:pPr>
        <w:spacing w:before="120" w:after="120" w:line="240" w:lineRule="auto"/>
        <w:jc w:val="both"/>
        <w:rPr>
          <w:rFonts w:ascii="Times New Roman" w:hAnsi="Times New Roman" w:cs="Times New Roman"/>
          <w:noProof/>
        </w:rPr>
      </w:pPr>
    </w:p>
    <w:p w14:paraId="1216C33D" w14:textId="77777777" w:rsidR="003C4798" w:rsidRDefault="00417595">
      <w:pPr>
        <w:pStyle w:val="P68B1DB1-Normal86"/>
        <w:keepNext/>
        <w:spacing w:before="120" w:after="120" w:line="240" w:lineRule="auto"/>
        <w:jc w:val="both"/>
        <w:rPr>
          <w:rFonts w:cs="Times New Roman"/>
          <w:bCs/>
          <w:noProof/>
        </w:rPr>
      </w:pPr>
      <w:r>
        <w:rPr>
          <w:noProof/>
        </w:rPr>
        <w:t>G3.1.3. Stimuler l'efficacité énergétique et accélérer l'élimination progressive des combustibles fossiles dans le chauffage</w:t>
      </w:r>
    </w:p>
    <w:p w14:paraId="1216C33E" w14:textId="77777777" w:rsidR="003C4798" w:rsidRDefault="00417595">
      <w:pPr>
        <w:pStyle w:val="P68B1DB1-Normal98"/>
        <w:spacing w:before="120" w:after="120" w:line="240" w:lineRule="auto"/>
        <w:jc w:val="both"/>
        <w:rPr>
          <w:rFonts w:eastAsia="Times New Roman"/>
          <w:noProof/>
        </w:rPr>
      </w:pPr>
      <w:r>
        <w:rPr>
          <w:noProof/>
        </w:rPr>
        <w:t>L’objectif de la réforme est d’accélérer les rénovations domiciliaires et l’élimination progressive des combustibles fossiles dans le chauffage. Cette mesure consiste en la mise à jour d’un programme prioritaire existant par le Fonds national pour la protection de l’environnement et la gestion de l’eau afin de soutenir financièrement les prestataires de services intégrés de rénovation domiciliaire.</w:t>
      </w:r>
    </w:p>
    <w:p w14:paraId="1216C33F" w14:textId="77777777" w:rsidR="003C4798" w:rsidRDefault="003C4798">
      <w:pPr>
        <w:rPr>
          <w:rFonts w:ascii="Times New Roman" w:eastAsia="Times New Roman" w:hAnsi="Times New Roman" w:cs="Times New Roman"/>
          <w:noProof/>
          <w:color w:val="000000"/>
        </w:rPr>
      </w:pPr>
    </w:p>
    <w:p w14:paraId="1216C340" w14:textId="77777777" w:rsidR="003C4798" w:rsidRDefault="00417595">
      <w:pPr>
        <w:pStyle w:val="P68B1DB1-Normal86"/>
        <w:spacing w:before="120" w:after="120" w:line="240" w:lineRule="auto"/>
        <w:jc w:val="both"/>
        <w:rPr>
          <w:rFonts w:cs="Times New Roman"/>
          <w:bCs/>
          <w:noProof/>
        </w:rPr>
      </w:pPr>
      <w:r>
        <w:rPr>
          <w:noProof/>
        </w:rPr>
        <w:t>G3.1.4. Soutien au système énergétique national (Fonds de soutien à l'énergie)</w:t>
      </w:r>
    </w:p>
    <w:p w14:paraId="1216C341" w14:textId="77777777" w:rsidR="003C4798" w:rsidRDefault="003C4798">
      <w:pPr>
        <w:spacing w:after="0" w:line="240" w:lineRule="auto"/>
        <w:jc w:val="both"/>
        <w:rPr>
          <w:rFonts w:ascii="Times New Roman" w:eastAsia="Times New Roman" w:hAnsi="Times New Roman" w:cs="Times New Roman"/>
          <w:noProof/>
        </w:rPr>
      </w:pPr>
    </w:p>
    <w:p w14:paraId="1216C342" w14:textId="77777777" w:rsidR="003C4798" w:rsidRDefault="00417595">
      <w:pPr>
        <w:pStyle w:val="P68B1DB1-Normal85"/>
        <w:spacing w:after="0" w:line="240" w:lineRule="auto"/>
        <w:jc w:val="both"/>
        <w:rPr>
          <w:noProof/>
        </w:rPr>
      </w:pPr>
      <w:r>
        <w:rPr>
          <w:noProof/>
        </w:rPr>
        <w:t>Cette mesure consiste en un investissement public dans une facilité, le Fonds de soutien à l’énergie, afin d’encourager l’investissement privé et d’améliorer l’accès au financement dans les secteurs de l’économie polonaise qui supportent directement les coûts de la transition énergétique. La facilité fonctionne en accordant des prêts au secteur privé, ainsi qu’aux entités du secteur public exerçant des activités similaires. Tout investissement soutenu par la facilité est conforme aux objectifs REPowerEU pertinents énoncés à l’article 21 quater, paragraphe 3, du règlement FRR, à l’exception de l’article 21 quater, paragraphe 3, point a). Sur la base de l’investissement au titre de la FRR, la facilité vise initialement à fournir un financement d’au moins 15 045 143 508 EUR.</w:t>
      </w:r>
    </w:p>
    <w:p w14:paraId="1216C343" w14:textId="77777777" w:rsidR="003C4798" w:rsidRDefault="003C4798">
      <w:pPr>
        <w:spacing w:after="0" w:line="240" w:lineRule="auto"/>
        <w:jc w:val="both"/>
        <w:rPr>
          <w:rFonts w:ascii="Times New Roman" w:hAnsi="Times New Roman"/>
          <w:noProof/>
        </w:rPr>
      </w:pPr>
    </w:p>
    <w:p w14:paraId="1216C344" w14:textId="77777777" w:rsidR="003C4798" w:rsidRDefault="00417595">
      <w:pPr>
        <w:pStyle w:val="P68B1DB1-Normal85"/>
        <w:spacing w:after="0" w:line="240" w:lineRule="auto"/>
        <w:jc w:val="both"/>
        <w:textAlignment w:val="baseline"/>
        <w:rPr>
          <w:noProof/>
        </w:rPr>
      </w:pPr>
      <w:r>
        <w:rPr>
          <w:noProof/>
        </w:rPr>
        <w:t xml:space="preserve">La facilité est gérée par Bank Gospodarstwa Krajowego (BGK), en tant que partenaire chargé de la mise en œuvre. </w:t>
      </w:r>
    </w:p>
    <w:p w14:paraId="1216C345" w14:textId="77777777" w:rsidR="003C4798" w:rsidRDefault="003C4798">
      <w:pPr>
        <w:spacing w:after="0" w:line="240" w:lineRule="auto"/>
        <w:jc w:val="both"/>
        <w:rPr>
          <w:rFonts w:ascii="Times New Roman" w:hAnsi="Times New Roman"/>
          <w:noProof/>
        </w:rPr>
      </w:pPr>
    </w:p>
    <w:p w14:paraId="1216C346" w14:textId="77777777" w:rsidR="003C4798" w:rsidRDefault="00417595">
      <w:pPr>
        <w:pStyle w:val="P68B1DB1-Normal85"/>
        <w:spacing w:after="0" w:line="240" w:lineRule="auto"/>
        <w:jc w:val="both"/>
        <w:textAlignment w:val="baseline"/>
        <w:rPr>
          <w:rFonts w:ascii="Segoe UI" w:hAnsi="Segoe UI"/>
          <w:noProof/>
          <w:sz w:val="18"/>
        </w:rPr>
      </w:pPr>
      <w:r>
        <w:rPr>
          <w:noProof/>
        </w:rPr>
        <w:t xml:space="preserve">La facilité comprend les lignes de produits suivantes: </w:t>
      </w:r>
    </w:p>
    <w:p w14:paraId="1216C347" w14:textId="77777777" w:rsidR="003C4798" w:rsidRDefault="00417595">
      <w:pPr>
        <w:pStyle w:val="P68B1DB1-Normal85"/>
        <w:numPr>
          <w:ilvl w:val="0"/>
          <w:numId w:val="30"/>
        </w:numPr>
        <w:spacing w:after="0" w:line="240" w:lineRule="auto"/>
        <w:jc w:val="both"/>
        <w:textAlignment w:val="baseline"/>
        <w:rPr>
          <w:noProof/>
        </w:rPr>
      </w:pPr>
      <w:r>
        <w:rPr>
          <w:noProof/>
        </w:rPr>
        <w:t>Financement direct BGK: cette ligne accorde des prêts directs aux bénéficiaires finaux pour financer des projets verts. Les prêts sont accordés directement par BGK.</w:t>
      </w:r>
    </w:p>
    <w:p w14:paraId="1216C348" w14:textId="77777777" w:rsidR="003C4798" w:rsidRDefault="003C4798">
      <w:pPr>
        <w:spacing w:after="0" w:line="240" w:lineRule="auto"/>
        <w:jc w:val="both"/>
        <w:textAlignment w:val="baseline"/>
        <w:rPr>
          <w:rFonts w:ascii="Times New Roman" w:hAnsi="Times New Roman"/>
          <w:noProof/>
        </w:rPr>
      </w:pPr>
    </w:p>
    <w:p w14:paraId="1216C349" w14:textId="77777777" w:rsidR="003C4798" w:rsidRDefault="00417595">
      <w:pPr>
        <w:pStyle w:val="P68B1DB1-Normal85"/>
        <w:spacing w:after="0" w:line="240" w:lineRule="auto"/>
        <w:jc w:val="both"/>
        <w:textAlignment w:val="baseline"/>
        <w:rPr>
          <w:noProof/>
        </w:rPr>
      </w:pPr>
      <w:r>
        <w:rPr>
          <w:noProof/>
        </w:rPr>
        <w:t xml:space="preserve">Afin de mettre en œuvre l’investissement dans la facilité, la Pologne et BGK signent un accord de mise en œuvre qui comprend les éléments suivants: </w:t>
      </w:r>
    </w:p>
    <w:p w14:paraId="1216C34A" w14:textId="77777777" w:rsidR="003C4798" w:rsidRDefault="003C4798">
      <w:pPr>
        <w:spacing w:after="0" w:line="240" w:lineRule="auto"/>
        <w:jc w:val="both"/>
        <w:textAlignment w:val="baseline"/>
        <w:rPr>
          <w:rFonts w:ascii="Segoe UI" w:hAnsi="Segoe UI"/>
          <w:noProof/>
          <w:sz w:val="18"/>
        </w:rPr>
      </w:pPr>
    </w:p>
    <w:p w14:paraId="1216C34B" w14:textId="77777777" w:rsidR="003C4798" w:rsidRDefault="00417595">
      <w:pPr>
        <w:pStyle w:val="P68B1DB1-Normal85"/>
        <w:numPr>
          <w:ilvl w:val="0"/>
          <w:numId w:val="31"/>
        </w:numPr>
        <w:spacing w:after="0" w:line="240" w:lineRule="auto"/>
        <w:jc w:val="both"/>
        <w:rPr>
          <w:noProof/>
        </w:rPr>
      </w:pPr>
      <w:r>
        <w:rPr>
          <w:noProof/>
        </w:rPr>
        <w:t xml:space="preserve">Description du processus décisionnel de la facilité: La décision finale d’investissement de la facilité est prise par un comité d’investissement ou un autre organe directeur équivalent compétent et approuvée à la majorité des voix des membres indépendants du gouvernement. </w:t>
      </w:r>
    </w:p>
    <w:p w14:paraId="1216C34C" w14:textId="77777777" w:rsidR="003C4798" w:rsidRDefault="003C4798">
      <w:pPr>
        <w:spacing w:after="0" w:line="240" w:lineRule="auto"/>
        <w:jc w:val="both"/>
        <w:textAlignment w:val="baseline"/>
        <w:rPr>
          <w:rFonts w:ascii="Times New Roman" w:hAnsi="Times New Roman"/>
          <w:noProof/>
        </w:rPr>
      </w:pPr>
    </w:p>
    <w:p w14:paraId="1216C34D" w14:textId="77777777" w:rsidR="003C4798" w:rsidRDefault="00417595">
      <w:pPr>
        <w:pStyle w:val="P68B1DB1-Normal85"/>
        <w:numPr>
          <w:ilvl w:val="0"/>
          <w:numId w:val="31"/>
        </w:numPr>
        <w:spacing w:after="0" w:line="240" w:lineRule="auto"/>
        <w:jc w:val="both"/>
        <w:rPr>
          <w:noProof/>
        </w:rPr>
      </w:pPr>
      <w:r>
        <w:rPr>
          <w:noProof/>
        </w:rPr>
        <w:t>Les principales exigences de la politique d'investissement associée,</w:t>
      </w:r>
      <w:r>
        <w:rPr>
          <w:b/>
          <w:noProof/>
        </w:rPr>
        <w:t xml:space="preserve"> </w:t>
      </w:r>
      <w:r>
        <w:rPr>
          <w:noProof/>
        </w:rPr>
        <w:t xml:space="preserve">qui comprennent: </w:t>
      </w:r>
    </w:p>
    <w:p w14:paraId="1216C34E" w14:textId="2BC3798B" w:rsidR="003C4798" w:rsidRDefault="00417595">
      <w:pPr>
        <w:pStyle w:val="P68B1DB1-Normal85"/>
        <w:numPr>
          <w:ilvl w:val="0"/>
          <w:numId w:val="32"/>
        </w:numPr>
        <w:spacing w:after="0" w:line="240" w:lineRule="auto"/>
        <w:ind w:left="1080"/>
        <w:jc w:val="both"/>
        <w:textAlignment w:val="baseline"/>
        <w:rPr>
          <w:noProof/>
        </w:rPr>
      </w:pPr>
      <w:r>
        <w:rPr>
          <w:noProof/>
        </w:rPr>
        <w:t xml:space="preserve">Description des produits financiers et des bénéficiaires finaux éligibles. </w:t>
      </w:r>
    </w:p>
    <w:p w14:paraId="1216C34F" w14:textId="77777777" w:rsidR="003C4798" w:rsidRDefault="00417595">
      <w:pPr>
        <w:pStyle w:val="P68B1DB1-Normal85"/>
        <w:numPr>
          <w:ilvl w:val="0"/>
          <w:numId w:val="32"/>
        </w:numPr>
        <w:spacing w:after="0" w:line="240" w:lineRule="auto"/>
        <w:ind w:left="1080"/>
        <w:jc w:val="both"/>
        <w:textAlignment w:val="baseline"/>
        <w:rPr>
          <w:noProof/>
        </w:rPr>
      </w:pPr>
      <w:r>
        <w:rPr>
          <w:noProof/>
        </w:rPr>
        <w:t>L’exigence selon laquelle tous les investissements soutenus sont économiquement viables</w:t>
      </w:r>
      <w:r>
        <w:rPr>
          <w:b/>
          <w:noProof/>
        </w:rPr>
        <w:t>.</w:t>
      </w:r>
      <w:r>
        <w:rPr>
          <w:noProof/>
        </w:rPr>
        <w:t xml:space="preserve"> </w:t>
      </w:r>
    </w:p>
    <w:p w14:paraId="1216C350" w14:textId="77777777" w:rsidR="003C4798" w:rsidRDefault="00417595">
      <w:pPr>
        <w:pStyle w:val="P68B1DB1-Normal85"/>
        <w:numPr>
          <w:ilvl w:val="0"/>
          <w:numId w:val="32"/>
        </w:numPr>
        <w:spacing w:after="0" w:line="240" w:lineRule="auto"/>
        <w:ind w:left="1080"/>
        <w:jc w:val="both"/>
        <w:textAlignment w:val="baseline"/>
        <w:rPr>
          <w:noProof/>
        </w:rPr>
      </w:pPr>
      <w:r>
        <w:rPr>
          <w:noProof/>
        </w:rPr>
        <w:t>L’obligation de respecter le principe consistant à «ne pas causer de préjudice important» tel qu’énoncé dans les orientations techniques relatives au principe consistant à «ne pas causer de préjudice important» [C(2023) 6454 final]. En particulier:</w:t>
      </w:r>
    </w:p>
    <w:p w14:paraId="1216C351" w14:textId="77777777" w:rsidR="003C4798" w:rsidRDefault="00417595">
      <w:pPr>
        <w:pStyle w:val="P68B1DB1-Normal85"/>
        <w:numPr>
          <w:ilvl w:val="0"/>
          <w:numId w:val="33"/>
        </w:numPr>
        <w:spacing w:after="0" w:line="240" w:lineRule="auto"/>
        <w:ind w:left="1440"/>
        <w:jc w:val="both"/>
        <w:textAlignment w:val="baseline"/>
        <w:rPr>
          <w:noProof/>
        </w:rPr>
      </w:pPr>
      <w:r>
        <w:rPr>
          <w:noProof/>
        </w:rPr>
        <w:t>La politique d'investissement exclut de l'éligibilité la liste suivante d'activités et d'actifs: (i) les activités et les actifs liés aux combustibles fossiles, y compris l’utilisation en aval,</w:t>
      </w:r>
      <w:r w:rsidRPr="00164B34">
        <w:rPr>
          <w:noProof/>
          <w:vertAlign w:val="superscript"/>
        </w:rPr>
        <w:footnoteReference w:id="40"/>
      </w:r>
      <w:r>
        <w:rPr>
          <w:noProof/>
        </w:rPr>
        <w:t>(ii) les activités et les actifs relevant du système d’échange de quotas d’émission de l’UE (SEQE) permettant d’atteindre des émissions de gaz à effet de serre prévues qui ne sont pas inférieures aux référentiels pertinents,</w:t>
      </w:r>
      <w:r w:rsidRPr="00164B34">
        <w:rPr>
          <w:noProof/>
          <w:vertAlign w:val="superscript"/>
        </w:rPr>
        <w:footnoteReference w:id="41"/>
      </w:r>
      <w:r>
        <w:rPr>
          <w:noProof/>
        </w:rPr>
        <w:t>(iii) les activités et les actifs liés aux décharges de déchets, aux incinérateurs</w:t>
      </w:r>
      <w:r w:rsidRPr="00164B34">
        <w:rPr>
          <w:noProof/>
          <w:vertAlign w:val="superscript"/>
        </w:rPr>
        <w:footnoteReference w:id="42"/>
      </w:r>
      <w:r>
        <w:rPr>
          <w:noProof/>
        </w:rPr>
        <w:t xml:space="preserve"> et aux usines de traitement biologique mécanique</w:t>
      </w:r>
      <w:r w:rsidRPr="00164B34">
        <w:rPr>
          <w:noProof/>
          <w:vertAlign w:val="superscript"/>
        </w:rPr>
        <w:footnoteReference w:id="43"/>
      </w:r>
      <w:r>
        <w:rPr>
          <w:noProof/>
        </w:rPr>
        <w:t xml:space="preserve"> et (iv) les activités et les actifs liés à l’exploitation minière. </w:t>
      </w:r>
    </w:p>
    <w:p w14:paraId="1216C352" w14:textId="2795AD69" w:rsidR="003C4798" w:rsidRDefault="00417595">
      <w:pPr>
        <w:pStyle w:val="P68B1DB1-Normal85"/>
        <w:numPr>
          <w:ilvl w:val="0"/>
          <w:numId w:val="33"/>
        </w:numPr>
        <w:spacing w:after="0" w:line="240" w:lineRule="auto"/>
        <w:ind w:left="1440"/>
        <w:jc w:val="both"/>
        <w:textAlignment w:val="baseline"/>
        <w:rPr>
          <w:noProof/>
        </w:rPr>
      </w:pPr>
      <w:r>
        <w:rPr>
          <w:noProof/>
        </w:rPr>
        <w:t>La politique d’investissement ne soutient l’hydrogène renouvelable que conformément aux actes délégués pertinents au titre de la directive (UE) 2018/2001 du Parlement européen et du Conseil du 11 décembre 2018.</w:t>
      </w:r>
    </w:p>
    <w:p w14:paraId="1216C353" w14:textId="77777777" w:rsidR="003C4798" w:rsidRDefault="00417595">
      <w:pPr>
        <w:pStyle w:val="P68B1DB1-Normal85"/>
        <w:numPr>
          <w:ilvl w:val="0"/>
          <w:numId w:val="33"/>
        </w:numPr>
        <w:spacing w:after="0" w:line="240" w:lineRule="auto"/>
        <w:ind w:left="1440"/>
        <w:jc w:val="both"/>
        <w:rPr>
          <w:noProof/>
        </w:rPr>
      </w:pPr>
      <w:r>
        <w:rPr>
          <w:noProof/>
        </w:rPr>
        <w:t>La politique d’investissement soutient uniquement la production, le transport, la distribution et le stockage de biométhane durable conformément aux critères de durabilité et de réduction des émissions de gaz à effet de serre énoncés aux articles 29 à 31 et aux règles relatives aux biocarburants produits à partir de denrées alimentaires et d’aliments pour animaux énoncées à l’article 26 de la directive 2018/2001/UE révisée sur les énergies renouvelables, ainsi qu’aux actes d’exécution et actes délégués connexes. Pour les investissements dans le transport et la distribution de biométhane durable, le respect, dans la politique d’investissement, du concept de «réseau de gaz intelligent» tel que défini dans la proposition de règlement RTE-E révisé [COM(2020) 824 final] est garanti et des dispositions garantissant des normes de détection et de prévention des fuites de méthane et de biométhane sont introduites en tant que partie intégrante des exigences de sécurité.</w:t>
      </w:r>
    </w:p>
    <w:p w14:paraId="1216C354" w14:textId="77777777" w:rsidR="003C4798" w:rsidRDefault="00417595">
      <w:pPr>
        <w:pStyle w:val="P68B1DB1-Normal85"/>
        <w:numPr>
          <w:ilvl w:val="0"/>
          <w:numId w:val="33"/>
        </w:numPr>
        <w:spacing w:after="0" w:line="240" w:lineRule="auto"/>
        <w:ind w:left="1440"/>
        <w:jc w:val="both"/>
        <w:rPr>
          <w:noProof/>
        </w:rPr>
      </w:pPr>
      <w:r>
        <w:rPr>
          <w:noProof/>
        </w:rPr>
        <w:t>La politique d’investissement ne soutient que la rénovation en matière d’efficacité énergétique des bâtiments qui permettent de réaliser au moins 30 % d’économies d’énergie primaire.</w:t>
      </w:r>
    </w:p>
    <w:p w14:paraId="1216C355" w14:textId="77777777" w:rsidR="003C4798" w:rsidRDefault="00417595">
      <w:pPr>
        <w:pStyle w:val="P68B1DB1-Normal85"/>
        <w:numPr>
          <w:ilvl w:val="0"/>
          <w:numId w:val="33"/>
        </w:numPr>
        <w:spacing w:after="0" w:line="240" w:lineRule="auto"/>
        <w:ind w:left="1440"/>
        <w:jc w:val="both"/>
        <w:rPr>
          <w:noProof/>
        </w:rPr>
      </w:pPr>
      <w:r>
        <w:rPr>
          <w:noProof/>
        </w:rPr>
        <w:t>En outre, la politique d’investissement exige le respect de la législation environnementale pertinente de l’UE et des États membres par les bénéficiaires finaux de la facilité.</w:t>
      </w:r>
    </w:p>
    <w:p w14:paraId="1216C356" w14:textId="77777777" w:rsidR="003C4798" w:rsidRDefault="00417595">
      <w:pPr>
        <w:pStyle w:val="P68B1DB1-Normal85"/>
        <w:numPr>
          <w:ilvl w:val="0"/>
          <w:numId w:val="32"/>
        </w:numPr>
        <w:spacing w:after="0" w:line="240" w:lineRule="auto"/>
        <w:ind w:left="1080"/>
        <w:jc w:val="both"/>
        <w:textAlignment w:val="baseline"/>
        <w:rPr>
          <w:noProof/>
        </w:rPr>
      </w:pPr>
      <w:r>
        <w:rPr>
          <w:noProof/>
        </w:rPr>
        <w:t>L’exigence selon laquelle les bénéficiaires finaux de la facilité ne reçoivent pas de soutien d’autres instruments de l’Union pour couvrir le même coût.</w:t>
      </w:r>
    </w:p>
    <w:p w14:paraId="1216C357" w14:textId="77777777" w:rsidR="003C4798" w:rsidRDefault="003C4798">
      <w:pPr>
        <w:spacing w:after="0" w:line="240" w:lineRule="auto"/>
        <w:ind w:left="1080"/>
        <w:jc w:val="both"/>
        <w:textAlignment w:val="baseline"/>
        <w:rPr>
          <w:rFonts w:ascii="Times New Roman" w:hAnsi="Times New Roman"/>
          <w:noProof/>
        </w:rPr>
      </w:pPr>
    </w:p>
    <w:p w14:paraId="1216C358" w14:textId="77777777" w:rsidR="003C4798" w:rsidRDefault="00417595">
      <w:pPr>
        <w:pStyle w:val="P68B1DB1-Normal85"/>
        <w:numPr>
          <w:ilvl w:val="0"/>
          <w:numId w:val="31"/>
        </w:numPr>
        <w:spacing w:after="0" w:line="240" w:lineRule="auto"/>
        <w:jc w:val="both"/>
        <w:rPr>
          <w:noProof/>
        </w:rPr>
      </w:pPr>
      <w:r>
        <w:rPr>
          <w:noProof/>
        </w:rPr>
        <w:t>Le montant couvert par l’accord de mise en œuvre, la structure des frais pour le partenaire chargé de la mise en œuvre et l’obligation de réinvestir tout remboursement conformément à la politique d’investissement de la facilité, à moins qu’ils ne soient utilisés pour assurer le service des remboursements de prêts de la facilité pour la reprise et la résilience. </w:t>
      </w:r>
    </w:p>
    <w:p w14:paraId="1216C359" w14:textId="77777777" w:rsidR="003C4798" w:rsidRDefault="003C4798">
      <w:pPr>
        <w:spacing w:after="0" w:line="240" w:lineRule="auto"/>
        <w:ind w:left="720"/>
        <w:jc w:val="both"/>
        <w:rPr>
          <w:noProof/>
        </w:rPr>
      </w:pPr>
    </w:p>
    <w:p w14:paraId="1216C35A" w14:textId="77777777" w:rsidR="003C4798" w:rsidRDefault="00417595">
      <w:pPr>
        <w:pStyle w:val="P68B1DB1-Normal85"/>
        <w:numPr>
          <w:ilvl w:val="0"/>
          <w:numId w:val="31"/>
        </w:numPr>
        <w:spacing w:after="0" w:line="240" w:lineRule="auto"/>
        <w:jc w:val="both"/>
        <w:rPr>
          <w:noProof/>
        </w:rPr>
      </w:pPr>
      <w:r>
        <w:rPr>
          <w:noProof/>
        </w:rPr>
        <w:t xml:space="preserve">Exigences en matière de surveillance, d'audit et de contrôle, y compris: </w:t>
      </w:r>
    </w:p>
    <w:p w14:paraId="1216C35B" w14:textId="77777777" w:rsidR="003C4798" w:rsidRDefault="00417595">
      <w:pPr>
        <w:pStyle w:val="P68B1DB1-Normal85"/>
        <w:numPr>
          <w:ilvl w:val="1"/>
          <w:numId w:val="31"/>
        </w:numPr>
        <w:spacing w:after="0" w:line="240" w:lineRule="auto"/>
        <w:jc w:val="both"/>
        <w:rPr>
          <w:noProof/>
        </w:rPr>
      </w:pPr>
      <w:r>
        <w:rPr>
          <w:noProof/>
        </w:rPr>
        <w:t>Description du système de suivi du partenaire chargé de la mise en œuvre pour rendre compte des investissements mobilisés.</w:t>
      </w:r>
    </w:p>
    <w:p w14:paraId="1216C35C" w14:textId="77777777" w:rsidR="003C4798" w:rsidRDefault="00417595">
      <w:pPr>
        <w:pStyle w:val="P68B1DB1-Normal85"/>
        <w:numPr>
          <w:ilvl w:val="1"/>
          <w:numId w:val="31"/>
        </w:numPr>
        <w:spacing w:after="0" w:line="240" w:lineRule="auto"/>
        <w:jc w:val="both"/>
        <w:rPr>
          <w:noProof/>
        </w:rPr>
      </w:pPr>
      <w:r>
        <w:rPr>
          <w:noProof/>
        </w:rPr>
        <w:t>Description des procédures du partenaire chargé de la mise en œuvre qui garantiront la prévention, la détection et la correction de la fraude, de la corruption et des conflits d’intérêts.</w:t>
      </w:r>
    </w:p>
    <w:p w14:paraId="1216C35D" w14:textId="77777777" w:rsidR="003C4798" w:rsidRDefault="00417595">
      <w:pPr>
        <w:pStyle w:val="P68B1DB1-Normal85"/>
        <w:numPr>
          <w:ilvl w:val="1"/>
          <w:numId w:val="31"/>
        </w:numPr>
        <w:spacing w:after="0" w:line="240" w:lineRule="auto"/>
        <w:jc w:val="both"/>
        <w:rPr>
          <w:noProof/>
        </w:rPr>
      </w:pPr>
      <w:r>
        <w:rPr>
          <w:noProof/>
        </w:rPr>
        <w:t>L’obligation de vérifier l’éligibilité de chaque opération conformément aux exigences énoncées dans l’accord de mise en œuvre avant de s’engager à financer une opération.</w:t>
      </w:r>
    </w:p>
    <w:p w14:paraId="1216C35E" w14:textId="77777777" w:rsidR="003C4798" w:rsidRDefault="00417595">
      <w:pPr>
        <w:pStyle w:val="P68B1DB1-Normal85"/>
        <w:numPr>
          <w:ilvl w:val="1"/>
          <w:numId w:val="31"/>
        </w:numPr>
        <w:spacing w:after="0" w:line="240" w:lineRule="auto"/>
        <w:jc w:val="both"/>
        <w:rPr>
          <w:noProof/>
        </w:rPr>
      </w:pPr>
      <w:r>
        <w:rPr>
          <w:noProof/>
        </w:rPr>
        <w:t>L’obligation de réaliser des audits ex post fondés sur les risques conformément à un plan d’audit de BGK.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l’exigence selon laquelle les bénéficiaires finaux de la facilité n’ont pas reçu d’aide d’autres instruments de l’Union pour couvrir le même coût soit respectée. Les audits vérifient également la légalité des opérations et le respect des conditions de l’accord de mise en œuvre et des accords de financement applicables.</w:t>
      </w:r>
    </w:p>
    <w:p w14:paraId="1216C35F" w14:textId="77777777" w:rsidR="003C4798" w:rsidRDefault="003C4798">
      <w:pPr>
        <w:spacing w:after="0" w:line="240" w:lineRule="auto"/>
        <w:ind w:left="1440"/>
        <w:jc w:val="both"/>
        <w:rPr>
          <w:rFonts w:ascii="Times New Roman" w:hAnsi="Times New Roman"/>
          <w:noProof/>
        </w:rPr>
      </w:pPr>
    </w:p>
    <w:p w14:paraId="1216C360" w14:textId="77777777" w:rsidR="003C4798" w:rsidRDefault="00417595">
      <w:pPr>
        <w:numPr>
          <w:ilvl w:val="0"/>
          <w:numId w:val="31"/>
        </w:numPr>
        <w:spacing w:after="0" w:line="240" w:lineRule="auto"/>
        <w:jc w:val="both"/>
        <w:rPr>
          <w:noProof/>
        </w:rPr>
      </w:pPr>
      <w:r>
        <w:rPr>
          <w:rFonts w:ascii="Times New Roman" w:hAnsi="Times New Roman"/>
          <w:noProof/>
        </w:rPr>
        <w:t>Exigences applicables aux investissements climatiques réalisés par le partenaire chargé de la mise en œuvre: au moins</w:t>
      </w:r>
      <w:r>
        <w:rPr>
          <w:rFonts w:eastAsia="Times New Roman"/>
          <w:noProof/>
          <w:color w:val="006100"/>
          <w:szCs w:val="24"/>
        </w:rPr>
        <w:t> </w:t>
      </w:r>
      <w:r>
        <w:rPr>
          <w:rFonts w:ascii="Times New Roman" w:hAnsi="Times New Roman"/>
          <w:noProof/>
        </w:rPr>
        <w:t>9</w:t>
      </w:r>
      <w:r>
        <w:rPr>
          <w:rFonts w:eastAsia="Times New Roman"/>
          <w:noProof/>
          <w:color w:val="006100"/>
          <w:szCs w:val="24"/>
        </w:rPr>
        <w:t> </w:t>
      </w:r>
      <w:r>
        <w:rPr>
          <w:rFonts w:ascii="Times New Roman" w:hAnsi="Times New Roman"/>
          <w:noProof/>
        </w:rPr>
        <w:t>087</w:t>
      </w:r>
      <w:r>
        <w:rPr>
          <w:rFonts w:eastAsia="Times New Roman"/>
          <w:noProof/>
          <w:color w:val="006100"/>
          <w:szCs w:val="24"/>
        </w:rPr>
        <w:t> </w:t>
      </w:r>
      <w:r>
        <w:rPr>
          <w:rFonts w:ascii="Times New Roman" w:hAnsi="Times New Roman"/>
          <w:noProof/>
        </w:rPr>
        <w:t>361</w:t>
      </w:r>
      <w:r>
        <w:rPr>
          <w:rFonts w:eastAsia="Times New Roman"/>
          <w:noProof/>
          <w:color w:val="006100"/>
          <w:szCs w:val="24"/>
        </w:rPr>
        <w:t> </w:t>
      </w:r>
      <w:r>
        <w:rPr>
          <w:rFonts w:ascii="Times New Roman" w:hAnsi="Times New Roman"/>
          <w:noProof/>
        </w:rPr>
        <w:t>627 EUR de l’investissement de la FRR dans la facilité contribuent à la réalisation des objectifs en matière de changement climatique conformément à l’annexe VI du règlement FRR.</w:t>
      </w:r>
      <w:r w:rsidRPr="00164B34">
        <w:rPr>
          <w:rFonts w:ascii="Times New Roman" w:hAnsi="Times New Roman"/>
          <w:noProof/>
          <w:vertAlign w:val="superscript"/>
        </w:rPr>
        <w:footnoteReference w:id="44"/>
      </w:r>
    </w:p>
    <w:p w14:paraId="1216C361" w14:textId="77777777" w:rsidR="003C4798" w:rsidRDefault="003C4798">
      <w:pPr>
        <w:spacing w:after="0" w:line="240" w:lineRule="auto"/>
        <w:jc w:val="both"/>
        <w:textAlignment w:val="baseline"/>
        <w:rPr>
          <w:rFonts w:ascii="Times New Roman" w:hAnsi="Times New Roman"/>
          <w:noProof/>
        </w:rPr>
      </w:pPr>
    </w:p>
    <w:p w14:paraId="1216C362" w14:textId="77777777" w:rsidR="003C4798" w:rsidRDefault="00417595">
      <w:pPr>
        <w:pStyle w:val="P68B1DB1-Normal86"/>
        <w:spacing w:before="120" w:after="120" w:line="240" w:lineRule="auto"/>
        <w:jc w:val="both"/>
        <w:rPr>
          <w:noProof/>
        </w:rPr>
      </w:pPr>
      <w:r>
        <w:rPr>
          <w:noProof/>
        </w:rPr>
        <w:t>G3.1.5. Construction de parcs éoliens en mer (Fonds pour l’énergie éolienne en mer)</w:t>
      </w:r>
    </w:p>
    <w:p w14:paraId="1216C363" w14:textId="77777777" w:rsidR="003C4798" w:rsidRDefault="00417595">
      <w:pPr>
        <w:spacing w:after="0" w:line="240" w:lineRule="auto"/>
        <w:jc w:val="both"/>
        <w:textAlignment w:val="baseline"/>
        <w:rPr>
          <w:rFonts w:ascii="Segoe UI" w:hAnsi="Segoe UI"/>
          <w:noProof/>
          <w:sz w:val="18"/>
        </w:rPr>
      </w:pPr>
      <w:r>
        <w:rPr>
          <w:rFonts w:ascii="Times New Roman" w:hAnsi="Times New Roman"/>
          <w:noProof/>
        </w:rPr>
        <w:t>Cette mesure consiste en un investissement public dans une facilité, le Fonds pour l'énergie éolienne en mer, afin d'encourager l'investissement privé et d'améliorer l'accès au financement dans le secteur de l'énergie éolienne en mer en Pologne. La facilité fonctionne en accordant des prêts directement au secteur privé, ainsi qu’aux entités du secteur public exerçant des activités similaires. Sur la base de l’investissement au titre de la FRR, la facilité vise initialement à fournir un financement d’au moins</w:t>
      </w:r>
      <w:r>
        <w:rPr>
          <w:rFonts w:eastAsia="Times New Roman"/>
          <w:noProof/>
          <w:color w:val="006100"/>
          <w:szCs w:val="24"/>
        </w:rPr>
        <w:t> </w:t>
      </w:r>
      <w:r>
        <w:rPr>
          <w:rFonts w:ascii="Times New Roman" w:hAnsi="Times New Roman"/>
          <w:noProof/>
        </w:rPr>
        <w:t>2</w:t>
      </w:r>
      <w:r>
        <w:rPr>
          <w:rFonts w:eastAsia="Times New Roman"/>
          <w:noProof/>
          <w:color w:val="006100"/>
          <w:szCs w:val="24"/>
        </w:rPr>
        <w:t> </w:t>
      </w:r>
      <w:r>
        <w:rPr>
          <w:rFonts w:ascii="Times New Roman" w:hAnsi="Times New Roman"/>
          <w:noProof/>
        </w:rPr>
        <w:t>226</w:t>
      </w:r>
      <w:r>
        <w:rPr>
          <w:rFonts w:eastAsia="Times New Roman"/>
          <w:noProof/>
          <w:color w:val="006100"/>
          <w:szCs w:val="24"/>
        </w:rPr>
        <w:t> </w:t>
      </w:r>
      <w:r>
        <w:rPr>
          <w:rFonts w:ascii="Times New Roman" w:hAnsi="Times New Roman"/>
          <w:noProof/>
        </w:rPr>
        <w:t>154</w:t>
      </w:r>
      <w:r>
        <w:rPr>
          <w:rFonts w:eastAsia="Times New Roman"/>
          <w:noProof/>
          <w:color w:val="006100"/>
          <w:szCs w:val="24"/>
        </w:rPr>
        <w:t> </w:t>
      </w:r>
      <w:r>
        <w:rPr>
          <w:rFonts w:ascii="Times New Roman" w:hAnsi="Times New Roman"/>
          <w:noProof/>
        </w:rPr>
        <w:t xml:space="preserve">567 EUR. </w:t>
      </w:r>
    </w:p>
    <w:p w14:paraId="1216C364" w14:textId="77777777" w:rsidR="003C4798" w:rsidRDefault="003C4798">
      <w:pPr>
        <w:spacing w:after="0" w:line="240" w:lineRule="auto"/>
        <w:jc w:val="both"/>
        <w:rPr>
          <w:rFonts w:ascii="Times New Roman" w:hAnsi="Times New Roman"/>
          <w:noProof/>
        </w:rPr>
      </w:pPr>
    </w:p>
    <w:p w14:paraId="1216C365" w14:textId="77777777" w:rsidR="003C4798" w:rsidRDefault="00417595">
      <w:pPr>
        <w:pStyle w:val="P68B1DB1-Normal85"/>
        <w:spacing w:after="0" w:line="240" w:lineRule="auto"/>
        <w:jc w:val="both"/>
        <w:textAlignment w:val="baseline"/>
        <w:rPr>
          <w:noProof/>
        </w:rPr>
      </w:pPr>
      <w:r>
        <w:rPr>
          <w:noProof/>
        </w:rPr>
        <w:t xml:space="preserve">La facilité est gérée par Bank Gospodarstwa Krajowego (BGK), en tant que partenaire chargé de la mise en œuvre. </w:t>
      </w:r>
    </w:p>
    <w:p w14:paraId="1216C366" w14:textId="77777777" w:rsidR="003C4798" w:rsidRDefault="003C4798">
      <w:pPr>
        <w:spacing w:after="0" w:line="240" w:lineRule="auto"/>
        <w:jc w:val="both"/>
        <w:textAlignment w:val="baseline"/>
        <w:rPr>
          <w:rFonts w:ascii="Times New Roman" w:hAnsi="Times New Roman"/>
          <w:noProof/>
        </w:rPr>
      </w:pPr>
    </w:p>
    <w:p w14:paraId="1216C367" w14:textId="77777777" w:rsidR="003C4798" w:rsidRDefault="00417595">
      <w:pPr>
        <w:pStyle w:val="P68B1DB1-Normal85"/>
        <w:spacing w:after="0" w:line="240" w:lineRule="auto"/>
        <w:jc w:val="both"/>
        <w:textAlignment w:val="baseline"/>
        <w:rPr>
          <w:rFonts w:ascii="Segoe UI" w:hAnsi="Segoe UI"/>
          <w:noProof/>
          <w:sz w:val="18"/>
        </w:rPr>
      </w:pPr>
      <w:r>
        <w:rPr>
          <w:noProof/>
        </w:rPr>
        <w:t xml:space="preserve">La facilité comprend la gamme de produits suivante: </w:t>
      </w:r>
    </w:p>
    <w:p w14:paraId="1216C368" w14:textId="77777777" w:rsidR="003C4798" w:rsidRDefault="003C4798">
      <w:pPr>
        <w:spacing w:after="0" w:line="240" w:lineRule="auto"/>
        <w:textAlignment w:val="baseline"/>
        <w:rPr>
          <w:rFonts w:ascii="Times New Roman" w:hAnsi="Times New Roman"/>
          <w:noProof/>
        </w:rPr>
      </w:pPr>
    </w:p>
    <w:p w14:paraId="1216C369" w14:textId="05C78C5A" w:rsidR="003C4798" w:rsidRDefault="00417595">
      <w:pPr>
        <w:pStyle w:val="P68B1DB1-Normal85"/>
        <w:numPr>
          <w:ilvl w:val="0"/>
          <w:numId w:val="30"/>
        </w:numPr>
        <w:spacing w:after="0" w:line="240" w:lineRule="auto"/>
        <w:textAlignment w:val="baseline"/>
        <w:rPr>
          <w:noProof/>
        </w:rPr>
      </w:pPr>
      <w:r>
        <w:rPr>
          <w:noProof/>
        </w:rPr>
        <w:t xml:space="preserve">Financement direct BGK: cette ligne accorde des prêts directs aux entreprises privées produisant ou ayant l’intention de produire de l’électricité à partir d’énergie éolienne en mer dans des parcs éoliens en mer, ainsi qu’aux entités du secteur public exerçant des activités similaires. Les prêts sont accordés directement par BGK. </w:t>
      </w:r>
    </w:p>
    <w:p w14:paraId="1216C36A" w14:textId="77777777" w:rsidR="003C4798" w:rsidRDefault="003C4798">
      <w:pPr>
        <w:spacing w:after="0" w:line="240" w:lineRule="auto"/>
        <w:jc w:val="both"/>
        <w:textAlignment w:val="baseline"/>
        <w:rPr>
          <w:rFonts w:ascii="Times New Roman" w:hAnsi="Times New Roman"/>
          <w:noProof/>
        </w:rPr>
      </w:pPr>
    </w:p>
    <w:p w14:paraId="1216C36B" w14:textId="77777777" w:rsidR="003C4798" w:rsidRDefault="00417595">
      <w:pPr>
        <w:pStyle w:val="P68B1DB1-Normal85"/>
        <w:spacing w:after="0" w:line="240" w:lineRule="auto"/>
        <w:jc w:val="both"/>
        <w:textAlignment w:val="baseline"/>
        <w:rPr>
          <w:noProof/>
        </w:rPr>
      </w:pPr>
      <w:r>
        <w:rPr>
          <w:noProof/>
        </w:rPr>
        <w:t xml:space="preserve">Afin de mettre en œuvre l’investissement dans la facilité, la Pologne et BGK signent un accord de mise en œuvre qui comprend les éléments suivants: </w:t>
      </w:r>
    </w:p>
    <w:p w14:paraId="1216C36C" w14:textId="77777777" w:rsidR="003C4798" w:rsidRDefault="003C4798">
      <w:pPr>
        <w:spacing w:after="0" w:line="240" w:lineRule="auto"/>
        <w:jc w:val="both"/>
        <w:textAlignment w:val="baseline"/>
        <w:rPr>
          <w:rFonts w:ascii="Segoe UI" w:hAnsi="Segoe UI"/>
          <w:noProof/>
          <w:sz w:val="18"/>
        </w:rPr>
      </w:pPr>
    </w:p>
    <w:p w14:paraId="1216C36D" w14:textId="77777777" w:rsidR="003C4798" w:rsidRDefault="00417595">
      <w:pPr>
        <w:pStyle w:val="P68B1DB1-Normal85"/>
        <w:numPr>
          <w:ilvl w:val="0"/>
          <w:numId w:val="34"/>
        </w:numPr>
        <w:spacing w:after="0" w:line="240" w:lineRule="auto"/>
        <w:jc w:val="both"/>
        <w:textAlignment w:val="baseline"/>
        <w:rPr>
          <w:noProof/>
        </w:rPr>
      </w:pPr>
      <w:r>
        <w:rPr>
          <w:noProof/>
        </w:rPr>
        <w:t xml:space="preserve">Description du processus décisionnel de la facilité: La décision finale d’investissement de la facilité est prise par un comité d’investissement ou un autre organe directeur équivalent compétent et approuvée à la majorité des voix des membres indépendants du gouvernement. </w:t>
      </w:r>
    </w:p>
    <w:p w14:paraId="1216C36E" w14:textId="77777777" w:rsidR="003C4798" w:rsidRDefault="00417595">
      <w:pPr>
        <w:pStyle w:val="P68B1DB1-Normal85"/>
        <w:numPr>
          <w:ilvl w:val="0"/>
          <w:numId w:val="34"/>
        </w:numPr>
        <w:spacing w:after="0" w:line="240" w:lineRule="auto"/>
        <w:jc w:val="both"/>
        <w:textAlignment w:val="baseline"/>
        <w:rPr>
          <w:noProof/>
        </w:rPr>
      </w:pPr>
      <w:r>
        <w:rPr>
          <w:noProof/>
        </w:rPr>
        <w:t>Les principales exigences de la politique d'investissement associée, qui comprennent: </w:t>
      </w:r>
    </w:p>
    <w:p w14:paraId="1216C36F" w14:textId="4B8CAAD7" w:rsidR="003C4798" w:rsidRDefault="00417595">
      <w:pPr>
        <w:pStyle w:val="P68B1DB1-Normal85"/>
        <w:numPr>
          <w:ilvl w:val="0"/>
          <w:numId w:val="35"/>
        </w:numPr>
        <w:spacing w:after="0" w:line="240" w:lineRule="auto"/>
        <w:jc w:val="both"/>
        <w:textAlignment w:val="baseline"/>
        <w:rPr>
          <w:noProof/>
        </w:rPr>
      </w:pPr>
      <w:r>
        <w:rPr>
          <w:noProof/>
        </w:rPr>
        <w:t xml:space="preserve">Description du produit financier et des bénéficiaires finaux éligibles. </w:t>
      </w:r>
    </w:p>
    <w:p w14:paraId="1216C370" w14:textId="77777777" w:rsidR="003C4798" w:rsidRDefault="00417595">
      <w:pPr>
        <w:pStyle w:val="P68B1DB1-Normal85"/>
        <w:numPr>
          <w:ilvl w:val="0"/>
          <w:numId w:val="35"/>
        </w:numPr>
        <w:spacing w:after="0" w:line="240" w:lineRule="auto"/>
        <w:jc w:val="both"/>
        <w:textAlignment w:val="baseline"/>
        <w:rPr>
          <w:noProof/>
        </w:rPr>
      </w:pPr>
      <w:r>
        <w:rPr>
          <w:noProof/>
        </w:rPr>
        <w:t xml:space="preserve">L'exigence que tous les investissements soutenus soient économiquement viables. </w:t>
      </w:r>
    </w:p>
    <w:p w14:paraId="1216C371" w14:textId="342A5A61" w:rsidR="003C4798" w:rsidRDefault="00417595">
      <w:pPr>
        <w:pStyle w:val="P68B1DB1-Normal85"/>
        <w:numPr>
          <w:ilvl w:val="0"/>
          <w:numId w:val="35"/>
        </w:numPr>
        <w:spacing w:after="0" w:line="240" w:lineRule="auto"/>
        <w:jc w:val="both"/>
        <w:textAlignment w:val="baseline"/>
        <w:rPr>
          <w:noProof/>
        </w:rPr>
      </w:pPr>
      <w:r>
        <w:rPr>
          <w:noProof/>
        </w:rPr>
        <w:t>L’obligation de respecter le principe consistant à «ne pas causer de préjudice important» tel qu’énoncé dans les orientations techniques relatives au principe consistant à «ne pas causer de préjudice important» [C(2023)</w:t>
      </w:r>
      <w:bookmarkStart w:id="17" w:name="_Hlk150284959"/>
      <w:r>
        <w:rPr>
          <w:noProof/>
        </w:rPr>
        <w:t xml:space="preserve"> 6454 final].</w:t>
      </w:r>
      <w:bookmarkEnd w:id="17"/>
      <w:r>
        <w:rPr>
          <w:noProof/>
        </w:rPr>
        <w:t xml:space="preserve"> En particulier, la politique d'investissement exclut de l'éligibilité la liste suivante d'activités et d'actifs: (i) les activités et les actifs liés aux combustibles fossiles, y compris l’utilisation en aval</w:t>
      </w:r>
      <w:r w:rsidRPr="00164B34">
        <w:rPr>
          <w:noProof/>
          <w:vertAlign w:val="superscript"/>
        </w:rPr>
        <w:footnoteReference w:id="45"/>
      </w:r>
      <w:r>
        <w:rPr>
          <w:noProof/>
        </w:rPr>
        <w:t>, (ii) les activités et les actifs relevant du système d’échange de quotas d’émission de l’UE (SEQE) permettant d’atteindre des émissions de gaz à effet de serre prévues qui ne sont pas inférieures aux référentiels pertinents</w:t>
      </w:r>
      <w:r w:rsidRPr="00164B34">
        <w:rPr>
          <w:noProof/>
          <w:vertAlign w:val="superscript"/>
        </w:rPr>
        <w:footnoteReference w:id="46"/>
      </w:r>
      <w:r w:rsidRPr="00164B34">
        <w:rPr>
          <w:noProof/>
          <w:vertAlign w:val="superscript"/>
        </w:rPr>
        <w:t>,</w:t>
      </w:r>
      <w:r>
        <w:rPr>
          <w:noProof/>
        </w:rPr>
        <w:t xml:space="preserve"> (iii) les activités et les actifs liés aux décharges de déchets, aux incinérateurs</w:t>
      </w:r>
      <w:r w:rsidRPr="00164B34">
        <w:rPr>
          <w:noProof/>
          <w:vertAlign w:val="superscript"/>
        </w:rPr>
        <w:footnoteReference w:id="47"/>
      </w:r>
      <w:r w:rsidRPr="00164B34">
        <w:rPr>
          <w:noProof/>
          <w:vertAlign w:val="superscript"/>
        </w:rPr>
        <w:t xml:space="preserve"> </w:t>
      </w:r>
      <w:r>
        <w:rPr>
          <w:noProof/>
        </w:rPr>
        <w:t>et aux usines de traitement biologique mécanique</w:t>
      </w:r>
      <w:r w:rsidRPr="00164B34">
        <w:rPr>
          <w:noProof/>
          <w:vertAlign w:val="superscript"/>
        </w:rPr>
        <w:footnoteReference w:id="48"/>
      </w:r>
      <w:r>
        <w:rPr>
          <w:noProof/>
        </w:rPr>
        <w:t>.</w:t>
      </w:r>
    </w:p>
    <w:p w14:paraId="1216C372" w14:textId="77777777" w:rsidR="003C4798" w:rsidRDefault="00417595">
      <w:pPr>
        <w:pStyle w:val="P68B1DB1-Normal85"/>
        <w:numPr>
          <w:ilvl w:val="0"/>
          <w:numId w:val="35"/>
        </w:numPr>
        <w:spacing w:after="0" w:line="240" w:lineRule="auto"/>
        <w:jc w:val="both"/>
        <w:textAlignment w:val="baseline"/>
        <w:rPr>
          <w:noProof/>
        </w:rPr>
      </w:pPr>
      <w:r>
        <w:rPr>
          <w:noProof/>
        </w:rPr>
        <w:t>L’exigence selon laquelle les bénéficiaires finaux de la facilité ne reçoivent pas de soutien d’autres instruments de l’Union pour couvrir le même coût.</w:t>
      </w:r>
    </w:p>
    <w:p w14:paraId="1216C373" w14:textId="77777777" w:rsidR="003C4798" w:rsidRDefault="003C4798">
      <w:pPr>
        <w:spacing w:after="0" w:line="240" w:lineRule="auto"/>
        <w:jc w:val="both"/>
        <w:textAlignment w:val="baseline"/>
        <w:rPr>
          <w:rFonts w:ascii="Times New Roman" w:hAnsi="Times New Roman"/>
          <w:noProof/>
        </w:rPr>
      </w:pPr>
    </w:p>
    <w:p w14:paraId="1216C374" w14:textId="77777777" w:rsidR="003C4798" w:rsidRDefault="00417595">
      <w:pPr>
        <w:pStyle w:val="P68B1DB1-Normal85"/>
        <w:numPr>
          <w:ilvl w:val="0"/>
          <w:numId w:val="34"/>
        </w:numPr>
        <w:spacing w:after="0" w:line="240" w:lineRule="auto"/>
        <w:jc w:val="both"/>
        <w:textAlignment w:val="baseline"/>
        <w:rPr>
          <w:noProof/>
        </w:rPr>
      </w:pPr>
      <w:r>
        <w:rPr>
          <w:noProof/>
        </w:rPr>
        <w:t>Le montant couvert par l’accord de mise en œuvre, la structure des frais pour le partenaire chargé de la mise en œuvre et l’obligation de réinvestir tout remboursement conformément à la politique d’investissement de la facilité, à moins qu’ils ne soient utilisés pour assurer le service des remboursements de prêts de la facilité pour la reprise et la résilience.</w:t>
      </w:r>
    </w:p>
    <w:p w14:paraId="1216C375" w14:textId="77777777" w:rsidR="003C4798" w:rsidRDefault="003C4798">
      <w:pPr>
        <w:spacing w:after="0" w:line="240" w:lineRule="auto"/>
        <w:ind w:left="360"/>
        <w:jc w:val="both"/>
        <w:textAlignment w:val="baseline"/>
        <w:rPr>
          <w:rFonts w:ascii="Times New Roman" w:hAnsi="Times New Roman"/>
          <w:noProof/>
        </w:rPr>
      </w:pPr>
    </w:p>
    <w:p w14:paraId="1216C376" w14:textId="77777777" w:rsidR="003C4798" w:rsidRDefault="00417595">
      <w:pPr>
        <w:pStyle w:val="P68B1DB1-Normal85"/>
        <w:numPr>
          <w:ilvl w:val="0"/>
          <w:numId w:val="34"/>
        </w:numPr>
        <w:spacing w:after="0" w:line="240" w:lineRule="auto"/>
        <w:jc w:val="both"/>
        <w:textAlignment w:val="baseline"/>
        <w:rPr>
          <w:noProof/>
        </w:rPr>
      </w:pPr>
      <w:r>
        <w:rPr>
          <w:noProof/>
        </w:rPr>
        <w:t>Exigences en matière de surveillance, d'audit et de contrôle, y compris:</w:t>
      </w:r>
    </w:p>
    <w:p w14:paraId="1216C377" w14:textId="77777777" w:rsidR="003C4798" w:rsidRDefault="00417595">
      <w:pPr>
        <w:pStyle w:val="P68B1DB1-Normal85"/>
        <w:numPr>
          <w:ilvl w:val="1"/>
          <w:numId w:val="36"/>
        </w:numPr>
        <w:spacing w:after="0" w:line="240" w:lineRule="auto"/>
        <w:jc w:val="both"/>
        <w:textAlignment w:val="baseline"/>
        <w:rPr>
          <w:noProof/>
        </w:rPr>
      </w:pPr>
      <w:r>
        <w:rPr>
          <w:noProof/>
        </w:rPr>
        <w:t xml:space="preserve">Description du système de suivi du partenaire chargé de la mise en œuvre pour rendre compte des investissements mobilisés. </w:t>
      </w:r>
    </w:p>
    <w:p w14:paraId="1216C378" w14:textId="77777777" w:rsidR="003C4798" w:rsidRDefault="00417595">
      <w:pPr>
        <w:pStyle w:val="P68B1DB1-Normal85"/>
        <w:numPr>
          <w:ilvl w:val="1"/>
          <w:numId w:val="36"/>
        </w:numPr>
        <w:spacing w:after="0" w:line="240" w:lineRule="auto"/>
        <w:jc w:val="both"/>
        <w:textAlignment w:val="baseline"/>
        <w:rPr>
          <w:noProof/>
        </w:rPr>
      </w:pPr>
      <w:r>
        <w:rPr>
          <w:noProof/>
        </w:rPr>
        <w:t>Description des procédures du partenaire chargé de la mise en œuvre qui garantiront la prévention, la détection et la correction de la fraude, de la corruption et des conflits d’intérêts.</w:t>
      </w:r>
    </w:p>
    <w:p w14:paraId="1216C379" w14:textId="77777777" w:rsidR="003C4798" w:rsidRDefault="00417595">
      <w:pPr>
        <w:pStyle w:val="P68B1DB1-Normal85"/>
        <w:numPr>
          <w:ilvl w:val="1"/>
          <w:numId w:val="36"/>
        </w:numPr>
        <w:spacing w:after="0" w:line="240" w:lineRule="auto"/>
        <w:jc w:val="both"/>
        <w:textAlignment w:val="baseline"/>
        <w:rPr>
          <w:noProof/>
        </w:rPr>
      </w:pPr>
      <w:r>
        <w:rPr>
          <w:noProof/>
        </w:rPr>
        <w:t>L’obligation de vérifier l’éligibilité de chaque opération conformément aux exigences énoncées dans l’accord de mise en œuvre avant de s’engager à financer une opération.</w:t>
      </w:r>
    </w:p>
    <w:p w14:paraId="1216C37A" w14:textId="77777777" w:rsidR="003C4798" w:rsidRDefault="00417595">
      <w:pPr>
        <w:pStyle w:val="P68B1DB1-Normal85"/>
        <w:numPr>
          <w:ilvl w:val="1"/>
          <w:numId w:val="36"/>
        </w:numPr>
        <w:spacing w:after="0" w:line="240" w:lineRule="auto"/>
        <w:jc w:val="both"/>
        <w:textAlignment w:val="baseline"/>
        <w:rPr>
          <w:noProof/>
        </w:rPr>
      </w:pPr>
      <w:r>
        <w:rPr>
          <w:noProof/>
        </w:rPr>
        <w:t xml:space="preserve">L’obligation de réaliser des audits ex post fondés sur les risques conformément à un plan d’audit de BGK.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l’exigence selon laquelle les bénéficiaires finaux de la facilité n’ont pas reçu d’aide d’autres instruments de l’Union pour couvrir le même coût soit respectée. Les audits vérifient également la légalité des opérations et le respect des conditions de l’accord de mise en œuvre applicable. </w:t>
      </w:r>
    </w:p>
    <w:p w14:paraId="1216C37B" w14:textId="77777777" w:rsidR="003C4798" w:rsidRDefault="00417595">
      <w:pPr>
        <w:numPr>
          <w:ilvl w:val="0"/>
          <w:numId w:val="34"/>
        </w:numPr>
        <w:spacing w:after="0" w:line="240" w:lineRule="auto"/>
        <w:jc w:val="both"/>
        <w:textAlignment w:val="baseline"/>
        <w:rPr>
          <w:rFonts w:ascii="Times New Roman" w:hAnsi="Times New Roman"/>
          <w:noProof/>
        </w:rPr>
      </w:pPr>
      <w:r>
        <w:rPr>
          <w:rFonts w:ascii="Times New Roman" w:hAnsi="Times New Roman"/>
          <w:noProof/>
        </w:rPr>
        <w:t xml:space="preserve">Exigences applicables aux investissements climatiques réalisés par le partenaire chargé de la mise en œuvre: </w:t>
      </w:r>
      <w:r>
        <w:rPr>
          <w:rFonts w:eastAsia="Times New Roman"/>
          <w:noProof/>
          <w:color w:val="006100"/>
          <w:szCs w:val="24"/>
        </w:rPr>
        <w:t> </w:t>
      </w:r>
      <w:r>
        <w:rPr>
          <w:rFonts w:ascii="Times New Roman" w:hAnsi="Times New Roman"/>
          <w:noProof/>
        </w:rPr>
        <w:t>2</w:t>
      </w:r>
      <w:r>
        <w:rPr>
          <w:rFonts w:eastAsia="Times New Roman"/>
          <w:noProof/>
          <w:color w:val="006100"/>
          <w:szCs w:val="24"/>
        </w:rPr>
        <w:t> </w:t>
      </w:r>
      <w:r>
        <w:rPr>
          <w:rFonts w:ascii="Times New Roman" w:hAnsi="Times New Roman"/>
          <w:noProof/>
        </w:rPr>
        <w:t>226</w:t>
      </w:r>
      <w:r>
        <w:rPr>
          <w:rFonts w:eastAsia="Times New Roman"/>
          <w:noProof/>
          <w:color w:val="006100"/>
          <w:szCs w:val="24"/>
        </w:rPr>
        <w:t> </w:t>
      </w:r>
      <w:r>
        <w:rPr>
          <w:rFonts w:ascii="Times New Roman" w:hAnsi="Times New Roman"/>
          <w:noProof/>
        </w:rPr>
        <w:t>154</w:t>
      </w:r>
      <w:r>
        <w:rPr>
          <w:rFonts w:eastAsia="Times New Roman"/>
          <w:noProof/>
          <w:color w:val="006100"/>
          <w:szCs w:val="24"/>
        </w:rPr>
        <w:t> </w:t>
      </w:r>
      <w:r>
        <w:rPr>
          <w:rFonts w:ascii="Times New Roman" w:hAnsi="Times New Roman"/>
          <w:noProof/>
        </w:rPr>
        <w:t>567 EUR de l’investissement de la FRR dans la facilité contribuent à la réalisation des objectifs en matière de changement climatique conformément à l’annexe VI du règlement FRR.</w:t>
      </w:r>
      <w:r w:rsidRPr="00164B34">
        <w:rPr>
          <w:rFonts w:ascii="Times New Roman" w:hAnsi="Times New Roman"/>
          <w:noProof/>
          <w:vertAlign w:val="superscript"/>
        </w:rPr>
        <w:footnoteReference w:id="49"/>
      </w:r>
    </w:p>
    <w:p w14:paraId="1216C37C" w14:textId="77777777" w:rsidR="003C4798" w:rsidRDefault="003C4798">
      <w:pPr>
        <w:spacing w:after="0" w:line="240" w:lineRule="auto"/>
        <w:jc w:val="both"/>
        <w:textAlignment w:val="baseline"/>
        <w:rPr>
          <w:rFonts w:ascii="Times New Roman" w:eastAsia="Times New Roman" w:hAnsi="Times New Roman" w:cs="Times New Roman"/>
          <w:noProof/>
        </w:rPr>
      </w:pPr>
    </w:p>
    <w:p w14:paraId="1216C37D" w14:textId="77777777" w:rsidR="003C4798" w:rsidRDefault="00417595">
      <w:pPr>
        <w:pStyle w:val="P68B1DB1-Normal93"/>
        <w:keepNext/>
        <w:spacing w:before="120" w:after="120" w:line="240" w:lineRule="auto"/>
        <w:jc w:val="both"/>
        <w:rPr>
          <w:noProof/>
        </w:rPr>
      </w:pPr>
      <w:r>
        <w:rPr>
          <w:noProof/>
        </w:rPr>
        <w:t>Sous-composante G3.2 – Améliorer les infrastructures et les installations énergétiques pour répondre aux besoins immédiats en matière de sécurité d’approvisionnement en gaz</w:t>
      </w:r>
    </w:p>
    <w:p w14:paraId="1216C37E" w14:textId="77777777" w:rsidR="003C4798" w:rsidRDefault="00417595">
      <w:pPr>
        <w:pStyle w:val="P68B1DB1-Normal86"/>
        <w:keepNext/>
        <w:spacing w:before="120" w:after="120" w:line="240" w:lineRule="auto"/>
        <w:jc w:val="both"/>
        <w:rPr>
          <w:rFonts w:cs="Times New Roman"/>
          <w:bCs/>
          <w:noProof/>
        </w:rPr>
      </w:pPr>
      <w:r>
        <w:rPr>
          <w:noProof/>
        </w:rPr>
        <w:t>G3.2.1. Construction d'infrastructures de gaz naturel pour assurer la sécurité énergétique</w:t>
      </w:r>
    </w:p>
    <w:p w14:paraId="1216C37F" w14:textId="2F11F0AC" w:rsidR="003C4798" w:rsidRDefault="00417595">
      <w:pPr>
        <w:pStyle w:val="P68B1DB1-Normal85"/>
        <w:spacing w:before="120" w:after="120" w:line="240" w:lineRule="auto"/>
        <w:jc w:val="both"/>
        <w:rPr>
          <w:noProof/>
        </w:rPr>
      </w:pPr>
      <w:r>
        <w:rPr>
          <w:noProof/>
        </w:rPr>
        <w:t>L’objectif de cet investissement est d’améliorer les infrastructures et les installations énergétiques afin de répondre aux besoins immédiats en matière de sécurité d’approvisionnement en gaz, y compris en gaz naturel liquéfié, notamment pour permettre la diversification de l’approvisionnement dans l’intérêt de l’Union dans son ensemble. Cette mesure consiste en la construction du réseau de transport de gaz naturel entre Gdańsk et Gustorzyn.</w:t>
      </w:r>
    </w:p>
    <w:p w14:paraId="1216C380" w14:textId="77777777" w:rsidR="003C4798" w:rsidRDefault="00417595">
      <w:pPr>
        <w:pStyle w:val="P68B1DB1-Normal99"/>
        <w:spacing w:before="120" w:after="120" w:line="240" w:lineRule="auto"/>
        <w:jc w:val="both"/>
        <w:rPr>
          <w:bCs/>
          <w:noProof/>
        </w:rPr>
      </w:pPr>
      <w:r>
        <w:rPr>
          <w:noProof/>
        </w:rPr>
        <w:t>Sous-composante G3.3 – Systèmes de stockage d’énergie (soutien remboursable)</w:t>
      </w:r>
    </w:p>
    <w:p w14:paraId="1216C381" w14:textId="75B6E260" w:rsidR="003C4798" w:rsidRDefault="00417595">
      <w:pPr>
        <w:pStyle w:val="P68B1DB1-Normal86"/>
        <w:keepNext/>
        <w:spacing w:before="120" w:after="120" w:line="240" w:lineRule="auto"/>
        <w:jc w:val="both"/>
        <w:rPr>
          <w:rFonts w:cs="Times New Roman"/>
          <w:noProof/>
        </w:rPr>
      </w:pPr>
      <w:r>
        <w:rPr>
          <w:noProof/>
        </w:rPr>
        <w:t>G3.3.1 Systèmes de stockage d'énergie (soutien remboursable)</w:t>
      </w:r>
    </w:p>
    <w:p w14:paraId="1216C382" w14:textId="77777777" w:rsidR="003C4798" w:rsidRDefault="00417595">
      <w:pPr>
        <w:pStyle w:val="P68B1DB1-Normal85"/>
        <w:spacing w:before="120" w:after="120" w:line="240" w:lineRule="auto"/>
        <w:jc w:val="both"/>
        <w:rPr>
          <w:rFonts w:cs="Times New Roman"/>
          <w:noProof/>
        </w:rPr>
      </w:pPr>
      <w:r>
        <w:rPr>
          <w:noProof/>
        </w:rPr>
        <w:t>L’objectif de cet investissement est d’assurer la continuité de l’approvisionnement en électricité des clients et d’accroître l’efficacité de l’utilisation des SER.</w:t>
      </w:r>
    </w:p>
    <w:p w14:paraId="1216C383" w14:textId="77777777" w:rsidR="003C4798" w:rsidRDefault="00417595">
      <w:pPr>
        <w:pStyle w:val="P68B1DB1-Normal85"/>
        <w:spacing w:before="120" w:after="120" w:line="240" w:lineRule="auto"/>
        <w:jc w:val="both"/>
        <w:rPr>
          <w:noProof/>
        </w:rPr>
      </w:pPr>
      <w:r>
        <w:rPr>
          <w:noProof/>
        </w:rPr>
        <w:t>Cette mesure consiste en la modernisation partielle d'une installation de stockage d'énergie hydroélectrique par pompage, par la modernisation du réservoir supérieur, des prises d'eau supérieures et inférieures et des tunnels dérivés.</w:t>
      </w:r>
    </w:p>
    <w:p w14:paraId="1216C384" w14:textId="77777777" w:rsidR="003C4798" w:rsidRDefault="003C4798">
      <w:pPr>
        <w:spacing w:before="120" w:after="120" w:line="240" w:lineRule="auto"/>
        <w:jc w:val="both"/>
        <w:rPr>
          <w:noProof/>
        </w:rPr>
      </w:pPr>
    </w:p>
    <w:p w14:paraId="1216C385" w14:textId="77777777" w:rsidR="003C4798" w:rsidRDefault="003C4798">
      <w:pPr>
        <w:rPr>
          <w:rFonts w:ascii="Times New Roman" w:hAnsi="Times New Roman"/>
          <w:noProof/>
        </w:rPr>
        <w:sectPr w:rsidR="003C4798" w:rsidSect="006C5441">
          <w:headerReference w:type="even" r:id="rId168"/>
          <w:headerReference w:type="default" r:id="rId169"/>
          <w:footerReference w:type="even" r:id="rId170"/>
          <w:footerReference w:type="default" r:id="rId171"/>
          <w:headerReference w:type="first" r:id="rId172"/>
          <w:footerReference w:type="first" r:id="rId173"/>
          <w:pgSz w:w="11907" w:h="16839"/>
          <w:pgMar w:top="1134" w:right="1134" w:bottom="1134" w:left="1134" w:header="567" w:footer="567" w:gutter="0"/>
          <w:cols w:space="720"/>
          <w:docGrid w:linePitch="299"/>
        </w:sectPr>
      </w:pPr>
    </w:p>
    <w:p w14:paraId="1216C386" w14:textId="77777777" w:rsidR="003C4798" w:rsidRDefault="00417595">
      <w:pPr>
        <w:pStyle w:val="P68B1DB1-Normal91"/>
        <w:spacing w:before="120" w:after="120" w:line="240" w:lineRule="auto"/>
        <w:jc w:val="both"/>
        <w:rPr>
          <w:b/>
          <w:smallCaps/>
          <w:noProof/>
        </w:rPr>
      </w:pPr>
      <w:r>
        <w:rPr>
          <w:b/>
          <w:noProof/>
        </w:rPr>
        <w:t xml:space="preserve">G4. </w:t>
      </w:r>
      <w:r>
        <w:rPr>
          <w:noProof/>
        </w:rPr>
        <w:t xml:space="preserve"> </w:t>
      </w:r>
      <w:r>
        <w:rPr>
          <w:b/>
          <w:noProof/>
        </w:rPr>
        <w:t>Étapes, objectifs, indicateurs et calendrier du suivi et de la mise en œuvre du prêt</w:t>
      </w:r>
    </w:p>
    <w:p w14:paraId="1216C387" w14:textId="77777777" w:rsidR="003C4798" w:rsidRDefault="00417595">
      <w:pPr>
        <w:pStyle w:val="P68B1DB1-Normal93"/>
        <w:keepNext/>
        <w:spacing w:before="120" w:after="120" w:line="240" w:lineRule="auto"/>
        <w:jc w:val="both"/>
        <w:rPr>
          <w:noProof/>
        </w:rPr>
      </w:pPr>
      <w:r>
        <w:rPr>
          <w:noProof/>
        </w:rPr>
        <w:t>Sous-composante G3.1 – Améliorer le déploiement des énergies renouvelables, les compétences vertes et l’efficacité énergétique</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1461"/>
        <w:gridCol w:w="1133"/>
        <w:gridCol w:w="1792"/>
        <w:gridCol w:w="1591"/>
        <w:gridCol w:w="1067"/>
        <w:gridCol w:w="936"/>
        <w:gridCol w:w="851"/>
        <w:gridCol w:w="993"/>
        <w:gridCol w:w="708"/>
        <w:gridCol w:w="3974"/>
      </w:tblGrid>
      <w:tr w:rsidR="003C4798" w14:paraId="1216C390" w14:textId="77777777" w:rsidTr="00DA6ACB">
        <w:trPr>
          <w:trHeight w:val="799"/>
          <w:tblHeader/>
          <w:jc w:val="center"/>
        </w:trPr>
        <w:tc>
          <w:tcPr>
            <w:tcW w:w="803" w:type="dxa"/>
            <w:vMerge w:val="restart"/>
            <w:shd w:val="clear" w:color="auto" w:fill="BDD7EE"/>
            <w:vAlign w:val="center"/>
            <w:hideMark/>
          </w:tcPr>
          <w:p w14:paraId="1216C388" w14:textId="77777777" w:rsidR="003C4798" w:rsidRDefault="00417595">
            <w:pPr>
              <w:pStyle w:val="P68B1DB1-Normal96"/>
              <w:spacing w:after="0" w:line="240" w:lineRule="auto"/>
              <w:jc w:val="center"/>
              <w:rPr>
                <w:rFonts w:eastAsia="Times New Roman" w:cs="Times New Roman"/>
                <w:noProof/>
                <w:szCs w:val="18"/>
              </w:rPr>
            </w:pPr>
            <w:r>
              <w:rPr>
                <w:noProof/>
              </w:rPr>
              <w:t>Seq. N°</w:t>
            </w:r>
          </w:p>
        </w:tc>
        <w:tc>
          <w:tcPr>
            <w:tcW w:w="1461" w:type="dxa"/>
            <w:vMerge w:val="restart"/>
            <w:shd w:val="clear" w:color="auto" w:fill="BDD7EE"/>
            <w:vAlign w:val="center"/>
            <w:hideMark/>
          </w:tcPr>
          <w:p w14:paraId="1216C389" w14:textId="77777777" w:rsidR="003C4798" w:rsidRDefault="00417595">
            <w:pPr>
              <w:pStyle w:val="P68B1DB1-Normal88"/>
              <w:spacing w:after="0" w:line="240" w:lineRule="auto"/>
              <w:jc w:val="center"/>
              <w:rPr>
                <w:rFonts w:eastAsia="Times New Roman" w:cs="Times New Roman"/>
                <w:noProof/>
              </w:rPr>
            </w:pPr>
            <w:r>
              <w:rPr>
                <w:noProof/>
              </w:rPr>
              <w:t>Mesure connexe (réforme ou investissement)</w:t>
            </w:r>
          </w:p>
        </w:tc>
        <w:tc>
          <w:tcPr>
            <w:tcW w:w="1133" w:type="dxa"/>
            <w:vMerge w:val="restart"/>
            <w:shd w:val="clear" w:color="auto" w:fill="BDD7EE"/>
            <w:vAlign w:val="center"/>
            <w:hideMark/>
          </w:tcPr>
          <w:p w14:paraId="1216C38A" w14:textId="77777777" w:rsidR="003C4798" w:rsidRDefault="00417595">
            <w:pPr>
              <w:pStyle w:val="P68B1DB1-Normal88"/>
              <w:spacing w:after="0" w:line="240" w:lineRule="auto"/>
              <w:jc w:val="center"/>
              <w:rPr>
                <w:rFonts w:eastAsia="Times New Roman" w:cs="Times New Roman"/>
                <w:noProof/>
              </w:rPr>
            </w:pPr>
            <w:r>
              <w:rPr>
                <w:noProof/>
              </w:rPr>
              <w:t>Étape/cible</w:t>
            </w:r>
          </w:p>
        </w:tc>
        <w:tc>
          <w:tcPr>
            <w:tcW w:w="1792" w:type="dxa"/>
            <w:vMerge w:val="restart"/>
            <w:shd w:val="clear" w:color="auto" w:fill="BDD7EE"/>
            <w:vAlign w:val="center"/>
            <w:hideMark/>
          </w:tcPr>
          <w:p w14:paraId="1216C38B" w14:textId="77777777" w:rsidR="003C4798" w:rsidRDefault="00417595">
            <w:pPr>
              <w:pStyle w:val="P68B1DB1-Normal88"/>
              <w:spacing w:after="0" w:line="240" w:lineRule="auto"/>
              <w:jc w:val="center"/>
              <w:rPr>
                <w:rFonts w:eastAsia="Times New Roman" w:cs="Times New Roman"/>
                <w:noProof/>
              </w:rPr>
            </w:pPr>
            <w:r>
              <w:rPr>
                <w:noProof/>
              </w:rPr>
              <w:t>Nom</w:t>
            </w:r>
          </w:p>
        </w:tc>
        <w:tc>
          <w:tcPr>
            <w:tcW w:w="1591" w:type="dxa"/>
            <w:vMerge w:val="restart"/>
            <w:shd w:val="clear" w:color="auto" w:fill="BDD7EE"/>
            <w:vAlign w:val="center"/>
            <w:hideMark/>
          </w:tcPr>
          <w:p w14:paraId="1216C38C" w14:textId="25A402B8" w:rsidR="003C4798" w:rsidRDefault="00417595">
            <w:pPr>
              <w:pStyle w:val="P68B1DB1-Normal88"/>
              <w:spacing w:after="0" w:line="240" w:lineRule="auto"/>
              <w:jc w:val="center"/>
              <w:rPr>
                <w:rFonts w:eastAsia="Times New Roman" w:cs="Times New Roman"/>
                <w:noProof/>
              </w:rPr>
            </w:pPr>
            <w:r>
              <w:rPr>
                <w:noProof/>
              </w:rPr>
              <w:t>Indicateurs qualitatifs (pour les jalons)</w:t>
            </w:r>
          </w:p>
        </w:tc>
        <w:tc>
          <w:tcPr>
            <w:tcW w:w="2854" w:type="dxa"/>
            <w:gridSpan w:val="3"/>
            <w:shd w:val="clear" w:color="auto" w:fill="BDD7EE"/>
            <w:vAlign w:val="center"/>
            <w:hideMark/>
          </w:tcPr>
          <w:p w14:paraId="1216C38D" w14:textId="161027F0" w:rsidR="003C4798" w:rsidRDefault="00417595">
            <w:pPr>
              <w:pStyle w:val="P68B1DB1-Normal88"/>
              <w:spacing w:after="0" w:line="240" w:lineRule="auto"/>
              <w:jc w:val="center"/>
              <w:rPr>
                <w:rFonts w:eastAsia="Times New Roman" w:cs="Times New Roman"/>
                <w:noProof/>
              </w:rPr>
            </w:pPr>
            <w:r>
              <w:rPr>
                <w:noProof/>
              </w:rPr>
              <w:t>Indicateurs quantitatifs (pour les objectifs)</w:t>
            </w:r>
          </w:p>
        </w:tc>
        <w:tc>
          <w:tcPr>
            <w:tcW w:w="1701" w:type="dxa"/>
            <w:gridSpan w:val="2"/>
            <w:shd w:val="clear" w:color="auto" w:fill="BDD7EE"/>
            <w:vAlign w:val="center"/>
            <w:hideMark/>
          </w:tcPr>
          <w:p w14:paraId="1216C38E" w14:textId="77777777" w:rsidR="003C4798" w:rsidRDefault="00417595">
            <w:pPr>
              <w:pStyle w:val="P68B1DB1-Normal88"/>
              <w:spacing w:after="0" w:line="240" w:lineRule="auto"/>
              <w:jc w:val="center"/>
              <w:rPr>
                <w:rFonts w:eastAsia="Times New Roman" w:cs="Times New Roman"/>
                <w:noProof/>
              </w:rPr>
            </w:pPr>
            <w:r>
              <w:rPr>
                <w:noProof/>
              </w:rPr>
              <w:t>Calendrier indicatif d'achèvement</w:t>
            </w:r>
          </w:p>
        </w:tc>
        <w:tc>
          <w:tcPr>
            <w:tcW w:w="3974" w:type="dxa"/>
            <w:vMerge w:val="restart"/>
            <w:shd w:val="clear" w:color="auto" w:fill="BDD7EE"/>
            <w:vAlign w:val="center"/>
            <w:hideMark/>
          </w:tcPr>
          <w:p w14:paraId="1216C38F" w14:textId="77777777" w:rsidR="003C4798" w:rsidRDefault="00417595">
            <w:pPr>
              <w:pStyle w:val="P68B1DB1-Normal88"/>
              <w:spacing w:after="0" w:line="240" w:lineRule="auto"/>
              <w:jc w:val="center"/>
              <w:rPr>
                <w:rFonts w:eastAsia="Times New Roman" w:cs="Times New Roman"/>
                <w:noProof/>
              </w:rPr>
            </w:pPr>
            <w:r>
              <w:rPr>
                <w:noProof/>
              </w:rPr>
              <w:t>Description de chaque jalon et cible</w:t>
            </w:r>
          </w:p>
        </w:tc>
      </w:tr>
      <w:tr w:rsidR="003C4798" w14:paraId="1216C39C" w14:textId="77777777" w:rsidTr="00DA6ACB">
        <w:trPr>
          <w:trHeight w:val="605"/>
          <w:tblHeader/>
          <w:jc w:val="center"/>
        </w:trPr>
        <w:tc>
          <w:tcPr>
            <w:tcW w:w="803" w:type="dxa"/>
            <w:vMerge/>
            <w:hideMark/>
          </w:tcPr>
          <w:p w14:paraId="1216C391" w14:textId="77777777" w:rsidR="003C4798" w:rsidRDefault="003C4798">
            <w:pPr>
              <w:spacing w:after="0" w:line="240" w:lineRule="auto"/>
              <w:jc w:val="center"/>
              <w:rPr>
                <w:rFonts w:ascii="Times New Roman" w:eastAsia="Times New Roman" w:hAnsi="Times New Roman" w:cs="Times New Roman"/>
                <w:b/>
                <w:noProof/>
                <w:sz w:val="18"/>
                <w:szCs w:val="18"/>
              </w:rPr>
            </w:pPr>
          </w:p>
        </w:tc>
        <w:tc>
          <w:tcPr>
            <w:tcW w:w="1461" w:type="dxa"/>
            <w:vMerge/>
            <w:vAlign w:val="center"/>
            <w:hideMark/>
          </w:tcPr>
          <w:p w14:paraId="1216C392" w14:textId="77777777" w:rsidR="003C4798" w:rsidRDefault="003C4798">
            <w:pPr>
              <w:spacing w:after="0" w:line="240" w:lineRule="auto"/>
              <w:rPr>
                <w:rFonts w:ascii="Times New Roman" w:eastAsia="Times New Roman" w:hAnsi="Times New Roman" w:cs="Times New Roman"/>
                <w:b/>
                <w:bCs/>
                <w:noProof/>
              </w:rPr>
            </w:pPr>
          </w:p>
        </w:tc>
        <w:tc>
          <w:tcPr>
            <w:tcW w:w="1133" w:type="dxa"/>
            <w:vMerge/>
            <w:vAlign w:val="center"/>
            <w:hideMark/>
          </w:tcPr>
          <w:p w14:paraId="1216C393" w14:textId="77777777" w:rsidR="003C4798" w:rsidRDefault="003C4798">
            <w:pPr>
              <w:spacing w:after="0" w:line="240" w:lineRule="auto"/>
              <w:jc w:val="center"/>
              <w:rPr>
                <w:rFonts w:ascii="Times New Roman" w:eastAsia="Times New Roman" w:hAnsi="Times New Roman" w:cs="Times New Roman"/>
                <w:b/>
                <w:bCs/>
                <w:noProof/>
              </w:rPr>
            </w:pPr>
          </w:p>
        </w:tc>
        <w:tc>
          <w:tcPr>
            <w:tcW w:w="1792" w:type="dxa"/>
            <w:vMerge/>
            <w:vAlign w:val="center"/>
            <w:hideMark/>
          </w:tcPr>
          <w:p w14:paraId="1216C394" w14:textId="77777777" w:rsidR="003C4798" w:rsidRDefault="003C4798">
            <w:pPr>
              <w:spacing w:after="0" w:line="240" w:lineRule="auto"/>
              <w:rPr>
                <w:rFonts w:ascii="Times New Roman" w:eastAsia="Times New Roman" w:hAnsi="Times New Roman" w:cs="Times New Roman"/>
                <w:b/>
                <w:bCs/>
                <w:noProof/>
              </w:rPr>
            </w:pPr>
          </w:p>
        </w:tc>
        <w:tc>
          <w:tcPr>
            <w:tcW w:w="1591" w:type="dxa"/>
            <w:vMerge/>
            <w:vAlign w:val="center"/>
            <w:hideMark/>
          </w:tcPr>
          <w:p w14:paraId="1216C395" w14:textId="77777777" w:rsidR="003C4798" w:rsidRDefault="003C4798">
            <w:pPr>
              <w:spacing w:after="0" w:line="240" w:lineRule="auto"/>
              <w:rPr>
                <w:rFonts w:ascii="Times New Roman" w:eastAsia="Times New Roman" w:hAnsi="Times New Roman" w:cs="Times New Roman"/>
                <w:b/>
                <w:bCs/>
                <w:noProof/>
              </w:rPr>
            </w:pPr>
          </w:p>
        </w:tc>
        <w:tc>
          <w:tcPr>
            <w:tcW w:w="1067" w:type="dxa"/>
            <w:shd w:val="clear" w:color="auto" w:fill="BDD7EE"/>
            <w:vAlign w:val="center"/>
            <w:hideMark/>
          </w:tcPr>
          <w:p w14:paraId="1216C396" w14:textId="77777777" w:rsidR="003C4798" w:rsidRDefault="00417595">
            <w:pPr>
              <w:pStyle w:val="P68B1DB1-Normal96"/>
              <w:spacing w:after="0" w:line="240" w:lineRule="auto"/>
              <w:jc w:val="center"/>
              <w:rPr>
                <w:rFonts w:eastAsia="Times New Roman" w:cs="Times New Roman"/>
                <w:noProof/>
                <w:szCs w:val="18"/>
              </w:rPr>
            </w:pPr>
            <w:r>
              <w:rPr>
                <w:noProof/>
              </w:rPr>
              <w:t>Unité de mesure</w:t>
            </w:r>
          </w:p>
        </w:tc>
        <w:tc>
          <w:tcPr>
            <w:tcW w:w="936" w:type="dxa"/>
            <w:shd w:val="clear" w:color="auto" w:fill="BDD7EE"/>
            <w:vAlign w:val="center"/>
            <w:hideMark/>
          </w:tcPr>
          <w:p w14:paraId="1216C397" w14:textId="77777777" w:rsidR="003C4798" w:rsidRDefault="00417595">
            <w:pPr>
              <w:pStyle w:val="P68B1DB1-Normal96"/>
              <w:spacing w:after="0" w:line="240" w:lineRule="auto"/>
              <w:jc w:val="center"/>
              <w:rPr>
                <w:rFonts w:eastAsia="Times New Roman" w:cs="Times New Roman"/>
                <w:noProof/>
                <w:szCs w:val="18"/>
              </w:rPr>
            </w:pPr>
            <w:r>
              <w:rPr>
                <w:noProof/>
              </w:rPr>
              <w:t>Données de référence</w:t>
            </w:r>
          </w:p>
        </w:tc>
        <w:tc>
          <w:tcPr>
            <w:tcW w:w="851" w:type="dxa"/>
            <w:shd w:val="clear" w:color="auto" w:fill="BDD7EE"/>
            <w:vAlign w:val="center"/>
            <w:hideMark/>
          </w:tcPr>
          <w:p w14:paraId="1216C398" w14:textId="77777777" w:rsidR="003C4798" w:rsidRDefault="00417595">
            <w:pPr>
              <w:pStyle w:val="P68B1DB1-Normal96"/>
              <w:spacing w:after="0" w:line="240" w:lineRule="auto"/>
              <w:jc w:val="center"/>
              <w:rPr>
                <w:rFonts w:eastAsia="Times New Roman" w:cs="Times New Roman"/>
                <w:noProof/>
                <w:szCs w:val="18"/>
              </w:rPr>
            </w:pPr>
            <w:r>
              <w:rPr>
                <w:noProof/>
              </w:rPr>
              <w:t>Objectif</w:t>
            </w:r>
          </w:p>
        </w:tc>
        <w:tc>
          <w:tcPr>
            <w:tcW w:w="993" w:type="dxa"/>
            <w:shd w:val="clear" w:color="auto" w:fill="BDD7EE"/>
            <w:vAlign w:val="center"/>
            <w:hideMark/>
          </w:tcPr>
          <w:p w14:paraId="1216C399" w14:textId="77777777" w:rsidR="003C4798" w:rsidRDefault="00417595">
            <w:pPr>
              <w:pStyle w:val="P68B1DB1-Normal96"/>
              <w:spacing w:after="0" w:line="240" w:lineRule="auto"/>
              <w:jc w:val="center"/>
              <w:rPr>
                <w:rFonts w:eastAsia="Times New Roman" w:cs="Times New Roman"/>
                <w:noProof/>
                <w:szCs w:val="18"/>
              </w:rPr>
            </w:pPr>
            <w:r>
              <w:rPr>
                <w:noProof/>
              </w:rPr>
              <w:t>Trimestre</w:t>
            </w:r>
          </w:p>
        </w:tc>
        <w:tc>
          <w:tcPr>
            <w:tcW w:w="708" w:type="dxa"/>
            <w:shd w:val="clear" w:color="auto" w:fill="BDD7EE"/>
            <w:vAlign w:val="center"/>
            <w:hideMark/>
          </w:tcPr>
          <w:p w14:paraId="1216C39A" w14:textId="77777777" w:rsidR="003C4798" w:rsidRDefault="00417595">
            <w:pPr>
              <w:pStyle w:val="P68B1DB1-Normal96"/>
              <w:spacing w:after="0" w:line="240" w:lineRule="auto"/>
              <w:jc w:val="center"/>
              <w:rPr>
                <w:rFonts w:eastAsia="Times New Roman" w:cs="Times New Roman"/>
                <w:noProof/>
                <w:szCs w:val="18"/>
              </w:rPr>
            </w:pPr>
            <w:r>
              <w:rPr>
                <w:noProof/>
              </w:rPr>
              <w:t>Année</w:t>
            </w:r>
          </w:p>
        </w:tc>
        <w:tc>
          <w:tcPr>
            <w:tcW w:w="3974" w:type="dxa"/>
            <w:vMerge/>
            <w:vAlign w:val="center"/>
            <w:hideMark/>
          </w:tcPr>
          <w:p w14:paraId="1216C39B" w14:textId="77777777" w:rsidR="003C4798" w:rsidRDefault="003C4798">
            <w:pPr>
              <w:spacing w:after="0" w:line="240" w:lineRule="auto"/>
              <w:rPr>
                <w:rFonts w:ascii="Times New Roman" w:eastAsia="Times New Roman" w:hAnsi="Times New Roman" w:cs="Times New Roman"/>
                <w:b/>
                <w:bCs/>
                <w:noProof/>
              </w:rPr>
            </w:pPr>
          </w:p>
        </w:tc>
      </w:tr>
      <w:tr w:rsidR="003C4798" w14:paraId="1216C3A8" w14:textId="77777777" w:rsidTr="00DA6ACB">
        <w:trPr>
          <w:trHeight w:val="309"/>
          <w:jc w:val="center"/>
        </w:trPr>
        <w:tc>
          <w:tcPr>
            <w:tcW w:w="803" w:type="dxa"/>
            <w:shd w:val="clear" w:color="auto" w:fill="C6EFCE"/>
            <w:noWrap/>
          </w:tcPr>
          <w:p w14:paraId="1216C39D" w14:textId="77777777" w:rsidR="003C4798" w:rsidRDefault="00417595">
            <w:pPr>
              <w:pStyle w:val="P68B1DB1-Normal45"/>
              <w:spacing w:after="0" w:line="240" w:lineRule="auto"/>
              <w:jc w:val="center"/>
              <w:rPr>
                <w:rFonts w:eastAsia="Times New Roman" w:cs="Times New Roman"/>
                <w:noProof/>
              </w:rPr>
            </w:pPr>
            <w:r>
              <w:rPr>
                <w:noProof/>
              </w:rPr>
              <w:t>G1L</w:t>
            </w:r>
          </w:p>
        </w:tc>
        <w:tc>
          <w:tcPr>
            <w:tcW w:w="1461" w:type="dxa"/>
            <w:shd w:val="clear" w:color="auto" w:fill="C6EFCE"/>
            <w:noWrap/>
          </w:tcPr>
          <w:p w14:paraId="1216C39E" w14:textId="77777777" w:rsidR="003C4798" w:rsidRDefault="00417595">
            <w:pPr>
              <w:pStyle w:val="P68B1DB1-Normal89"/>
              <w:spacing w:after="0" w:line="240" w:lineRule="auto"/>
              <w:rPr>
                <w:rFonts w:eastAsia="Times New Roman" w:cs="Times New Roman"/>
                <w:noProof/>
                <w:szCs w:val="18"/>
              </w:rPr>
            </w:pPr>
            <w:r>
              <w:rPr>
                <w:noProof/>
              </w:rPr>
              <w:t>G3.1.1 Rationalisation du processus d'octroi de permis pour les sources d'énergie renouvelables</w:t>
            </w:r>
          </w:p>
        </w:tc>
        <w:tc>
          <w:tcPr>
            <w:tcW w:w="1133" w:type="dxa"/>
            <w:shd w:val="clear" w:color="auto" w:fill="C6EFCE"/>
            <w:noWrap/>
          </w:tcPr>
          <w:p w14:paraId="1216C39F" w14:textId="77777777" w:rsidR="003C4798" w:rsidRDefault="00417595">
            <w:pPr>
              <w:pStyle w:val="P68B1DB1-Normal89"/>
              <w:spacing w:after="0" w:line="240" w:lineRule="auto"/>
              <w:jc w:val="center"/>
              <w:rPr>
                <w:rFonts w:eastAsia="Times New Roman" w:cs="Times New Roman"/>
                <w:noProof/>
                <w:szCs w:val="18"/>
              </w:rPr>
            </w:pPr>
            <w:r>
              <w:rPr>
                <w:noProof/>
              </w:rPr>
              <w:t>Étape</w:t>
            </w:r>
          </w:p>
        </w:tc>
        <w:tc>
          <w:tcPr>
            <w:tcW w:w="1792" w:type="dxa"/>
            <w:shd w:val="clear" w:color="auto" w:fill="C6EFCE"/>
            <w:noWrap/>
          </w:tcPr>
          <w:p w14:paraId="1216C3A0" w14:textId="77777777" w:rsidR="003C4798" w:rsidRDefault="00417595">
            <w:pPr>
              <w:pStyle w:val="P68B1DB1-Normal89"/>
              <w:spacing w:after="0" w:line="240" w:lineRule="auto"/>
              <w:rPr>
                <w:rFonts w:eastAsia="Times New Roman" w:cs="Times New Roman"/>
                <w:noProof/>
                <w:szCs w:val="18"/>
              </w:rPr>
            </w:pPr>
            <w:r>
              <w:rPr>
                <w:noProof/>
              </w:rPr>
              <w:t>Cartographie du potentiel des énergies renouvelables</w:t>
            </w:r>
          </w:p>
        </w:tc>
        <w:tc>
          <w:tcPr>
            <w:tcW w:w="1591" w:type="dxa"/>
            <w:shd w:val="clear" w:color="auto" w:fill="C6EFCE"/>
            <w:noWrap/>
          </w:tcPr>
          <w:p w14:paraId="1216C3A1" w14:textId="77777777" w:rsidR="003C4798" w:rsidRDefault="00417595">
            <w:pPr>
              <w:pStyle w:val="P68B1DB1-Normal89"/>
              <w:spacing w:after="0" w:line="240" w:lineRule="auto"/>
              <w:rPr>
                <w:rFonts w:eastAsia="Times New Roman" w:cs="Times New Roman"/>
                <w:noProof/>
                <w:szCs w:val="18"/>
              </w:rPr>
            </w:pPr>
            <w:r>
              <w:rPr>
                <w:noProof/>
              </w:rPr>
              <w:t>Publication en ligne de la ou des cartes du potentiel des énergies renouvelables</w:t>
            </w:r>
          </w:p>
        </w:tc>
        <w:tc>
          <w:tcPr>
            <w:tcW w:w="1067" w:type="dxa"/>
            <w:shd w:val="clear" w:color="auto" w:fill="C6EFCE"/>
            <w:noWrap/>
          </w:tcPr>
          <w:p w14:paraId="1216C3A2"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A3"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3A4"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3A5" w14:textId="77777777" w:rsidR="003C4798" w:rsidRDefault="00417595">
            <w:pPr>
              <w:pStyle w:val="P68B1DB1-Normal89"/>
              <w:jc w:val="center"/>
              <w:rPr>
                <w:rFonts w:eastAsia="Times New Roman" w:cs="Times New Roman"/>
                <w:noProof/>
                <w:szCs w:val="18"/>
              </w:rPr>
            </w:pPr>
            <w:r>
              <w:rPr>
                <w:noProof/>
              </w:rPr>
              <w:t>T4</w:t>
            </w:r>
          </w:p>
        </w:tc>
        <w:tc>
          <w:tcPr>
            <w:tcW w:w="708" w:type="dxa"/>
            <w:shd w:val="clear" w:color="auto" w:fill="C6EFCE"/>
            <w:noWrap/>
          </w:tcPr>
          <w:p w14:paraId="1216C3A6" w14:textId="77777777" w:rsidR="003C4798" w:rsidRDefault="00417595">
            <w:pPr>
              <w:pStyle w:val="P68B1DB1-Normal89"/>
              <w:spacing w:after="0" w:line="240" w:lineRule="auto"/>
              <w:jc w:val="center"/>
              <w:rPr>
                <w:rFonts w:eastAsia="Times New Roman" w:cs="Times New Roman"/>
                <w:noProof/>
                <w:szCs w:val="18"/>
              </w:rPr>
            </w:pPr>
            <w:r>
              <w:rPr>
                <w:noProof/>
              </w:rPr>
              <w:t>2024</w:t>
            </w:r>
          </w:p>
        </w:tc>
        <w:tc>
          <w:tcPr>
            <w:tcW w:w="3974" w:type="dxa"/>
            <w:shd w:val="clear" w:color="auto" w:fill="C6EFCE"/>
            <w:noWrap/>
          </w:tcPr>
          <w:p w14:paraId="1216C3A7" w14:textId="77777777" w:rsidR="003C4798" w:rsidRDefault="00417595">
            <w:pPr>
              <w:pStyle w:val="P68B1DB1-Normal45"/>
              <w:spacing w:after="0" w:line="240" w:lineRule="auto"/>
              <w:rPr>
                <w:noProof/>
              </w:rPr>
            </w:pPr>
            <w:r>
              <w:rPr>
                <w:noProof/>
              </w:rPr>
              <w:t>La ou les cartes du potentiel en matière de sources d’énergie renouvelables pour au moins l’énergie solaire et l’énergie éolienne terrestre, couvrant l’ensemble du territoire polonais, sont publiées en ligne et servent d’entrée pour la désignation des zones d’accélération des énergies renouvelables.</w:t>
            </w:r>
          </w:p>
        </w:tc>
      </w:tr>
      <w:tr w:rsidR="003C4798" w14:paraId="1216C3B6" w14:textId="77777777" w:rsidTr="00DA6ACB">
        <w:trPr>
          <w:trHeight w:val="309"/>
          <w:jc w:val="center"/>
        </w:trPr>
        <w:tc>
          <w:tcPr>
            <w:tcW w:w="803" w:type="dxa"/>
            <w:shd w:val="clear" w:color="auto" w:fill="C6EFCE"/>
            <w:noWrap/>
          </w:tcPr>
          <w:p w14:paraId="1216C3A9" w14:textId="77777777" w:rsidR="003C4798" w:rsidRDefault="00417595">
            <w:pPr>
              <w:pStyle w:val="P68B1DB1-Normal45"/>
              <w:spacing w:after="0" w:line="240" w:lineRule="auto"/>
              <w:jc w:val="center"/>
              <w:rPr>
                <w:rFonts w:eastAsia="Times New Roman" w:cs="Times New Roman"/>
                <w:noProof/>
              </w:rPr>
            </w:pPr>
            <w:r>
              <w:rPr>
                <w:noProof/>
              </w:rPr>
              <w:t>G2L</w:t>
            </w:r>
          </w:p>
        </w:tc>
        <w:tc>
          <w:tcPr>
            <w:tcW w:w="1461" w:type="dxa"/>
            <w:shd w:val="clear" w:color="auto" w:fill="C6EFCE"/>
            <w:noWrap/>
          </w:tcPr>
          <w:p w14:paraId="1216C3AA" w14:textId="77777777" w:rsidR="003C4798" w:rsidRDefault="00417595">
            <w:pPr>
              <w:pStyle w:val="P68B1DB1-Normal89"/>
              <w:spacing w:after="0" w:line="240" w:lineRule="auto"/>
              <w:rPr>
                <w:rFonts w:eastAsia="Times New Roman" w:cs="Times New Roman"/>
                <w:noProof/>
                <w:szCs w:val="18"/>
              </w:rPr>
            </w:pPr>
            <w:r>
              <w:rPr>
                <w:noProof/>
              </w:rPr>
              <w:t>G3.1.1 Rationalisation du processus d'octroi de permis pour les sources d'énergie renouvelables</w:t>
            </w:r>
          </w:p>
        </w:tc>
        <w:tc>
          <w:tcPr>
            <w:tcW w:w="1133" w:type="dxa"/>
            <w:shd w:val="clear" w:color="auto" w:fill="C6EFCE"/>
            <w:noWrap/>
          </w:tcPr>
          <w:p w14:paraId="1216C3AB" w14:textId="77777777" w:rsidR="003C4798" w:rsidRDefault="00417595">
            <w:pPr>
              <w:pStyle w:val="P68B1DB1-Normal89"/>
              <w:spacing w:after="0" w:line="240" w:lineRule="auto"/>
              <w:jc w:val="center"/>
              <w:rPr>
                <w:rFonts w:eastAsia="Times New Roman" w:cs="Times New Roman"/>
                <w:noProof/>
                <w:szCs w:val="18"/>
              </w:rPr>
            </w:pPr>
            <w:r>
              <w:rPr>
                <w:noProof/>
              </w:rPr>
              <w:t>Étape</w:t>
            </w:r>
          </w:p>
        </w:tc>
        <w:tc>
          <w:tcPr>
            <w:tcW w:w="1792" w:type="dxa"/>
            <w:shd w:val="clear" w:color="auto" w:fill="C6EFCE"/>
            <w:noWrap/>
          </w:tcPr>
          <w:p w14:paraId="1216C3AC" w14:textId="77777777" w:rsidR="003C4798" w:rsidRDefault="00417595">
            <w:pPr>
              <w:pStyle w:val="P68B1DB1-Normal45"/>
              <w:spacing w:after="0" w:line="240" w:lineRule="auto"/>
              <w:rPr>
                <w:rFonts w:eastAsia="Times New Roman" w:cs="Times New Roman"/>
                <w:noProof/>
              </w:rPr>
            </w:pPr>
            <w:r>
              <w:rPr>
                <w:noProof/>
              </w:rPr>
              <w:t>Acte(s) juridique(s) établissant un cadre juridique pour la désignation des zones d’accélération des énergies renouvelables</w:t>
            </w:r>
          </w:p>
        </w:tc>
        <w:tc>
          <w:tcPr>
            <w:tcW w:w="1591" w:type="dxa"/>
            <w:shd w:val="clear" w:color="auto" w:fill="C6EFCE"/>
            <w:noWrap/>
          </w:tcPr>
          <w:p w14:paraId="1216C3AD" w14:textId="77777777" w:rsidR="003C4798" w:rsidRDefault="00417595">
            <w:pPr>
              <w:pStyle w:val="P68B1DB1-Normal89"/>
              <w:spacing w:after="0" w:line="240" w:lineRule="auto"/>
              <w:rPr>
                <w:rFonts w:eastAsia="Times New Roman" w:cs="Times New Roman"/>
                <w:noProof/>
                <w:szCs w:val="18"/>
              </w:rPr>
            </w:pPr>
            <w:r>
              <w:rPr>
                <w:noProof/>
              </w:rPr>
              <w:t>Disposition du ou des actes juridiques indiquant leur entrée en vigueur</w:t>
            </w:r>
          </w:p>
        </w:tc>
        <w:tc>
          <w:tcPr>
            <w:tcW w:w="1067" w:type="dxa"/>
            <w:shd w:val="clear" w:color="auto" w:fill="C6EFCE"/>
            <w:noWrap/>
          </w:tcPr>
          <w:p w14:paraId="1216C3AE"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AF"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3B0"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3B1" w14:textId="77777777" w:rsidR="003C4798" w:rsidRDefault="00417595">
            <w:pPr>
              <w:pStyle w:val="P68B1DB1-Normal89"/>
              <w:spacing w:after="0" w:line="240" w:lineRule="auto"/>
              <w:jc w:val="center"/>
              <w:rPr>
                <w:rFonts w:eastAsia="Times New Roman" w:cs="Times New Roman"/>
                <w:noProof/>
                <w:szCs w:val="18"/>
              </w:rPr>
            </w:pPr>
            <w:r>
              <w:rPr>
                <w:noProof/>
              </w:rPr>
              <w:t>T4</w:t>
            </w:r>
          </w:p>
        </w:tc>
        <w:tc>
          <w:tcPr>
            <w:tcW w:w="708" w:type="dxa"/>
            <w:shd w:val="clear" w:color="auto" w:fill="C6EFCE"/>
            <w:noWrap/>
          </w:tcPr>
          <w:p w14:paraId="1216C3B2" w14:textId="77777777" w:rsidR="003C4798" w:rsidRDefault="00417595">
            <w:pPr>
              <w:pStyle w:val="P68B1DB1-Normal89"/>
              <w:spacing w:after="0" w:line="240" w:lineRule="auto"/>
              <w:jc w:val="center"/>
              <w:rPr>
                <w:rFonts w:eastAsia="Times New Roman" w:cs="Times New Roman"/>
                <w:noProof/>
                <w:szCs w:val="18"/>
              </w:rPr>
            </w:pPr>
            <w:r>
              <w:rPr>
                <w:noProof/>
              </w:rPr>
              <w:t>2024</w:t>
            </w:r>
          </w:p>
        </w:tc>
        <w:tc>
          <w:tcPr>
            <w:tcW w:w="3974" w:type="dxa"/>
            <w:shd w:val="clear" w:color="auto" w:fill="C6EFCE"/>
            <w:noWrap/>
          </w:tcPr>
          <w:p w14:paraId="1216C3B3" w14:textId="57DA0EC8" w:rsidR="003C4798" w:rsidRDefault="00417595">
            <w:pPr>
              <w:pStyle w:val="P68B1DB1-Normal89"/>
              <w:spacing w:after="0" w:line="240" w:lineRule="auto"/>
              <w:rPr>
                <w:noProof/>
              </w:rPr>
            </w:pPr>
            <w:r>
              <w:rPr>
                <w:noProof/>
              </w:rPr>
              <w:t>Entrée en vigueur d’un ou de plusieurs actes juridiques établissant un cadre juridique pour la désignation de zones d’accélération renouvelables pour les installations éoliennes terrestres et photovoltaïques.</w:t>
            </w:r>
          </w:p>
          <w:p w14:paraId="1216C3B4" w14:textId="77777777" w:rsidR="003C4798" w:rsidRDefault="003C4798">
            <w:pPr>
              <w:spacing w:after="0" w:line="240" w:lineRule="auto"/>
              <w:rPr>
                <w:rFonts w:ascii="Times New Roman" w:hAnsi="Times New Roman"/>
                <w:noProof/>
                <w:sz w:val="18"/>
              </w:rPr>
            </w:pPr>
          </w:p>
          <w:p w14:paraId="1216C3B5" w14:textId="77777777" w:rsidR="003C4798" w:rsidRDefault="00417595">
            <w:pPr>
              <w:pStyle w:val="P68B1DB1-Normal89"/>
              <w:spacing w:after="0" w:line="240" w:lineRule="auto"/>
              <w:rPr>
                <w:noProof/>
              </w:rPr>
            </w:pPr>
            <w:r>
              <w:rPr>
                <w:noProof/>
              </w:rPr>
              <w:t>Ce cadre juridique définit: i) les autorités compétentes chargées de désigner les zones d’accélération des énergies renouvelables et leurs responsabilités; et ii) les procédures d’autorisation qui s’appliquent dans les zones d’accélération des énergies renouvelables.</w:t>
            </w:r>
          </w:p>
        </w:tc>
      </w:tr>
      <w:tr w:rsidR="003C4798" w14:paraId="1216C3C6" w14:textId="77777777" w:rsidTr="00DA6ACB">
        <w:trPr>
          <w:trHeight w:val="309"/>
          <w:jc w:val="center"/>
        </w:trPr>
        <w:tc>
          <w:tcPr>
            <w:tcW w:w="803" w:type="dxa"/>
            <w:shd w:val="clear" w:color="auto" w:fill="C6EFCE"/>
            <w:noWrap/>
          </w:tcPr>
          <w:p w14:paraId="1216C3B7" w14:textId="1975BDE0" w:rsidR="003C4798" w:rsidRDefault="00417595">
            <w:pPr>
              <w:pStyle w:val="P68B1DB1-Normal45"/>
              <w:spacing w:after="0" w:line="240" w:lineRule="auto"/>
              <w:jc w:val="center"/>
              <w:rPr>
                <w:rFonts w:eastAsia="Times New Roman" w:cs="Times New Roman"/>
                <w:noProof/>
              </w:rPr>
            </w:pPr>
            <w:r>
              <w:rPr>
                <w:noProof/>
              </w:rPr>
              <w:t>G5L</w:t>
            </w:r>
          </w:p>
        </w:tc>
        <w:tc>
          <w:tcPr>
            <w:tcW w:w="1461" w:type="dxa"/>
            <w:shd w:val="clear" w:color="auto" w:fill="C6EFCE"/>
            <w:noWrap/>
          </w:tcPr>
          <w:p w14:paraId="1216C3B8" w14:textId="77777777" w:rsidR="003C4798" w:rsidRDefault="00417595">
            <w:pPr>
              <w:pStyle w:val="P68B1DB1-Normal89"/>
              <w:spacing w:after="0" w:line="240" w:lineRule="auto"/>
              <w:rPr>
                <w:rFonts w:eastAsia="Times New Roman" w:cs="Times New Roman"/>
                <w:noProof/>
                <w:szCs w:val="18"/>
              </w:rPr>
            </w:pPr>
            <w:r>
              <w:rPr>
                <w:noProof/>
              </w:rPr>
              <w:t>G3.1.1 Rationalisation du processus d'octroi de permis pour les sources d'énergie renouvelables</w:t>
            </w:r>
          </w:p>
        </w:tc>
        <w:tc>
          <w:tcPr>
            <w:tcW w:w="1133" w:type="dxa"/>
            <w:shd w:val="clear" w:color="auto" w:fill="C6EFCE"/>
            <w:noWrap/>
          </w:tcPr>
          <w:p w14:paraId="1216C3B9" w14:textId="77777777" w:rsidR="003C4798" w:rsidRDefault="00417595">
            <w:pPr>
              <w:pStyle w:val="P68B1DB1-Normal89"/>
              <w:spacing w:line="240" w:lineRule="auto"/>
              <w:jc w:val="center"/>
              <w:rPr>
                <w:rFonts w:eastAsia="Times New Roman" w:cs="Times New Roman"/>
                <w:noProof/>
                <w:szCs w:val="18"/>
              </w:rPr>
            </w:pPr>
            <w:r>
              <w:rPr>
                <w:noProof/>
              </w:rPr>
              <w:t>Étape</w:t>
            </w:r>
          </w:p>
        </w:tc>
        <w:tc>
          <w:tcPr>
            <w:tcW w:w="1792" w:type="dxa"/>
            <w:shd w:val="clear" w:color="auto" w:fill="C6EFCE"/>
            <w:noWrap/>
          </w:tcPr>
          <w:p w14:paraId="1216C3BA" w14:textId="2BA45EB9" w:rsidR="003C4798" w:rsidRDefault="00417595">
            <w:pPr>
              <w:pStyle w:val="P68B1DB1-Normal89"/>
              <w:spacing w:after="0" w:line="240" w:lineRule="auto"/>
              <w:rPr>
                <w:rFonts w:eastAsia="Times New Roman" w:cs="Times New Roman"/>
                <w:noProof/>
                <w:szCs w:val="18"/>
              </w:rPr>
            </w:pPr>
            <w:r>
              <w:rPr>
                <w:noProof/>
              </w:rPr>
              <w:t xml:space="preserve">Entrée en vigueur d’une résolution approuvant le financement d’une plateforme informatique pour les procédures d’autorisation des installations d’énergie renouvelable </w:t>
            </w:r>
          </w:p>
        </w:tc>
        <w:tc>
          <w:tcPr>
            <w:tcW w:w="1591" w:type="dxa"/>
            <w:shd w:val="clear" w:color="auto" w:fill="C6EFCE"/>
            <w:noWrap/>
          </w:tcPr>
          <w:p w14:paraId="1216C3BB" w14:textId="03B7E9C1" w:rsidR="003C4798" w:rsidRDefault="00417595">
            <w:pPr>
              <w:pStyle w:val="P68B1DB1-Normal45"/>
              <w:spacing w:after="0" w:line="240" w:lineRule="auto"/>
              <w:rPr>
                <w:rFonts w:eastAsia="Times New Roman" w:cs="Times New Roman"/>
                <w:noProof/>
              </w:rPr>
            </w:pPr>
            <w:r>
              <w:rPr>
                <w:noProof/>
              </w:rPr>
              <w:t>Disposition de la résolution indiquant son entrée en vigueur</w:t>
            </w:r>
          </w:p>
        </w:tc>
        <w:tc>
          <w:tcPr>
            <w:tcW w:w="1067" w:type="dxa"/>
            <w:shd w:val="clear" w:color="auto" w:fill="C6EFCE"/>
            <w:noWrap/>
          </w:tcPr>
          <w:p w14:paraId="1216C3BC"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BD"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3BE"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3BF" w14:textId="77777777" w:rsidR="003C4798" w:rsidRDefault="00417595">
            <w:pPr>
              <w:pStyle w:val="P68B1DB1-Normal89"/>
              <w:spacing w:after="0" w:line="240" w:lineRule="auto"/>
              <w:jc w:val="center"/>
              <w:rPr>
                <w:rFonts w:eastAsia="Times New Roman" w:cs="Times New Roman"/>
                <w:noProof/>
                <w:szCs w:val="18"/>
              </w:rPr>
            </w:pPr>
            <w:r>
              <w:rPr>
                <w:noProof/>
              </w:rPr>
              <w:t>T2</w:t>
            </w:r>
          </w:p>
        </w:tc>
        <w:tc>
          <w:tcPr>
            <w:tcW w:w="708" w:type="dxa"/>
            <w:shd w:val="clear" w:color="auto" w:fill="C6EFCE"/>
            <w:noWrap/>
          </w:tcPr>
          <w:p w14:paraId="1216C3C0" w14:textId="77777777" w:rsidR="003C4798" w:rsidRDefault="00417595">
            <w:pPr>
              <w:pStyle w:val="P68B1DB1-Normal45"/>
              <w:spacing w:after="0" w:line="240" w:lineRule="auto"/>
              <w:jc w:val="center"/>
              <w:rPr>
                <w:rFonts w:eastAsia="Times New Roman" w:cs="Times New Roman"/>
                <w:noProof/>
              </w:rPr>
            </w:pPr>
            <w:r>
              <w:rPr>
                <w:noProof/>
              </w:rPr>
              <w:t>2026</w:t>
            </w:r>
          </w:p>
        </w:tc>
        <w:tc>
          <w:tcPr>
            <w:tcW w:w="3974" w:type="dxa"/>
            <w:shd w:val="clear" w:color="auto" w:fill="C6EFCE"/>
            <w:noWrap/>
          </w:tcPr>
          <w:p w14:paraId="1216C3C5" w14:textId="55BA401F" w:rsidR="003C4798" w:rsidRDefault="00417595">
            <w:pPr>
              <w:spacing w:after="0" w:line="240" w:lineRule="auto"/>
              <w:rPr>
                <w:rFonts w:ascii="Times New Roman" w:eastAsia="Times New Roman" w:hAnsi="Times New Roman" w:cs="Times New Roman"/>
                <w:noProof/>
                <w:sz w:val="18"/>
                <w:szCs w:val="18"/>
              </w:rPr>
            </w:pPr>
            <w:r>
              <w:rPr>
                <w:noProof/>
              </w:rPr>
              <w:t xml:space="preserve"> </w:t>
            </w:r>
            <w:r>
              <w:rPr>
                <w:rFonts w:ascii="Times New Roman" w:eastAsia="Times New Roman" w:hAnsi="Times New Roman" w:cs="Times New Roman"/>
                <w:noProof/>
                <w:sz w:val="18"/>
                <w:szCs w:val="18"/>
              </w:rPr>
              <w:t>Entrée en vigueur d’une résolution du Fonds national pour la protection de l’environnement et la gestion de l’eau (NFOŚiGW) approuvant le financement d’une plateforme informatique pour les procédures d’autorisation des installations d’énergie renouvelable.</w:t>
            </w:r>
          </w:p>
        </w:tc>
      </w:tr>
      <w:tr w:rsidR="003C4798" w14:paraId="1216C3D2" w14:textId="77777777" w:rsidTr="00DA6ACB">
        <w:trPr>
          <w:trHeight w:val="309"/>
          <w:jc w:val="center"/>
        </w:trPr>
        <w:tc>
          <w:tcPr>
            <w:tcW w:w="803" w:type="dxa"/>
            <w:shd w:val="clear" w:color="auto" w:fill="C6EFCE"/>
            <w:noWrap/>
          </w:tcPr>
          <w:p w14:paraId="1216C3C7" w14:textId="77777777" w:rsidR="003C4798" w:rsidRDefault="00417595">
            <w:pPr>
              <w:pStyle w:val="P68B1DB1-Normal45"/>
              <w:spacing w:after="0" w:line="240" w:lineRule="auto"/>
              <w:jc w:val="center"/>
              <w:rPr>
                <w:rFonts w:eastAsia="Times New Roman" w:cs="Times New Roman"/>
                <w:noProof/>
              </w:rPr>
            </w:pPr>
            <w:r>
              <w:rPr>
                <w:noProof/>
              </w:rPr>
              <w:t>G6L</w:t>
            </w:r>
          </w:p>
        </w:tc>
        <w:tc>
          <w:tcPr>
            <w:tcW w:w="1461" w:type="dxa"/>
            <w:shd w:val="clear" w:color="auto" w:fill="C6EFCE"/>
            <w:noWrap/>
          </w:tcPr>
          <w:p w14:paraId="1216C3C8" w14:textId="77777777" w:rsidR="003C4798" w:rsidRDefault="00417595">
            <w:pPr>
              <w:pStyle w:val="P68B1DB1-Normal89"/>
              <w:spacing w:line="240" w:lineRule="auto"/>
              <w:rPr>
                <w:rFonts w:eastAsia="Times New Roman" w:cs="Times New Roman"/>
                <w:noProof/>
                <w:szCs w:val="18"/>
              </w:rPr>
            </w:pPr>
            <w:r>
              <w:rPr>
                <w:noProof/>
              </w:rPr>
              <w:t>G3.1.1 Rationalisation du processus d'octroi de permis pour les sources d'énergie renouvelables</w:t>
            </w:r>
          </w:p>
        </w:tc>
        <w:tc>
          <w:tcPr>
            <w:tcW w:w="1133" w:type="dxa"/>
            <w:shd w:val="clear" w:color="auto" w:fill="C6EFCE"/>
            <w:noWrap/>
          </w:tcPr>
          <w:p w14:paraId="1216C3C9" w14:textId="77777777" w:rsidR="003C4798" w:rsidRDefault="00417595">
            <w:pPr>
              <w:pStyle w:val="P68B1DB1-Normal89"/>
              <w:spacing w:line="240" w:lineRule="auto"/>
              <w:jc w:val="center"/>
              <w:rPr>
                <w:rFonts w:eastAsia="Times New Roman" w:cs="Times New Roman"/>
                <w:noProof/>
                <w:szCs w:val="18"/>
              </w:rPr>
            </w:pPr>
            <w:r>
              <w:rPr>
                <w:noProof/>
              </w:rPr>
              <w:t>Objectif</w:t>
            </w:r>
          </w:p>
        </w:tc>
        <w:tc>
          <w:tcPr>
            <w:tcW w:w="1792" w:type="dxa"/>
            <w:shd w:val="clear" w:color="auto" w:fill="C6EFCE"/>
            <w:noWrap/>
          </w:tcPr>
          <w:p w14:paraId="1216C3CA" w14:textId="77777777" w:rsidR="003C4798" w:rsidRDefault="00417595">
            <w:pPr>
              <w:pStyle w:val="P68B1DB1-Normal89"/>
              <w:spacing w:after="0" w:line="240" w:lineRule="auto"/>
              <w:rPr>
                <w:rFonts w:eastAsia="Times New Roman" w:cs="Times New Roman"/>
                <w:noProof/>
                <w:szCs w:val="18"/>
              </w:rPr>
            </w:pPr>
            <w:r>
              <w:rPr>
                <w:noProof/>
              </w:rPr>
              <w:t>Capacité installée des installations éoliennes et photovoltaïques terrestres (en GW)</w:t>
            </w:r>
          </w:p>
        </w:tc>
        <w:tc>
          <w:tcPr>
            <w:tcW w:w="1591" w:type="dxa"/>
            <w:shd w:val="clear" w:color="auto" w:fill="C6EFCE"/>
            <w:noWrap/>
          </w:tcPr>
          <w:p w14:paraId="1216C3CB" w14:textId="77777777" w:rsidR="003C4798" w:rsidRDefault="003C4798">
            <w:pPr>
              <w:spacing w:after="0" w:line="240" w:lineRule="auto"/>
              <w:rPr>
                <w:rFonts w:ascii="Times New Roman" w:eastAsia="Times New Roman" w:hAnsi="Times New Roman" w:cs="Times New Roman"/>
                <w:noProof/>
                <w:sz w:val="18"/>
                <w:szCs w:val="18"/>
              </w:rPr>
            </w:pPr>
          </w:p>
        </w:tc>
        <w:tc>
          <w:tcPr>
            <w:tcW w:w="1067" w:type="dxa"/>
            <w:shd w:val="clear" w:color="auto" w:fill="C6EFCE"/>
            <w:noWrap/>
          </w:tcPr>
          <w:p w14:paraId="1216C3CC" w14:textId="77777777" w:rsidR="003C4798" w:rsidRDefault="00417595">
            <w:pPr>
              <w:pStyle w:val="P68B1DB1-Normal89"/>
              <w:spacing w:after="0" w:line="240" w:lineRule="auto"/>
              <w:jc w:val="center"/>
              <w:rPr>
                <w:rFonts w:eastAsia="Times New Roman" w:cs="Times New Roman"/>
                <w:noProof/>
                <w:szCs w:val="18"/>
              </w:rPr>
            </w:pPr>
            <w:r>
              <w:rPr>
                <w:noProof/>
              </w:rPr>
              <w:t>Numéro</w:t>
            </w:r>
          </w:p>
        </w:tc>
        <w:tc>
          <w:tcPr>
            <w:tcW w:w="936" w:type="dxa"/>
            <w:shd w:val="clear" w:color="auto" w:fill="C6EFCE"/>
            <w:noWrap/>
          </w:tcPr>
          <w:p w14:paraId="1216C3CD" w14:textId="77777777" w:rsidR="003C4798" w:rsidRDefault="00417595">
            <w:pPr>
              <w:pStyle w:val="P68B1DB1-Normal45"/>
              <w:spacing w:after="0" w:line="240" w:lineRule="auto"/>
              <w:jc w:val="center"/>
              <w:rPr>
                <w:rFonts w:eastAsia="Times New Roman" w:cs="Times New Roman"/>
                <w:noProof/>
              </w:rPr>
            </w:pPr>
            <w:r>
              <w:rPr>
                <w:noProof/>
              </w:rPr>
              <w:t>23.5</w:t>
            </w:r>
          </w:p>
        </w:tc>
        <w:tc>
          <w:tcPr>
            <w:tcW w:w="851" w:type="dxa"/>
            <w:shd w:val="clear" w:color="auto" w:fill="C6EFCE"/>
            <w:noWrap/>
          </w:tcPr>
          <w:p w14:paraId="1216C3CE" w14:textId="77777777" w:rsidR="003C4798" w:rsidRDefault="00417595">
            <w:pPr>
              <w:pStyle w:val="P68B1DB1-Normal89"/>
              <w:spacing w:after="0" w:line="240" w:lineRule="auto"/>
              <w:jc w:val="center"/>
              <w:rPr>
                <w:rFonts w:eastAsia="Times New Roman" w:cs="Times New Roman"/>
                <w:noProof/>
                <w:szCs w:val="18"/>
              </w:rPr>
            </w:pPr>
            <w:r>
              <w:rPr>
                <w:noProof/>
              </w:rPr>
              <w:t>28</w:t>
            </w:r>
          </w:p>
        </w:tc>
        <w:tc>
          <w:tcPr>
            <w:tcW w:w="993" w:type="dxa"/>
            <w:shd w:val="clear" w:color="auto" w:fill="C6EFCE"/>
            <w:noWrap/>
          </w:tcPr>
          <w:p w14:paraId="1216C3CF" w14:textId="77777777" w:rsidR="003C4798" w:rsidRDefault="00417595">
            <w:pPr>
              <w:pStyle w:val="P68B1DB1-Normal89"/>
              <w:spacing w:after="0" w:line="240" w:lineRule="auto"/>
              <w:jc w:val="center"/>
              <w:rPr>
                <w:rFonts w:eastAsia="Times New Roman" w:cs="Times New Roman"/>
                <w:noProof/>
                <w:szCs w:val="18"/>
              </w:rPr>
            </w:pPr>
            <w:r>
              <w:rPr>
                <w:noProof/>
              </w:rPr>
              <w:t>T4</w:t>
            </w:r>
          </w:p>
        </w:tc>
        <w:tc>
          <w:tcPr>
            <w:tcW w:w="708" w:type="dxa"/>
            <w:shd w:val="clear" w:color="auto" w:fill="C6EFCE"/>
            <w:noWrap/>
          </w:tcPr>
          <w:p w14:paraId="1216C3D0" w14:textId="77777777" w:rsidR="003C4798" w:rsidRDefault="00417595">
            <w:pPr>
              <w:pStyle w:val="P68B1DB1-Normal89"/>
              <w:spacing w:after="0" w:line="240" w:lineRule="auto"/>
              <w:jc w:val="center"/>
              <w:rPr>
                <w:rFonts w:eastAsia="Times New Roman" w:cs="Times New Roman"/>
                <w:noProof/>
                <w:szCs w:val="18"/>
              </w:rPr>
            </w:pPr>
            <w:r>
              <w:rPr>
                <w:noProof/>
              </w:rPr>
              <w:t>2025</w:t>
            </w:r>
          </w:p>
        </w:tc>
        <w:tc>
          <w:tcPr>
            <w:tcW w:w="3974" w:type="dxa"/>
            <w:shd w:val="clear" w:color="auto" w:fill="C6EFCE"/>
            <w:noWrap/>
          </w:tcPr>
          <w:p w14:paraId="1216C3D1" w14:textId="77777777" w:rsidR="003C4798" w:rsidRDefault="00417595">
            <w:pPr>
              <w:pStyle w:val="P68B1DB1-Normal89"/>
              <w:spacing w:after="0" w:line="240" w:lineRule="auto"/>
              <w:rPr>
                <w:rFonts w:eastAsia="Times New Roman" w:cs="Times New Roman"/>
                <w:noProof/>
                <w:szCs w:val="18"/>
              </w:rPr>
            </w:pPr>
            <w:r>
              <w:rPr>
                <w:noProof/>
              </w:rPr>
              <w:t>Capacité installée totale (en GW) des installations éoliennes et photovoltaïques terrestres.</w:t>
            </w:r>
          </w:p>
        </w:tc>
      </w:tr>
      <w:tr w:rsidR="003C4798" w14:paraId="1216C3DE" w14:textId="77777777" w:rsidTr="00DA6ACB">
        <w:trPr>
          <w:trHeight w:val="1540"/>
          <w:jc w:val="center"/>
        </w:trPr>
        <w:tc>
          <w:tcPr>
            <w:tcW w:w="803" w:type="dxa"/>
            <w:shd w:val="clear" w:color="auto" w:fill="C6EFCE"/>
            <w:noWrap/>
          </w:tcPr>
          <w:p w14:paraId="1216C3D3" w14:textId="77777777" w:rsidR="003C4798" w:rsidRDefault="00417595">
            <w:pPr>
              <w:pStyle w:val="P68B1DB1-Normal45"/>
              <w:spacing w:after="0" w:line="240" w:lineRule="auto"/>
              <w:jc w:val="center"/>
              <w:rPr>
                <w:rFonts w:eastAsia="Times New Roman" w:cs="Times New Roman"/>
                <w:noProof/>
              </w:rPr>
            </w:pPr>
            <w:r>
              <w:rPr>
                <w:noProof/>
              </w:rPr>
              <w:t>G7L</w:t>
            </w:r>
          </w:p>
        </w:tc>
        <w:tc>
          <w:tcPr>
            <w:tcW w:w="1461" w:type="dxa"/>
            <w:shd w:val="clear" w:color="auto" w:fill="C6EFCE"/>
            <w:noWrap/>
          </w:tcPr>
          <w:p w14:paraId="1216C3D4" w14:textId="77777777" w:rsidR="003C4798" w:rsidRDefault="00417595">
            <w:pPr>
              <w:pStyle w:val="P68B1DB1-Normal89"/>
              <w:spacing w:line="240" w:lineRule="auto"/>
              <w:rPr>
                <w:rFonts w:eastAsia="Times New Roman" w:cs="Times New Roman"/>
                <w:noProof/>
                <w:szCs w:val="18"/>
              </w:rPr>
            </w:pPr>
            <w:r>
              <w:rPr>
                <w:noProof/>
              </w:rPr>
              <w:t>G3.1.1 Rationalisation du processus d'octroi de permis pour les sources d'énergie renouvelables</w:t>
            </w:r>
          </w:p>
        </w:tc>
        <w:tc>
          <w:tcPr>
            <w:tcW w:w="1133" w:type="dxa"/>
            <w:shd w:val="clear" w:color="auto" w:fill="C6EFCE"/>
            <w:noWrap/>
          </w:tcPr>
          <w:p w14:paraId="1216C3D5" w14:textId="77777777" w:rsidR="003C4798" w:rsidRDefault="00417595">
            <w:pPr>
              <w:pStyle w:val="P68B1DB1-Normal89"/>
              <w:spacing w:line="240" w:lineRule="auto"/>
              <w:jc w:val="center"/>
              <w:rPr>
                <w:rFonts w:eastAsia="Times New Roman" w:cs="Times New Roman"/>
                <w:noProof/>
                <w:szCs w:val="18"/>
              </w:rPr>
            </w:pPr>
            <w:r>
              <w:rPr>
                <w:noProof/>
              </w:rPr>
              <w:t>Objectif</w:t>
            </w:r>
          </w:p>
        </w:tc>
        <w:tc>
          <w:tcPr>
            <w:tcW w:w="1792" w:type="dxa"/>
            <w:shd w:val="clear" w:color="auto" w:fill="C6EFCE"/>
            <w:noWrap/>
          </w:tcPr>
          <w:p w14:paraId="1216C3D6" w14:textId="77777777" w:rsidR="003C4798" w:rsidRDefault="00417595">
            <w:pPr>
              <w:pStyle w:val="P68B1DB1-Normal89"/>
              <w:spacing w:after="0" w:line="240" w:lineRule="auto"/>
              <w:rPr>
                <w:rFonts w:eastAsia="Times New Roman" w:cs="Times New Roman"/>
                <w:noProof/>
                <w:szCs w:val="18"/>
              </w:rPr>
            </w:pPr>
            <w:r>
              <w:rPr>
                <w:noProof/>
              </w:rPr>
              <w:t>Capacité installée des installations éoliennes et photovoltaïques terrestres (en GW)</w:t>
            </w:r>
          </w:p>
        </w:tc>
        <w:tc>
          <w:tcPr>
            <w:tcW w:w="1591" w:type="dxa"/>
            <w:shd w:val="clear" w:color="auto" w:fill="C6EFCE"/>
            <w:noWrap/>
          </w:tcPr>
          <w:p w14:paraId="1216C3D7" w14:textId="77777777" w:rsidR="003C4798" w:rsidRDefault="003C4798">
            <w:pPr>
              <w:spacing w:after="0" w:line="240" w:lineRule="auto"/>
              <w:rPr>
                <w:rFonts w:ascii="Times New Roman" w:eastAsia="Times New Roman" w:hAnsi="Times New Roman" w:cs="Times New Roman"/>
                <w:noProof/>
                <w:sz w:val="18"/>
                <w:szCs w:val="18"/>
              </w:rPr>
            </w:pPr>
          </w:p>
        </w:tc>
        <w:tc>
          <w:tcPr>
            <w:tcW w:w="1067" w:type="dxa"/>
            <w:shd w:val="clear" w:color="auto" w:fill="C6EFCE"/>
            <w:noWrap/>
          </w:tcPr>
          <w:p w14:paraId="1216C3D8" w14:textId="77777777" w:rsidR="003C4798" w:rsidRDefault="00417595">
            <w:pPr>
              <w:pStyle w:val="P68B1DB1-Normal89"/>
              <w:spacing w:after="0" w:line="240" w:lineRule="auto"/>
              <w:jc w:val="center"/>
              <w:rPr>
                <w:rFonts w:eastAsia="Times New Roman" w:cs="Times New Roman"/>
                <w:noProof/>
                <w:szCs w:val="18"/>
              </w:rPr>
            </w:pPr>
            <w:r>
              <w:rPr>
                <w:noProof/>
              </w:rPr>
              <w:t>Numéro</w:t>
            </w:r>
          </w:p>
        </w:tc>
        <w:tc>
          <w:tcPr>
            <w:tcW w:w="936" w:type="dxa"/>
            <w:shd w:val="clear" w:color="auto" w:fill="C6EFCE"/>
            <w:noWrap/>
          </w:tcPr>
          <w:p w14:paraId="1216C3D9" w14:textId="77777777" w:rsidR="003C4798" w:rsidRDefault="00417595">
            <w:pPr>
              <w:pStyle w:val="P68B1DB1-Normal89"/>
              <w:spacing w:after="0" w:line="240" w:lineRule="auto"/>
              <w:jc w:val="center"/>
              <w:rPr>
                <w:rFonts w:eastAsia="Times New Roman" w:cs="Times New Roman"/>
                <w:noProof/>
                <w:szCs w:val="18"/>
              </w:rPr>
            </w:pPr>
            <w:r>
              <w:rPr>
                <w:noProof/>
              </w:rPr>
              <w:t>28</w:t>
            </w:r>
          </w:p>
        </w:tc>
        <w:tc>
          <w:tcPr>
            <w:tcW w:w="851" w:type="dxa"/>
            <w:shd w:val="clear" w:color="auto" w:fill="C6EFCE"/>
            <w:noWrap/>
          </w:tcPr>
          <w:p w14:paraId="1216C3DA" w14:textId="77777777" w:rsidR="003C4798" w:rsidRDefault="00417595">
            <w:pPr>
              <w:pStyle w:val="P68B1DB1-Normal89"/>
              <w:spacing w:after="0" w:line="240" w:lineRule="auto"/>
              <w:jc w:val="center"/>
              <w:rPr>
                <w:rFonts w:eastAsia="Times New Roman" w:cs="Times New Roman"/>
                <w:noProof/>
                <w:szCs w:val="18"/>
              </w:rPr>
            </w:pPr>
            <w:r>
              <w:rPr>
                <w:noProof/>
              </w:rPr>
              <w:t>30</w:t>
            </w:r>
          </w:p>
        </w:tc>
        <w:tc>
          <w:tcPr>
            <w:tcW w:w="993" w:type="dxa"/>
            <w:shd w:val="clear" w:color="auto" w:fill="C6EFCE"/>
            <w:noWrap/>
          </w:tcPr>
          <w:p w14:paraId="1216C3DB" w14:textId="77777777" w:rsidR="003C4798" w:rsidRDefault="00417595">
            <w:pPr>
              <w:pStyle w:val="P68B1DB1-Normal89"/>
              <w:spacing w:after="0" w:line="240" w:lineRule="auto"/>
              <w:jc w:val="center"/>
              <w:rPr>
                <w:rFonts w:eastAsia="Times New Roman" w:cs="Times New Roman"/>
                <w:noProof/>
                <w:szCs w:val="18"/>
              </w:rPr>
            </w:pPr>
            <w:r>
              <w:rPr>
                <w:noProof/>
              </w:rPr>
              <w:t>T2</w:t>
            </w:r>
          </w:p>
        </w:tc>
        <w:tc>
          <w:tcPr>
            <w:tcW w:w="708" w:type="dxa"/>
            <w:shd w:val="clear" w:color="auto" w:fill="C6EFCE"/>
            <w:noWrap/>
          </w:tcPr>
          <w:p w14:paraId="1216C3DC" w14:textId="77777777" w:rsidR="003C4798" w:rsidRDefault="00417595">
            <w:pPr>
              <w:pStyle w:val="P68B1DB1-Normal89"/>
              <w:spacing w:after="0" w:line="240" w:lineRule="auto"/>
              <w:jc w:val="center"/>
              <w:rPr>
                <w:rFonts w:eastAsia="Times New Roman" w:cs="Times New Roman"/>
                <w:noProof/>
                <w:szCs w:val="18"/>
              </w:rPr>
            </w:pPr>
            <w:r>
              <w:rPr>
                <w:noProof/>
              </w:rPr>
              <w:t>2026</w:t>
            </w:r>
          </w:p>
        </w:tc>
        <w:tc>
          <w:tcPr>
            <w:tcW w:w="3974" w:type="dxa"/>
            <w:shd w:val="clear" w:color="auto" w:fill="C6EFCE"/>
            <w:noWrap/>
          </w:tcPr>
          <w:p w14:paraId="1216C3DD" w14:textId="77777777" w:rsidR="003C4798" w:rsidRDefault="00417595">
            <w:pPr>
              <w:pStyle w:val="P68B1DB1-Normal89"/>
              <w:spacing w:after="0" w:line="240" w:lineRule="auto"/>
              <w:rPr>
                <w:rFonts w:eastAsia="Times New Roman" w:cs="Times New Roman"/>
                <w:noProof/>
                <w:szCs w:val="18"/>
              </w:rPr>
            </w:pPr>
            <w:r>
              <w:rPr>
                <w:noProof/>
              </w:rPr>
              <w:t>Capacité installée totale (en GW) des installations éoliennes et photovoltaïques terrestres.</w:t>
            </w:r>
          </w:p>
        </w:tc>
      </w:tr>
      <w:tr w:rsidR="003C4798" w14:paraId="1216C3EA" w14:textId="77777777" w:rsidTr="00DA6ACB">
        <w:trPr>
          <w:trHeight w:val="309"/>
          <w:jc w:val="center"/>
        </w:trPr>
        <w:tc>
          <w:tcPr>
            <w:tcW w:w="803" w:type="dxa"/>
            <w:shd w:val="clear" w:color="auto" w:fill="C6EFCE"/>
            <w:noWrap/>
          </w:tcPr>
          <w:p w14:paraId="1216C3DF" w14:textId="77777777" w:rsidR="003C4798" w:rsidRDefault="00417595">
            <w:pPr>
              <w:pStyle w:val="P68B1DB1-Normal45"/>
              <w:spacing w:after="0" w:line="240" w:lineRule="auto"/>
              <w:jc w:val="center"/>
              <w:rPr>
                <w:rFonts w:eastAsia="Times New Roman" w:cs="Times New Roman"/>
                <w:noProof/>
              </w:rPr>
            </w:pPr>
            <w:r>
              <w:rPr>
                <w:noProof/>
              </w:rPr>
              <w:t>G8L</w:t>
            </w:r>
          </w:p>
        </w:tc>
        <w:tc>
          <w:tcPr>
            <w:tcW w:w="1461" w:type="dxa"/>
            <w:shd w:val="clear" w:color="auto" w:fill="C6EFCE"/>
            <w:noWrap/>
          </w:tcPr>
          <w:p w14:paraId="1216C3E0" w14:textId="77777777" w:rsidR="003C4798" w:rsidRDefault="00417595">
            <w:pPr>
              <w:pStyle w:val="P68B1DB1-Normal89"/>
              <w:spacing w:after="0" w:line="240" w:lineRule="auto"/>
              <w:rPr>
                <w:rFonts w:eastAsia="Times New Roman" w:cs="Times New Roman"/>
                <w:noProof/>
                <w:szCs w:val="18"/>
              </w:rPr>
            </w:pPr>
            <w:r>
              <w:rPr>
                <w:noProof/>
              </w:rPr>
              <w:t>G3.1.2 Compétences pour la transition écologique</w:t>
            </w:r>
          </w:p>
        </w:tc>
        <w:tc>
          <w:tcPr>
            <w:tcW w:w="1133" w:type="dxa"/>
            <w:shd w:val="clear" w:color="auto" w:fill="C6EFCE"/>
            <w:noWrap/>
          </w:tcPr>
          <w:p w14:paraId="1216C3E1" w14:textId="77777777" w:rsidR="003C4798" w:rsidRDefault="00417595">
            <w:pPr>
              <w:pStyle w:val="P68B1DB1-Normal89"/>
              <w:spacing w:after="0" w:line="240" w:lineRule="auto"/>
              <w:jc w:val="center"/>
              <w:rPr>
                <w:rFonts w:eastAsia="Times New Roman" w:cs="Times New Roman"/>
                <w:noProof/>
                <w:szCs w:val="18"/>
              </w:rPr>
            </w:pPr>
            <w:r>
              <w:rPr>
                <w:noProof/>
              </w:rPr>
              <w:t>Étape</w:t>
            </w:r>
          </w:p>
        </w:tc>
        <w:tc>
          <w:tcPr>
            <w:tcW w:w="1792" w:type="dxa"/>
            <w:shd w:val="clear" w:color="auto" w:fill="C6EFCE"/>
            <w:noWrap/>
          </w:tcPr>
          <w:p w14:paraId="1216C3E2" w14:textId="2309F064" w:rsidR="003C4798" w:rsidRDefault="00417595">
            <w:pPr>
              <w:pStyle w:val="P68B1DB1-Normal45"/>
              <w:spacing w:after="0" w:line="240" w:lineRule="auto"/>
              <w:rPr>
                <w:noProof/>
              </w:rPr>
            </w:pPr>
            <w:r>
              <w:rPr>
                <w:noProof/>
              </w:rPr>
              <w:t xml:space="preserve">Quatre rapports sur les cadres de qualification sectoriels modifiés pour la transformation écologique </w:t>
            </w:r>
          </w:p>
        </w:tc>
        <w:tc>
          <w:tcPr>
            <w:tcW w:w="1591" w:type="dxa"/>
            <w:shd w:val="clear" w:color="auto" w:fill="C6EFCE"/>
            <w:noWrap/>
          </w:tcPr>
          <w:p w14:paraId="1216C3E3" w14:textId="77777777" w:rsidR="003C4798" w:rsidRDefault="00417595">
            <w:pPr>
              <w:pStyle w:val="P68B1DB1-Normal89"/>
              <w:spacing w:after="0" w:line="240" w:lineRule="auto"/>
              <w:rPr>
                <w:rFonts w:eastAsia="Times New Roman" w:cs="Times New Roman"/>
                <w:noProof/>
                <w:szCs w:val="18"/>
              </w:rPr>
            </w:pPr>
            <w:r>
              <w:rPr>
                <w:noProof/>
              </w:rPr>
              <w:t xml:space="preserve">Publication des rapports avec les cadres de certification sectoriels modifiés </w:t>
            </w:r>
          </w:p>
        </w:tc>
        <w:tc>
          <w:tcPr>
            <w:tcW w:w="1067" w:type="dxa"/>
            <w:shd w:val="clear" w:color="auto" w:fill="C6EFCE"/>
            <w:noWrap/>
          </w:tcPr>
          <w:p w14:paraId="1216C3E4"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E5"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3E6"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3E7" w14:textId="77777777" w:rsidR="003C4798" w:rsidRDefault="00417595">
            <w:pPr>
              <w:pStyle w:val="P68B1DB1-Normal89"/>
              <w:spacing w:after="0" w:line="240" w:lineRule="auto"/>
              <w:jc w:val="center"/>
              <w:rPr>
                <w:rFonts w:eastAsia="Times New Roman" w:cs="Times New Roman"/>
                <w:noProof/>
                <w:szCs w:val="18"/>
              </w:rPr>
            </w:pPr>
            <w:r>
              <w:rPr>
                <w:noProof/>
              </w:rPr>
              <w:t>T2</w:t>
            </w:r>
          </w:p>
        </w:tc>
        <w:tc>
          <w:tcPr>
            <w:tcW w:w="708" w:type="dxa"/>
            <w:shd w:val="clear" w:color="auto" w:fill="C6EFCE"/>
            <w:noWrap/>
          </w:tcPr>
          <w:p w14:paraId="1216C3E8" w14:textId="77777777" w:rsidR="003C4798" w:rsidRDefault="00417595">
            <w:pPr>
              <w:pStyle w:val="P68B1DB1-Normal89"/>
              <w:spacing w:after="0" w:line="240" w:lineRule="auto"/>
              <w:jc w:val="center"/>
              <w:rPr>
                <w:rFonts w:eastAsia="Times New Roman" w:cs="Times New Roman"/>
                <w:noProof/>
                <w:szCs w:val="18"/>
              </w:rPr>
            </w:pPr>
            <w:r>
              <w:rPr>
                <w:noProof/>
              </w:rPr>
              <w:t>2025</w:t>
            </w:r>
          </w:p>
        </w:tc>
        <w:tc>
          <w:tcPr>
            <w:tcW w:w="3974" w:type="dxa"/>
            <w:shd w:val="clear" w:color="auto" w:fill="C6EFCE"/>
            <w:noWrap/>
          </w:tcPr>
          <w:p w14:paraId="1216C3E9" w14:textId="6375FCCD" w:rsidR="003C4798" w:rsidRDefault="00417595">
            <w:pPr>
              <w:pStyle w:val="P68B1DB1-Normal89"/>
              <w:spacing w:after="0" w:line="240" w:lineRule="auto"/>
              <w:rPr>
                <w:rFonts w:eastAsia="Times New Roman" w:cs="Times New Roman"/>
                <w:noProof/>
                <w:szCs w:val="18"/>
              </w:rPr>
            </w:pPr>
            <w:r>
              <w:rPr>
                <w:noProof/>
                <w:szCs w:val="18"/>
              </w:rPr>
              <w:t>Les rapports sur les cadres sectoriels de certification pour les secteurs de la construction, de l’énergie, de la gestion de l’eau et de la gestion des déchets comprennent des cadres modifiés intégrant des «compétences vertes» et sont publiés.</w:t>
            </w:r>
          </w:p>
        </w:tc>
      </w:tr>
      <w:tr w:rsidR="003C4798" w14:paraId="1216C3F6" w14:textId="77777777" w:rsidTr="00DA6ACB">
        <w:trPr>
          <w:trHeight w:val="309"/>
          <w:jc w:val="center"/>
        </w:trPr>
        <w:tc>
          <w:tcPr>
            <w:tcW w:w="803" w:type="dxa"/>
            <w:shd w:val="clear" w:color="auto" w:fill="C6EFCE"/>
            <w:noWrap/>
          </w:tcPr>
          <w:p w14:paraId="1216C3EB" w14:textId="77777777" w:rsidR="003C4798" w:rsidRDefault="00417595">
            <w:pPr>
              <w:pStyle w:val="P68B1DB1-Normal45"/>
              <w:spacing w:after="0" w:line="240" w:lineRule="auto"/>
              <w:jc w:val="center"/>
              <w:rPr>
                <w:rFonts w:eastAsia="Times New Roman" w:cs="Times New Roman"/>
                <w:noProof/>
              </w:rPr>
            </w:pPr>
            <w:r>
              <w:rPr>
                <w:noProof/>
              </w:rPr>
              <w:t xml:space="preserve">G10L </w:t>
            </w:r>
          </w:p>
        </w:tc>
        <w:tc>
          <w:tcPr>
            <w:tcW w:w="1461" w:type="dxa"/>
            <w:shd w:val="clear" w:color="auto" w:fill="C6EFCE"/>
            <w:noWrap/>
          </w:tcPr>
          <w:p w14:paraId="1216C3EC" w14:textId="77777777" w:rsidR="003C4798" w:rsidRDefault="00417595">
            <w:pPr>
              <w:pStyle w:val="P68B1DB1-Normal89"/>
              <w:spacing w:after="0" w:line="240" w:lineRule="auto"/>
              <w:rPr>
                <w:rFonts w:eastAsia="Times New Roman" w:cs="Times New Roman"/>
                <w:noProof/>
                <w:szCs w:val="18"/>
              </w:rPr>
            </w:pPr>
            <w:r>
              <w:rPr>
                <w:noProof/>
              </w:rPr>
              <w:t>G3.1.2 Compétences pour la transition écologique</w:t>
            </w:r>
          </w:p>
        </w:tc>
        <w:tc>
          <w:tcPr>
            <w:tcW w:w="1133" w:type="dxa"/>
            <w:shd w:val="clear" w:color="auto" w:fill="C6EFCE"/>
            <w:noWrap/>
          </w:tcPr>
          <w:p w14:paraId="1216C3ED" w14:textId="77777777" w:rsidR="003C4798" w:rsidRDefault="00417595">
            <w:pPr>
              <w:pStyle w:val="P68B1DB1-Normal89"/>
              <w:spacing w:after="0" w:line="240" w:lineRule="auto"/>
              <w:jc w:val="center"/>
              <w:rPr>
                <w:rFonts w:eastAsia="Times New Roman" w:cs="Times New Roman"/>
                <w:noProof/>
                <w:szCs w:val="18"/>
              </w:rPr>
            </w:pPr>
            <w:r>
              <w:rPr>
                <w:noProof/>
              </w:rPr>
              <w:t>Étape</w:t>
            </w:r>
          </w:p>
        </w:tc>
        <w:tc>
          <w:tcPr>
            <w:tcW w:w="1792" w:type="dxa"/>
            <w:shd w:val="clear" w:color="auto" w:fill="C6EFCE"/>
            <w:noWrap/>
          </w:tcPr>
          <w:p w14:paraId="1216C3EE" w14:textId="77777777" w:rsidR="003C4798" w:rsidRDefault="00417595">
            <w:pPr>
              <w:pStyle w:val="P68B1DB1-Normal89"/>
              <w:spacing w:after="0" w:line="240" w:lineRule="auto"/>
              <w:rPr>
                <w:rFonts w:eastAsia="Times New Roman" w:cs="Times New Roman"/>
                <w:noProof/>
                <w:szCs w:val="18"/>
              </w:rPr>
            </w:pPr>
            <w:r>
              <w:rPr>
                <w:noProof/>
              </w:rPr>
              <w:t>Cadres sectoriels de certification pour la construction, l’énergie, la gestion de l’eau et la gestion des déchets intégrés dans le système intégré de certification</w:t>
            </w:r>
          </w:p>
        </w:tc>
        <w:tc>
          <w:tcPr>
            <w:tcW w:w="1591" w:type="dxa"/>
            <w:shd w:val="clear" w:color="auto" w:fill="C6EFCE"/>
            <w:noWrap/>
          </w:tcPr>
          <w:p w14:paraId="1216C3EF" w14:textId="3B590078" w:rsidR="003C4798" w:rsidRDefault="00417595">
            <w:pPr>
              <w:pStyle w:val="P68B1DB1-Normal45"/>
              <w:spacing w:after="0" w:line="240" w:lineRule="auto"/>
              <w:rPr>
                <w:rFonts w:eastAsia="Times New Roman" w:cs="Times New Roman"/>
                <w:noProof/>
              </w:rPr>
            </w:pPr>
            <w:r>
              <w:rPr>
                <w:noProof/>
              </w:rPr>
              <w:t>Disposition(s) du ou des actes juridiques pertinents indiquant son entrée en vigueur</w:t>
            </w:r>
          </w:p>
        </w:tc>
        <w:tc>
          <w:tcPr>
            <w:tcW w:w="1067" w:type="dxa"/>
            <w:shd w:val="clear" w:color="auto" w:fill="C6EFCE"/>
            <w:noWrap/>
          </w:tcPr>
          <w:p w14:paraId="1216C3F0"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F1"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3F2"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3F3" w14:textId="77777777" w:rsidR="003C4798" w:rsidRDefault="00417595">
            <w:pPr>
              <w:pStyle w:val="P68B1DB1-Normal89"/>
              <w:spacing w:after="0" w:line="240" w:lineRule="auto"/>
              <w:jc w:val="center"/>
              <w:rPr>
                <w:rFonts w:eastAsia="Times New Roman" w:cs="Times New Roman"/>
                <w:noProof/>
                <w:szCs w:val="18"/>
              </w:rPr>
            </w:pPr>
            <w:r>
              <w:rPr>
                <w:noProof/>
              </w:rPr>
              <w:t>T4</w:t>
            </w:r>
          </w:p>
        </w:tc>
        <w:tc>
          <w:tcPr>
            <w:tcW w:w="708" w:type="dxa"/>
            <w:shd w:val="clear" w:color="auto" w:fill="C6EFCE"/>
            <w:noWrap/>
          </w:tcPr>
          <w:p w14:paraId="1216C3F4" w14:textId="77777777" w:rsidR="003C4798" w:rsidRDefault="00417595">
            <w:pPr>
              <w:pStyle w:val="P68B1DB1-Normal89"/>
              <w:spacing w:after="0" w:line="240" w:lineRule="auto"/>
              <w:jc w:val="center"/>
              <w:rPr>
                <w:rFonts w:eastAsia="Times New Roman" w:cs="Times New Roman"/>
                <w:noProof/>
                <w:szCs w:val="18"/>
              </w:rPr>
            </w:pPr>
            <w:r>
              <w:rPr>
                <w:noProof/>
              </w:rPr>
              <w:t>2025</w:t>
            </w:r>
          </w:p>
        </w:tc>
        <w:tc>
          <w:tcPr>
            <w:tcW w:w="3974" w:type="dxa"/>
            <w:shd w:val="clear" w:color="auto" w:fill="C6EFCE"/>
            <w:noWrap/>
          </w:tcPr>
          <w:p w14:paraId="1216C3F5" w14:textId="1A8D263A" w:rsidR="003C4798" w:rsidRDefault="00417595">
            <w:pPr>
              <w:pStyle w:val="P68B1DB1-Normal45"/>
              <w:spacing w:after="0" w:line="240" w:lineRule="auto"/>
              <w:rPr>
                <w:rFonts w:eastAsia="Times New Roman" w:cs="Times New Roman"/>
                <w:noProof/>
              </w:rPr>
            </w:pPr>
            <w:r>
              <w:rPr>
                <w:noProof/>
              </w:rPr>
              <w:t>Entrée en vigueur du ou des actes juridiques pertinents intégrant les cadres de certification sectoriels pour la construction, la gestion de l’eau, la gestion des déchets et l’énergie dans le système intégré de certifications.</w:t>
            </w:r>
          </w:p>
        </w:tc>
      </w:tr>
      <w:tr w:rsidR="003C4798" w14:paraId="1216C402" w14:textId="77777777" w:rsidTr="00DA6ACB">
        <w:trPr>
          <w:trHeight w:val="309"/>
          <w:jc w:val="center"/>
        </w:trPr>
        <w:tc>
          <w:tcPr>
            <w:tcW w:w="803" w:type="dxa"/>
            <w:shd w:val="clear" w:color="auto" w:fill="C6EFCE"/>
            <w:noWrap/>
          </w:tcPr>
          <w:p w14:paraId="1216C3F7" w14:textId="77777777" w:rsidR="003C4798" w:rsidRDefault="00417595">
            <w:pPr>
              <w:pStyle w:val="P68B1DB1-Normal45"/>
              <w:spacing w:after="0" w:line="240" w:lineRule="auto"/>
              <w:jc w:val="center"/>
              <w:rPr>
                <w:rFonts w:eastAsia="Times New Roman" w:cs="Times New Roman"/>
                <w:noProof/>
              </w:rPr>
            </w:pPr>
            <w:r>
              <w:rPr>
                <w:noProof/>
              </w:rPr>
              <w:t>G11L</w:t>
            </w:r>
          </w:p>
        </w:tc>
        <w:tc>
          <w:tcPr>
            <w:tcW w:w="1461" w:type="dxa"/>
            <w:shd w:val="clear" w:color="auto" w:fill="C6EFCE"/>
            <w:noWrap/>
          </w:tcPr>
          <w:p w14:paraId="1216C3F8" w14:textId="77777777" w:rsidR="003C4798" w:rsidRDefault="00417595">
            <w:pPr>
              <w:pStyle w:val="P68B1DB1-Normal89"/>
              <w:spacing w:after="0" w:line="240" w:lineRule="auto"/>
              <w:rPr>
                <w:rFonts w:eastAsia="Times New Roman" w:cs="Times New Roman"/>
                <w:noProof/>
                <w:szCs w:val="18"/>
              </w:rPr>
            </w:pPr>
            <w:r>
              <w:rPr>
                <w:noProof/>
              </w:rPr>
              <w:t>G3.1.3 Renforcer l'efficacité énergétique et accélérer l'élimination progressive des combustibles fossiles dans le chauffage</w:t>
            </w:r>
          </w:p>
        </w:tc>
        <w:tc>
          <w:tcPr>
            <w:tcW w:w="1133" w:type="dxa"/>
            <w:shd w:val="clear" w:color="auto" w:fill="C6EFCE"/>
            <w:noWrap/>
          </w:tcPr>
          <w:p w14:paraId="1216C3F9" w14:textId="77777777" w:rsidR="003C4798" w:rsidRDefault="00417595">
            <w:pPr>
              <w:pStyle w:val="P68B1DB1-Normal89"/>
              <w:spacing w:after="0" w:line="240" w:lineRule="auto"/>
              <w:jc w:val="center"/>
              <w:rPr>
                <w:rFonts w:eastAsia="Times New Roman" w:cs="Times New Roman"/>
                <w:noProof/>
                <w:szCs w:val="18"/>
              </w:rPr>
            </w:pPr>
            <w:r>
              <w:rPr>
                <w:noProof/>
              </w:rPr>
              <w:t>Étape</w:t>
            </w:r>
          </w:p>
        </w:tc>
        <w:tc>
          <w:tcPr>
            <w:tcW w:w="1792" w:type="dxa"/>
            <w:shd w:val="clear" w:color="auto" w:fill="C6EFCE"/>
            <w:noWrap/>
          </w:tcPr>
          <w:p w14:paraId="1216C3FA" w14:textId="77777777" w:rsidR="003C4798" w:rsidRDefault="00417595">
            <w:pPr>
              <w:pStyle w:val="P68B1DB1-Normal89"/>
              <w:spacing w:after="0" w:line="240" w:lineRule="auto"/>
              <w:rPr>
                <w:rFonts w:eastAsia="Times New Roman" w:cs="Times New Roman"/>
                <w:noProof/>
                <w:szCs w:val="18"/>
              </w:rPr>
            </w:pPr>
            <w:r>
              <w:rPr>
                <w:noProof/>
              </w:rPr>
              <w:t>Programme prioritaire de services intégrés de rénovation domiciliaire</w:t>
            </w:r>
          </w:p>
        </w:tc>
        <w:tc>
          <w:tcPr>
            <w:tcW w:w="1591" w:type="dxa"/>
            <w:shd w:val="clear" w:color="auto" w:fill="C6EFCE"/>
            <w:noWrap/>
          </w:tcPr>
          <w:p w14:paraId="1216C3FB" w14:textId="77777777" w:rsidR="003C4798" w:rsidRDefault="00417595">
            <w:pPr>
              <w:pStyle w:val="P68B1DB1-Normal89"/>
              <w:spacing w:after="0" w:line="240" w:lineRule="auto"/>
              <w:rPr>
                <w:rFonts w:eastAsia="Times New Roman" w:cs="Times New Roman"/>
                <w:noProof/>
                <w:szCs w:val="18"/>
              </w:rPr>
            </w:pPr>
            <w:r>
              <w:rPr>
                <w:noProof/>
              </w:rPr>
              <w:t xml:space="preserve">Entrée en vigueur de la résolution </w:t>
            </w:r>
          </w:p>
        </w:tc>
        <w:tc>
          <w:tcPr>
            <w:tcW w:w="1067" w:type="dxa"/>
            <w:shd w:val="clear" w:color="auto" w:fill="C6EFCE"/>
            <w:noWrap/>
          </w:tcPr>
          <w:p w14:paraId="1216C3FC"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3FD"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3FE"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3FF" w14:textId="77777777" w:rsidR="003C4798" w:rsidRDefault="00417595">
            <w:pPr>
              <w:pStyle w:val="P68B1DB1-Normal89"/>
              <w:spacing w:after="0" w:line="240" w:lineRule="auto"/>
              <w:jc w:val="center"/>
              <w:rPr>
                <w:rFonts w:eastAsia="Times New Roman" w:cs="Times New Roman"/>
                <w:noProof/>
                <w:szCs w:val="18"/>
              </w:rPr>
            </w:pPr>
            <w:r>
              <w:rPr>
                <w:noProof/>
              </w:rPr>
              <w:t>T4</w:t>
            </w:r>
          </w:p>
        </w:tc>
        <w:tc>
          <w:tcPr>
            <w:tcW w:w="708" w:type="dxa"/>
            <w:shd w:val="clear" w:color="auto" w:fill="C6EFCE"/>
            <w:noWrap/>
          </w:tcPr>
          <w:p w14:paraId="1216C400" w14:textId="77777777" w:rsidR="003C4798" w:rsidRDefault="00417595">
            <w:pPr>
              <w:pStyle w:val="P68B1DB1-Normal89"/>
              <w:spacing w:after="0" w:line="240" w:lineRule="auto"/>
              <w:jc w:val="center"/>
              <w:rPr>
                <w:rFonts w:eastAsia="Times New Roman" w:cs="Times New Roman"/>
                <w:noProof/>
                <w:szCs w:val="18"/>
              </w:rPr>
            </w:pPr>
            <w:r>
              <w:rPr>
                <w:noProof/>
              </w:rPr>
              <w:t>2024</w:t>
            </w:r>
          </w:p>
        </w:tc>
        <w:tc>
          <w:tcPr>
            <w:tcW w:w="3974" w:type="dxa"/>
            <w:shd w:val="clear" w:color="auto" w:fill="C6EFCE"/>
            <w:noWrap/>
          </w:tcPr>
          <w:p w14:paraId="1216C401" w14:textId="77777777" w:rsidR="003C4798" w:rsidRDefault="00417595">
            <w:pPr>
              <w:pStyle w:val="P68B1DB1-Normal45"/>
              <w:spacing w:after="0" w:line="240" w:lineRule="auto"/>
              <w:rPr>
                <w:rFonts w:eastAsia="Times New Roman" w:cs="Times New Roman"/>
                <w:noProof/>
              </w:rPr>
            </w:pPr>
            <w:r>
              <w:rPr>
                <w:noProof/>
              </w:rPr>
              <w:t>Le Fonds national pour la protection de l’environnement et la gestion de l’eau met à jour un programme prioritaire existant afin de soutenir financièrement les prestataires de services intégrés de rénovation domiciliaire.</w:t>
            </w:r>
          </w:p>
        </w:tc>
      </w:tr>
      <w:tr w:rsidR="003C4798" w14:paraId="1216C40E" w14:textId="77777777" w:rsidTr="00DA6ACB">
        <w:trPr>
          <w:trHeight w:val="309"/>
          <w:jc w:val="center"/>
        </w:trPr>
        <w:tc>
          <w:tcPr>
            <w:tcW w:w="803" w:type="dxa"/>
            <w:shd w:val="clear" w:color="auto" w:fill="C6EFCE"/>
            <w:noWrap/>
          </w:tcPr>
          <w:p w14:paraId="1216C403" w14:textId="77777777" w:rsidR="003C4798" w:rsidRDefault="00417595">
            <w:pPr>
              <w:pStyle w:val="P68B1DB1-Normal89"/>
              <w:spacing w:after="0" w:line="240" w:lineRule="auto"/>
              <w:jc w:val="center"/>
              <w:rPr>
                <w:noProof/>
              </w:rPr>
            </w:pPr>
            <w:r>
              <w:rPr>
                <w:noProof/>
              </w:rPr>
              <w:t>G12L</w:t>
            </w:r>
          </w:p>
        </w:tc>
        <w:tc>
          <w:tcPr>
            <w:tcW w:w="1461" w:type="dxa"/>
            <w:shd w:val="clear" w:color="auto" w:fill="C6EFCE"/>
            <w:noWrap/>
          </w:tcPr>
          <w:p w14:paraId="1216C404" w14:textId="77777777" w:rsidR="003C4798" w:rsidRDefault="00417595">
            <w:pPr>
              <w:pStyle w:val="P68B1DB1-Normal89"/>
              <w:spacing w:after="0" w:line="240" w:lineRule="auto"/>
              <w:rPr>
                <w:noProof/>
              </w:rPr>
            </w:pPr>
            <w:r>
              <w:rPr>
                <w:noProof/>
              </w:rPr>
              <w:t>G3.1.4 Soutien au système énergétique national (Fonds de soutien à l'énergie)</w:t>
            </w:r>
          </w:p>
        </w:tc>
        <w:tc>
          <w:tcPr>
            <w:tcW w:w="1133" w:type="dxa"/>
            <w:shd w:val="clear" w:color="auto" w:fill="C6EFCE"/>
            <w:noWrap/>
          </w:tcPr>
          <w:p w14:paraId="1216C405" w14:textId="77777777" w:rsidR="003C4798" w:rsidRDefault="00417595">
            <w:pPr>
              <w:pStyle w:val="P68B1DB1-Normal89"/>
              <w:spacing w:after="0" w:line="240" w:lineRule="auto"/>
              <w:jc w:val="center"/>
              <w:rPr>
                <w:noProof/>
              </w:rPr>
            </w:pPr>
            <w:r>
              <w:rPr>
                <w:noProof/>
              </w:rPr>
              <w:t>Étape</w:t>
            </w:r>
          </w:p>
        </w:tc>
        <w:tc>
          <w:tcPr>
            <w:tcW w:w="1792" w:type="dxa"/>
            <w:shd w:val="clear" w:color="auto" w:fill="C6EFCE"/>
            <w:noWrap/>
          </w:tcPr>
          <w:p w14:paraId="1216C406" w14:textId="77777777" w:rsidR="003C4798" w:rsidRDefault="00417595">
            <w:pPr>
              <w:pStyle w:val="P68B1DB1-Normal89"/>
              <w:spacing w:after="0" w:line="240" w:lineRule="auto"/>
              <w:rPr>
                <w:noProof/>
              </w:rPr>
            </w:pPr>
            <w:r>
              <w:rPr>
                <w:noProof/>
              </w:rPr>
              <w:t>Accord de mise en œuvre</w:t>
            </w:r>
          </w:p>
        </w:tc>
        <w:tc>
          <w:tcPr>
            <w:tcW w:w="1591" w:type="dxa"/>
            <w:shd w:val="clear" w:color="auto" w:fill="C6EFCE"/>
            <w:noWrap/>
          </w:tcPr>
          <w:p w14:paraId="1216C407" w14:textId="77777777" w:rsidR="003C4798" w:rsidRDefault="00417595">
            <w:pPr>
              <w:pStyle w:val="P68B1DB1-Normal89"/>
              <w:spacing w:after="0" w:line="240" w:lineRule="auto"/>
              <w:rPr>
                <w:noProof/>
              </w:rPr>
            </w:pPr>
            <w:r>
              <w:rPr>
                <w:noProof/>
              </w:rPr>
              <w:t>Entrée en vigueur de l'accord de mise en œuvre</w:t>
            </w:r>
          </w:p>
        </w:tc>
        <w:tc>
          <w:tcPr>
            <w:tcW w:w="1067" w:type="dxa"/>
            <w:shd w:val="clear" w:color="auto" w:fill="C6EFCE"/>
            <w:noWrap/>
          </w:tcPr>
          <w:p w14:paraId="1216C408" w14:textId="77777777" w:rsidR="003C4798" w:rsidRDefault="003C4798">
            <w:pPr>
              <w:spacing w:after="0" w:line="240" w:lineRule="auto"/>
              <w:jc w:val="center"/>
              <w:rPr>
                <w:rFonts w:ascii="Times New Roman" w:hAnsi="Times New Roman"/>
                <w:noProof/>
                <w:sz w:val="18"/>
              </w:rPr>
            </w:pPr>
          </w:p>
        </w:tc>
        <w:tc>
          <w:tcPr>
            <w:tcW w:w="936" w:type="dxa"/>
            <w:shd w:val="clear" w:color="auto" w:fill="C6EFCE"/>
            <w:noWrap/>
          </w:tcPr>
          <w:p w14:paraId="1216C409" w14:textId="77777777" w:rsidR="003C4798" w:rsidRDefault="003C4798">
            <w:pPr>
              <w:spacing w:after="0" w:line="240" w:lineRule="auto"/>
              <w:jc w:val="center"/>
              <w:rPr>
                <w:rFonts w:ascii="Times New Roman" w:hAnsi="Times New Roman"/>
                <w:noProof/>
                <w:sz w:val="18"/>
              </w:rPr>
            </w:pPr>
          </w:p>
        </w:tc>
        <w:tc>
          <w:tcPr>
            <w:tcW w:w="851" w:type="dxa"/>
            <w:shd w:val="clear" w:color="auto" w:fill="C6EFCE"/>
            <w:noWrap/>
          </w:tcPr>
          <w:p w14:paraId="1216C40A" w14:textId="77777777" w:rsidR="003C4798" w:rsidRDefault="003C4798">
            <w:pPr>
              <w:spacing w:after="0" w:line="240" w:lineRule="auto"/>
              <w:jc w:val="center"/>
              <w:rPr>
                <w:rFonts w:ascii="Times New Roman" w:hAnsi="Times New Roman"/>
                <w:noProof/>
                <w:sz w:val="18"/>
              </w:rPr>
            </w:pPr>
          </w:p>
        </w:tc>
        <w:tc>
          <w:tcPr>
            <w:tcW w:w="993" w:type="dxa"/>
            <w:shd w:val="clear" w:color="auto" w:fill="C6EFCE"/>
            <w:noWrap/>
          </w:tcPr>
          <w:p w14:paraId="1216C40B" w14:textId="77777777" w:rsidR="003C4798" w:rsidRDefault="00417595">
            <w:pPr>
              <w:pStyle w:val="P68B1DB1-Normal89"/>
              <w:spacing w:after="0" w:line="240" w:lineRule="auto"/>
              <w:jc w:val="center"/>
              <w:rPr>
                <w:noProof/>
              </w:rPr>
            </w:pPr>
            <w:r>
              <w:rPr>
                <w:noProof/>
              </w:rPr>
              <w:t>T2</w:t>
            </w:r>
          </w:p>
        </w:tc>
        <w:tc>
          <w:tcPr>
            <w:tcW w:w="708" w:type="dxa"/>
            <w:shd w:val="clear" w:color="auto" w:fill="C6EFCE"/>
            <w:noWrap/>
          </w:tcPr>
          <w:p w14:paraId="1216C40C" w14:textId="77777777" w:rsidR="003C4798" w:rsidRDefault="00417595">
            <w:pPr>
              <w:pStyle w:val="P68B1DB1-Normal89"/>
              <w:spacing w:after="0" w:line="240" w:lineRule="auto"/>
              <w:jc w:val="center"/>
              <w:rPr>
                <w:noProof/>
              </w:rPr>
            </w:pPr>
            <w:r>
              <w:rPr>
                <w:noProof/>
              </w:rPr>
              <w:t>2024</w:t>
            </w:r>
          </w:p>
        </w:tc>
        <w:tc>
          <w:tcPr>
            <w:tcW w:w="3974" w:type="dxa"/>
            <w:shd w:val="clear" w:color="auto" w:fill="C6EFCE"/>
            <w:noWrap/>
          </w:tcPr>
          <w:p w14:paraId="1216C40D" w14:textId="77777777" w:rsidR="003C4798" w:rsidRDefault="00417595">
            <w:pPr>
              <w:pStyle w:val="P68B1DB1-Normal89"/>
              <w:spacing w:after="0" w:line="240" w:lineRule="auto"/>
              <w:rPr>
                <w:noProof/>
              </w:rPr>
            </w:pPr>
            <w:r>
              <w:rPr>
                <w:noProof/>
              </w:rPr>
              <w:t>Entrée en vigueur de l'accord de mise en œuvre.</w:t>
            </w:r>
          </w:p>
        </w:tc>
      </w:tr>
      <w:tr w:rsidR="003C4798" w14:paraId="1216C41A" w14:textId="77777777" w:rsidTr="00DA6ACB">
        <w:trPr>
          <w:trHeight w:val="309"/>
          <w:jc w:val="center"/>
        </w:trPr>
        <w:tc>
          <w:tcPr>
            <w:tcW w:w="803" w:type="dxa"/>
            <w:shd w:val="clear" w:color="auto" w:fill="C6EFCE"/>
            <w:noWrap/>
          </w:tcPr>
          <w:p w14:paraId="1216C40F" w14:textId="77777777" w:rsidR="003C4798" w:rsidRDefault="00417595">
            <w:pPr>
              <w:pStyle w:val="P68B1DB1-Normal89"/>
              <w:spacing w:after="0" w:line="240" w:lineRule="auto"/>
              <w:jc w:val="center"/>
              <w:rPr>
                <w:noProof/>
              </w:rPr>
            </w:pPr>
            <w:r>
              <w:rPr>
                <w:noProof/>
              </w:rPr>
              <w:t>G13L</w:t>
            </w:r>
          </w:p>
        </w:tc>
        <w:tc>
          <w:tcPr>
            <w:tcW w:w="1461" w:type="dxa"/>
            <w:shd w:val="clear" w:color="auto" w:fill="C6EFCE"/>
            <w:noWrap/>
          </w:tcPr>
          <w:p w14:paraId="1216C410" w14:textId="77777777" w:rsidR="003C4798" w:rsidRDefault="00417595">
            <w:pPr>
              <w:pStyle w:val="P68B1DB1-Normal89"/>
              <w:spacing w:after="0" w:line="240" w:lineRule="auto"/>
              <w:rPr>
                <w:noProof/>
              </w:rPr>
            </w:pPr>
            <w:r>
              <w:rPr>
                <w:noProof/>
              </w:rPr>
              <w:t>G3.1.4 Soutien au système énergétique national (Fonds de soutien à l'énergie)</w:t>
            </w:r>
          </w:p>
        </w:tc>
        <w:tc>
          <w:tcPr>
            <w:tcW w:w="1133" w:type="dxa"/>
            <w:shd w:val="clear" w:color="auto" w:fill="C6EFCE"/>
            <w:noWrap/>
          </w:tcPr>
          <w:p w14:paraId="1216C411" w14:textId="77777777" w:rsidR="003C4798" w:rsidRDefault="00417595">
            <w:pPr>
              <w:pStyle w:val="P68B1DB1-Normal89"/>
              <w:spacing w:after="0" w:line="240" w:lineRule="auto"/>
              <w:jc w:val="center"/>
              <w:rPr>
                <w:noProof/>
              </w:rPr>
            </w:pPr>
            <w:r>
              <w:rPr>
                <w:noProof/>
              </w:rPr>
              <w:t>Objectif</w:t>
            </w:r>
          </w:p>
        </w:tc>
        <w:tc>
          <w:tcPr>
            <w:tcW w:w="1792" w:type="dxa"/>
            <w:shd w:val="clear" w:color="auto" w:fill="C6EFCE"/>
            <w:noWrap/>
          </w:tcPr>
          <w:p w14:paraId="1216C412" w14:textId="77777777" w:rsidR="003C4798" w:rsidRDefault="00417595">
            <w:pPr>
              <w:pStyle w:val="P68B1DB1-Normal89"/>
              <w:spacing w:after="0" w:line="240" w:lineRule="auto"/>
              <w:rPr>
                <w:noProof/>
              </w:rPr>
            </w:pPr>
            <w:r>
              <w:rPr>
                <w:noProof/>
              </w:rPr>
              <w:t>Accords juridiques signés avec les bénéficiaires finaux</w:t>
            </w:r>
          </w:p>
        </w:tc>
        <w:tc>
          <w:tcPr>
            <w:tcW w:w="1591" w:type="dxa"/>
            <w:shd w:val="clear" w:color="auto" w:fill="C6EFCE"/>
            <w:noWrap/>
          </w:tcPr>
          <w:p w14:paraId="1216C413" w14:textId="77777777" w:rsidR="003C4798" w:rsidRDefault="003C4798">
            <w:pPr>
              <w:spacing w:after="0" w:line="240" w:lineRule="auto"/>
              <w:rPr>
                <w:rFonts w:ascii="Times New Roman" w:hAnsi="Times New Roman"/>
                <w:noProof/>
                <w:sz w:val="18"/>
              </w:rPr>
            </w:pPr>
          </w:p>
        </w:tc>
        <w:tc>
          <w:tcPr>
            <w:tcW w:w="1067" w:type="dxa"/>
            <w:shd w:val="clear" w:color="auto" w:fill="C6EFCE"/>
            <w:noWrap/>
          </w:tcPr>
          <w:p w14:paraId="1216C414" w14:textId="77777777" w:rsidR="003C4798" w:rsidRDefault="00417595">
            <w:pPr>
              <w:pStyle w:val="P68B1DB1-Normal89"/>
              <w:spacing w:after="0" w:line="240" w:lineRule="auto"/>
              <w:rPr>
                <w:noProof/>
              </w:rPr>
            </w:pPr>
            <w:r>
              <w:rPr>
                <w:noProof/>
              </w:rPr>
              <w:t>Pourcentage (%)</w:t>
            </w:r>
          </w:p>
        </w:tc>
        <w:tc>
          <w:tcPr>
            <w:tcW w:w="936" w:type="dxa"/>
            <w:shd w:val="clear" w:color="auto" w:fill="C6EFCE"/>
            <w:noWrap/>
          </w:tcPr>
          <w:p w14:paraId="1216C415" w14:textId="77777777" w:rsidR="003C4798" w:rsidRDefault="00417595">
            <w:pPr>
              <w:pStyle w:val="P68B1DB1-Normal89"/>
              <w:spacing w:after="0" w:line="240" w:lineRule="auto"/>
              <w:jc w:val="center"/>
              <w:rPr>
                <w:noProof/>
              </w:rPr>
            </w:pPr>
            <w:r>
              <w:rPr>
                <w:noProof/>
              </w:rPr>
              <w:t>0</w:t>
            </w:r>
          </w:p>
        </w:tc>
        <w:tc>
          <w:tcPr>
            <w:tcW w:w="851" w:type="dxa"/>
            <w:shd w:val="clear" w:color="auto" w:fill="C6EFCE"/>
            <w:noWrap/>
          </w:tcPr>
          <w:p w14:paraId="1216C416" w14:textId="77777777" w:rsidR="003C4798" w:rsidRDefault="00417595">
            <w:pPr>
              <w:pStyle w:val="P68B1DB1-Normal89"/>
              <w:spacing w:after="0" w:line="240" w:lineRule="auto"/>
              <w:jc w:val="center"/>
              <w:rPr>
                <w:noProof/>
              </w:rPr>
            </w:pPr>
            <w:r>
              <w:rPr>
                <w:noProof/>
              </w:rPr>
              <w:t>30%</w:t>
            </w:r>
          </w:p>
        </w:tc>
        <w:tc>
          <w:tcPr>
            <w:tcW w:w="993" w:type="dxa"/>
            <w:shd w:val="clear" w:color="auto" w:fill="C6EFCE"/>
            <w:noWrap/>
          </w:tcPr>
          <w:p w14:paraId="1216C417" w14:textId="77777777" w:rsidR="003C4798" w:rsidRDefault="00417595">
            <w:pPr>
              <w:pStyle w:val="P68B1DB1-Normal89"/>
              <w:spacing w:after="0" w:line="240" w:lineRule="auto"/>
              <w:jc w:val="center"/>
              <w:rPr>
                <w:noProof/>
              </w:rPr>
            </w:pPr>
            <w:r>
              <w:rPr>
                <w:noProof/>
              </w:rPr>
              <w:t>T3</w:t>
            </w:r>
          </w:p>
        </w:tc>
        <w:tc>
          <w:tcPr>
            <w:tcW w:w="708" w:type="dxa"/>
            <w:shd w:val="clear" w:color="auto" w:fill="C6EFCE"/>
            <w:noWrap/>
          </w:tcPr>
          <w:p w14:paraId="1216C418" w14:textId="77777777" w:rsidR="003C4798" w:rsidRDefault="00417595">
            <w:pPr>
              <w:pStyle w:val="P68B1DB1-Normal89"/>
              <w:spacing w:after="0" w:line="240" w:lineRule="auto"/>
              <w:jc w:val="center"/>
              <w:rPr>
                <w:noProof/>
              </w:rPr>
            </w:pPr>
            <w:r>
              <w:rPr>
                <w:noProof/>
              </w:rPr>
              <w:t>2025</w:t>
            </w:r>
          </w:p>
        </w:tc>
        <w:tc>
          <w:tcPr>
            <w:tcW w:w="3974" w:type="dxa"/>
            <w:shd w:val="clear" w:color="auto" w:fill="C6EFCE"/>
            <w:noWrap/>
          </w:tcPr>
          <w:p w14:paraId="1216C419" w14:textId="77777777" w:rsidR="003C4798" w:rsidRDefault="00417595">
            <w:pPr>
              <w:pStyle w:val="P68B1DB1-Normal89"/>
              <w:spacing w:after="0" w:line="240" w:lineRule="auto"/>
              <w:rPr>
                <w:noProof/>
              </w:rPr>
            </w:pPr>
            <w:r>
              <w:rPr>
                <w:noProof/>
              </w:rPr>
              <w:t>BGK doit avoir conclu des conventions de financement légales avec les bénéficiaires finaux pour un montant nécessaire à l’utilisation d’au moins 30 % de l’investissement de la FRR dans la facilité (en tenant compte des frais de gestion). BGK produit un rapport détaillant le pourcentage de ce financement qui contribue aux objectifs climatiques en utilisant la méthode figurant à l’annexe VI du règlement FRR.</w:t>
            </w:r>
          </w:p>
        </w:tc>
      </w:tr>
      <w:tr w:rsidR="003C4798" w14:paraId="1216C426" w14:textId="77777777" w:rsidTr="00DA6ACB">
        <w:trPr>
          <w:trHeight w:val="309"/>
          <w:jc w:val="center"/>
        </w:trPr>
        <w:tc>
          <w:tcPr>
            <w:tcW w:w="803" w:type="dxa"/>
            <w:shd w:val="clear" w:color="auto" w:fill="C6EFCE"/>
            <w:noWrap/>
          </w:tcPr>
          <w:p w14:paraId="1216C41B" w14:textId="77777777" w:rsidR="003C4798" w:rsidRDefault="00417595">
            <w:pPr>
              <w:pStyle w:val="P68B1DB1-Normal89"/>
              <w:spacing w:after="0" w:line="240" w:lineRule="auto"/>
              <w:jc w:val="center"/>
              <w:rPr>
                <w:rFonts w:eastAsia="Times New Roman" w:cs="Times New Roman"/>
                <w:noProof/>
                <w:szCs w:val="18"/>
              </w:rPr>
            </w:pPr>
            <w:r>
              <w:rPr>
                <w:noProof/>
              </w:rPr>
              <w:t>G14L</w:t>
            </w:r>
          </w:p>
        </w:tc>
        <w:tc>
          <w:tcPr>
            <w:tcW w:w="1461" w:type="dxa"/>
            <w:shd w:val="clear" w:color="auto" w:fill="C6EFCE"/>
            <w:noWrap/>
          </w:tcPr>
          <w:p w14:paraId="1216C41C" w14:textId="77777777" w:rsidR="003C4798" w:rsidRDefault="00417595">
            <w:pPr>
              <w:pStyle w:val="P68B1DB1-Normal45"/>
              <w:spacing w:after="0" w:line="240" w:lineRule="auto"/>
              <w:rPr>
                <w:rFonts w:eastAsia="Times New Roman" w:cs="Times New Roman"/>
                <w:noProof/>
              </w:rPr>
            </w:pPr>
            <w:r>
              <w:rPr>
                <w:noProof/>
              </w:rPr>
              <w:t xml:space="preserve">G3.1.4 Soutien au système énergétique national (Fonds de soutien à l'énergie) </w:t>
            </w:r>
          </w:p>
        </w:tc>
        <w:tc>
          <w:tcPr>
            <w:tcW w:w="1133" w:type="dxa"/>
            <w:shd w:val="clear" w:color="auto" w:fill="C6EFCE"/>
            <w:noWrap/>
          </w:tcPr>
          <w:p w14:paraId="1216C41D" w14:textId="77777777" w:rsidR="003C4798" w:rsidRDefault="00417595">
            <w:pPr>
              <w:pStyle w:val="P68B1DB1-Normal89"/>
              <w:spacing w:after="0" w:line="240" w:lineRule="auto"/>
              <w:jc w:val="center"/>
              <w:rPr>
                <w:rFonts w:eastAsia="Times New Roman" w:cs="Times New Roman"/>
                <w:noProof/>
                <w:szCs w:val="18"/>
              </w:rPr>
            </w:pPr>
            <w:r>
              <w:rPr>
                <w:noProof/>
              </w:rPr>
              <w:t>Objectif</w:t>
            </w:r>
          </w:p>
        </w:tc>
        <w:tc>
          <w:tcPr>
            <w:tcW w:w="1792" w:type="dxa"/>
            <w:shd w:val="clear" w:color="auto" w:fill="C6EFCE"/>
            <w:noWrap/>
          </w:tcPr>
          <w:p w14:paraId="1216C41E" w14:textId="77777777" w:rsidR="003C4798" w:rsidRDefault="00417595">
            <w:pPr>
              <w:pStyle w:val="P68B1DB1-Normal89"/>
              <w:spacing w:after="0" w:line="240" w:lineRule="auto"/>
              <w:rPr>
                <w:rFonts w:eastAsia="Times New Roman" w:cs="Times New Roman"/>
                <w:noProof/>
                <w:szCs w:val="18"/>
              </w:rPr>
            </w:pPr>
            <w:r>
              <w:rPr>
                <w:noProof/>
              </w:rPr>
              <w:t>Accords juridiques signés avec les bénéficiaires finaux</w:t>
            </w:r>
          </w:p>
        </w:tc>
        <w:tc>
          <w:tcPr>
            <w:tcW w:w="1591" w:type="dxa"/>
            <w:shd w:val="clear" w:color="auto" w:fill="C6EFCE"/>
            <w:noWrap/>
          </w:tcPr>
          <w:p w14:paraId="1216C41F" w14:textId="77777777" w:rsidR="003C4798" w:rsidRDefault="003C4798">
            <w:pPr>
              <w:spacing w:after="0" w:line="240" w:lineRule="auto"/>
              <w:rPr>
                <w:rFonts w:ascii="Times New Roman" w:eastAsia="Times New Roman" w:hAnsi="Times New Roman" w:cs="Times New Roman"/>
                <w:noProof/>
                <w:sz w:val="18"/>
                <w:szCs w:val="18"/>
              </w:rPr>
            </w:pPr>
          </w:p>
        </w:tc>
        <w:tc>
          <w:tcPr>
            <w:tcW w:w="1067" w:type="dxa"/>
            <w:shd w:val="clear" w:color="auto" w:fill="C6EFCE"/>
            <w:noWrap/>
          </w:tcPr>
          <w:p w14:paraId="1216C420" w14:textId="77777777" w:rsidR="003C4798" w:rsidRDefault="00417595">
            <w:pPr>
              <w:pStyle w:val="P68B1DB1-Normal89"/>
              <w:spacing w:after="0" w:line="240" w:lineRule="auto"/>
              <w:rPr>
                <w:rFonts w:eastAsia="Times New Roman" w:cs="Times New Roman"/>
                <w:noProof/>
                <w:szCs w:val="18"/>
              </w:rPr>
            </w:pPr>
            <w:r>
              <w:rPr>
                <w:noProof/>
              </w:rPr>
              <w:t>Pourcentage (%)</w:t>
            </w:r>
          </w:p>
        </w:tc>
        <w:tc>
          <w:tcPr>
            <w:tcW w:w="936" w:type="dxa"/>
            <w:shd w:val="clear" w:color="auto" w:fill="C6EFCE"/>
            <w:noWrap/>
          </w:tcPr>
          <w:p w14:paraId="1216C421" w14:textId="77777777" w:rsidR="003C4798" w:rsidRDefault="00417595">
            <w:pPr>
              <w:pStyle w:val="P68B1DB1-Normal89"/>
              <w:spacing w:after="0" w:line="240" w:lineRule="auto"/>
              <w:jc w:val="center"/>
              <w:rPr>
                <w:rFonts w:eastAsia="Times New Roman" w:cs="Times New Roman"/>
                <w:noProof/>
                <w:szCs w:val="18"/>
              </w:rPr>
            </w:pPr>
            <w:r>
              <w:rPr>
                <w:noProof/>
              </w:rPr>
              <w:t>30%</w:t>
            </w:r>
          </w:p>
        </w:tc>
        <w:tc>
          <w:tcPr>
            <w:tcW w:w="851" w:type="dxa"/>
            <w:shd w:val="clear" w:color="auto" w:fill="C6EFCE"/>
            <w:noWrap/>
          </w:tcPr>
          <w:p w14:paraId="1216C422" w14:textId="77777777" w:rsidR="003C4798" w:rsidRDefault="00417595">
            <w:pPr>
              <w:pStyle w:val="P68B1DB1-Normal89"/>
              <w:spacing w:after="0" w:line="240" w:lineRule="auto"/>
              <w:jc w:val="center"/>
              <w:rPr>
                <w:rFonts w:eastAsia="Times New Roman" w:cs="Times New Roman"/>
                <w:noProof/>
                <w:szCs w:val="18"/>
              </w:rPr>
            </w:pPr>
            <w:r>
              <w:rPr>
                <w:noProof/>
              </w:rPr>
              <w:t>100%</w:t>
            </w:r>
          </w:p>
        </w:tc>
        <w:tc>
          <w:tcPr>
            <w:tcW w:w="993" w:type="dxa"/>
            <w:shd w:val="clear" w:color="auto" w:fill="C6EFCE"/>
            <w:noWrap/>
          </w:tcPr>
          <w:p w14:paraId="1216C423" w14:textId="77777777" w:rsidR="003C4798" w:rsidRDefault="00417595">
            <w:pPr>
              <w:pStyle w:val="P68B1DB1-Normal89"/>
              <w:spacing w:after="0" w:line="240" w:lineRule="auto"/>
              <w:jc w:val="center"/>
              <w:rPr>
                <w:rFonts w:eastAsia="Times New Roman" w:cs="Times New Roman"/>
                <w:noProof/>
                <w:szCs w:val="18"/>
              </w:rPr>
            </w:pPr>
            <w:r>
              <w:rPr>
                <w:noProof/>
              </w:rPr>
              <w:t>T3</w:t>
            </w:r>
          </w:p>
        </w:tc>
        <w:tc>
          <w:tcPr>
            <w:tcW w:w="708" w:type="dxa"/>
            <w:shd w:val="clear" w:color="auto" w:fill="C6EFCE"/>
            <w:noWrap/>
          </w:tcPr>
          <w:p w14:paraId="1216C424" w14:textId="77777777" w:rsidR="003C4798" w:rsidRDefault="00417595">
            <w:pPr>
              <w:pStyle w:val="P68B1DB1-Normal89"/>
              <w:spacing w:after="0" w:line="240" w:lineRule="auto"/>
              <w:jc w:val="center"/>
              <w:rPr>
                <w:rFonts w:eastAsia="Times New Roman" w:cs="Times New Roman"/>
                <w:noProof/>
                <w:szCs w:val="18"/>
              </w:rPr>
            </w:pPr>
            <w:r>
              <w:rPr>
                <w:noProof/>
              </w:rPr>
              <w:t>2026</w:t>
            </w:r>
          </w:p>
        </w:tc>
        <w:tc>
          <w:tcPr>
            <w:tcW w:w="3974" w:type="dxa"/>
            <w:shd w:val="clear" w:color="auto" w:fill="C6EFCE"/>
            <w:noWrap/>
          </w:tcPr>
          <w:p w14:paraId="1216C425" w14:textId="77777777" w:rsidR="003C4798" w:rsidRDefault="00417595">
            <w:pPr>
              <w:pStyle w:val="P68B1DB1-Normal45"/>
              <w:spacing w:after="0" w:line="240" w:lineRule="auto"/>
              <w:rPr>
                <w:rFonts w:eastAsia="Times New Roman" w:cs="Times New Roman"/>
                <w:noProof/>
              </w:rPr>
            </w:pPr>
            <w:r>
              <w:rPr>
                <w:noProof/>
              </w:rPr>
              <w:t>BGK doit avoir conclu des conventions de financement juridiques avec les bénéficiaires finaux pour un montant nécessaire à l’utilisation de 100 % de l’investissement de la FRR dans la facilité (en tenant compte des frais de gestion). Au moins 60 % de ce financement contribuent à la réalisation des objectifs climatiques en utilisant la méthode figurant à l’annexe VI du règlement FRR.</w:t>
            </w:r>
          </w:p>
        </w:tc>
      </w:tr>
      <w:tr w:rsidR="003C4798" w14:paraId="1216C432" w14:textId="77777777" w:rsidTr="00DA6ACB">
        <w:trPr>
          <w:trHeight w:val="309"/>
          <w:jc w:val="center"/>
        </w:trPr>
        <w:tc>
          <w:tcPr>
            <w:tcW w:w="803" w:type="dxa"/>
            <w:shd w:val="clear" w:color="auto" w:fill="C6EFCE"/>
            <w:noWrap/>
          </w:tcPr>
          <w:p w14:paraId="1216C427" w14:textId="77777777" w:rsidR="003C4798" w:rsidRDefault="00417595">
            <w:pPr>
              <w:pStyle w:val="P68B1DB1-Normal89"/>
              <w:spacing w:after="0" w:line="240" w:lineRule="auto"/>
              <w:jc w:val="center"/>
              <w:rPr>
                <w:rFonts w:eastAsia="Times New Roman" w:cs="Times New Roman"/>
                <w:noProof/>
                <w:szCs w:val="18"/>
              </w:rPr>
            </w:pPr>
            <w:r>
              <w:rPr>
                <w:noProof/>
              </w:rPr>
              <w:t>G15L</w:t>
            </w:r>
          </w:p>
        </w:tc>
        <w:tc>
          <w:tcPr>
            <w:tcW w:w="1461" w:type="dxa"/>
            <w:shd w:val="clear" w:color="auto" w:fill="C6EFCE"/>
            <w:noWrap/>
          </w:tcPr>
          <w:p w14:paraId="1216C428" w14:textId="77777777" w:rsidR="003C4798" w:rsidRDefault="00417595">
            <w:pPr>
              <w:pStyle w:val="P68B1DB1-Normal45"/>
              <w:spacing w:after="0" w:line="240" w:lineRule="auto"/>
              <w:rPr>
                <w:rFonts w:eastAsia="Times New Roman" w:cs="Times New Roman"/>
                <w:noProof/>
              </w:rPr>
            </w:pPr>
            <w:r>
              <w:rPr>
                <w:noProof/>
              </w:rPr>
              <w:t>G3.1.4 Soutien au système énergétique national (Fonds de soutien à l'énergie)</w:t>
            </w:r>
          </w:p>
        </w:tc>
        <w:tc>
          <w:tcPr>
            <w:tcW w:w="1133" w:type="dxa"/>
            <w:shd w:val="clear" w:color="auto" w:fill="C6EFCE"/>
            <w:noWrap/>
          </w:tcPr>
          <w:p w14:paraId="1216C429" w14:textId="77777777" w:rsidR="003C4798" w:rsidRDefault="00417595">
            <w:pPr>
              <w:pStyle w:val="P68B1DB1-Normal89"/>
              <w:spacing w:after="0" w:line="240" w:lineRule="auto"/>
              <w:jc w:val="center"/>
              <w:rPr>
                <w:rFonts w:eastAsia="Times New Roman" w:cs="Times New Roman"/>
                <w:noProof/>
                <w:szCs w:val="18"/>
              </w:rPr>
            </w:pPr>
            <w:r>
              <w:rPr>
                <w:noProof/>
              </w:rPr>
              <w:t>Étape</w:t>
            </w:r>
          </w:p>
        </w:tc>
        <w:tc>
          <w:tcPr>
            <w:tcW w:w="1792" w:type="dxa"/>
            <w:shd w:val="clear" w:color="auto" w:fill="C6EFCE"/>
            <w:noWrap/>
          </w:tcPr>
          <w:p w14:paraId="1216C42A" w14:textId="77777777" w:rsidR="003C4798" w:rsidRDefault="00417595">
            <w:pPr>
              <w:pStyle w:val="P68B1DB1-Normal89"/>
              <w:spacing w:after="0" w:line="240" w:lineRule="auto"/>
              <w:rPr>
                <w:rFonts w:eastAsia="Times New Roman" w:cs="Times New Roman"/>
                <w:noProof/>
                <w:szCs w:val="18"/>
              </w:rPr>
            </w:pPr>
            <w:r>
              <w:rPr>
                <w:noProof/>
              </w:rPr>
              <w:t>Le ministère a terminé l'investissement</w:t>
            </w:r>
          </w:p>
        </w:tc>
        <w:tc>
          <w:tcPr>
            <w:tcW w:w="1591" w:type="dxa"/>
            <w:shd w:val="clear" w:color="auto" w:fill="C6EFCE"/>
            <w:noWrap/>
          </w:tcPr>
          <w:p w14:paraId="1216C42B" w14:textId="77777777" w:rsidR="003C4798" w:rsidRDefault="00417595">
            <w:pPr>
              <w:pStyle w:val="P68B1DB1-Normal89"/>
              <w:spacing w:after="0" w:line="240" w:lineRule="auto"/>
              <w:rPr>
                <w:rFonts w:eastAsia="Times New Roman" w:cs="Times New Roman"/>
                <w:noProof/>
                <w:szCs w:val="18"/>
              </w:rPr>
            </w:pPr>
            <w:r>
              <w:rPr>
                <w:noProof/>
              </w:rPr>
              <w:t>Certificat de transfert</w:t>
            </w:r>
          </w:p>
        </w:tc>
        <w:tc>
          <w:tcPr>
            <w:tcW w:w="1067" w:type="dxa"/>
            <w:shd w:val="clear" w:color="auto" w:fill="C6EFCE"/>
            <w:noWrap/>
          </w:tcPr>
          <w:p w14:paraId="1216C42C"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2D"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42E"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42F" w14:textId="77777777" w:rsidR="003C4798" w:rsidRDefault="00417595">
            <w:pPr>
              <w:pStyle w:val="P68B1DB1-Normal89"/>
              <w:spacing w:after="0" w:line="240" w:lineRule="auto"/>
              <w:jc w:val="center"/>
              <w:rPr>
                <w:rFonts w:eastAsia="Times New Roman" w:cs="Times New Roman"/>
                <w:noProof/>
                <w:szCs w:val="18"/>
              </w:rPr>
            </w:pPr>
            <w:r>
              <w:rPr>
                <w:noProof/>
              </w:rPr>
              <w:t>T3</w:t>
            </w:r>
          </w:p>
        </w:tc>
        <w:tc>
          <w:tcPr>
            <w:tcW w:w="708" w:type="dxa"/>
            <w:shd w:val="clear" w:color="auto" w:fill="C6EFCE"/>
            <w:noWrap/>
          </w:tcPr>
          <w:p w14:paraId="1216C430" w14:textId="77777777" w:rsidR="003C4798" w:rsidRDefault="00417595">
            <w:pPr>
              <w:pStyle w:val="P68B1DB1-Normal45"/>
              <w:spacing w:after="0" w:line="240" w:lineRule="auto"/>
              <w:jc w:val="center"/>
              <w:rPr>
                <w:rFonts w:eastAsia="Times New Roman" w:cs="Times New Roman"/>
                <w:noProof/>
              </w:rPr>
            </w:pPr>
            <w:r>
              <w:rPr>
                <w:noProof/>
              </w:rPr>
              <w:t>2026</w:t>
            </w:r>
          </w:p>
        </w:tc>
        <w:tc>
          <w:tcPr>
            <w:tcW w:w="3974" w:type="dxa"/>
            <w:shd w:val="clear" w:color="auto" w:fill="C6EFCE"/>
            <w:noWrap/>
          </w:tcPr>
          <w:p w14:paraId="1216C431" w14:textId="77777777" w:rsidR="003C4798" w:rsidRDefault="00417595">
            <w:pPr>
              <w:pStyle w:val="P68B1DB1-Normal45"/>
              <w:spacing w:after="0" w:line="240" w:lineRule="auto"/>
              <w:rPr>
                <w:rFonts w:eastAsia="Times New Roman" w:cs="Times New Roman"/>
                <w:noProof/>
              </w:rPr>
            </w:pPr>
            <w:r>
              <w:rPr>
                <w:noProof/>
              </w:rPr>
              <w:t>La Pologne transfère 15 045 143 508 EUR à BGK pour la facilité.</w:t>
            </w:r>
          </w:p>
        </w:tc>
      </w:tr>
      <w:tr w:rsidR="003C4798" w14:paraId="1216C43E" w14:textId="77777777" w:rsidTr="00DA6ACB">
        <w:trPr>
          <w:trHeight w:val="309"/>
          <w:jc w:val="center"/>
        </w:trPr>
        <w:tc>
          <w:tcPr>
            <w:tcW w:w="803" w:type="dxa"/>
            <w:shd w:val="clear" w:color="auto" w:fill="C6EFCE"/>
            <w:noWrap/>
          </w:tcPr>
          <w:p w14:paraId="1216C433" w14:textId="77777777" w:rsidR="003C4798" w:rsidRDefault="00417595">
            <w:pPr>
              <w:pStyle w:val="P68B1DB1-Normal89"/>
              <w:spacing w:after="0" w:line="240" w:lineRule="auto"/>
              <w:jc w:val="center"/>
              <w:rPr>
                <w:rFonts w:eastAsia="Times New Roman" w:cs="Times New Roman"/>
                <w:noProof/>
                <w:szCs w:val="18"/>
              </w:rPr>
            </w:pPr>
            <w:r>
              <w:rPr>
                <w:noProof/>
              </w:rPr>
              <w:t>G16L</w:t>
            </w:r>
          </w:p>
        </w:tc>
        <w:tc>
          <w:tcPr>
            <w:tcW w:w="1461" w:type="dxa"/>
            <w:shd w:val="clear" w:color="auto" w:fill="C6EFCE"/>
            <w:noWrap/>
          </w:tcPr>
          <w:p w14:paraId="1216C434" w14:textId="77777777" w:rsidR="003C4798" w:rsidRDefault="00417595">
            <w:pPr>
              <w:pStyle w:val="P68B1DB1-Normal45"/>
              <w:spacing w:after="0" w:line="240" w:lineRule="auto"/>
              <w:rPr>
                <w:rFonts w:eastAsia="Times New Roman" w:cs="Times New Roman"/>
                <w:noProof/>
              </w:rPr>
            </w:pPr>
            <w:r>
              <w:rPr>
                <w:noProof/>
              </w:rPr>
              <w:t>G3.1.5 Construction de parcs éoliens en mer (Fonds pour l'énergie éolienne en mer)</w:t>
            </w:r>
          </w:p>
        </w:tc>
        <w:tc>
          <w:tcPr>
            <w:tcW w:w="1133" w:type="dxa"/>
            <w:shd w:val="clear" w:color="auto" w:fill="C6EFCE"/>
            <w:noWrap/>
          </w:tcPr>
          <w:p w14:paraId="1216C435" w14:textId="77777777" w:rsidR="003C4798" w:rsidRDefault="00417595">
            <w:pPr>
              <w:pStyle w:val="P68B1DB1-Normal89"/>
              <w:spacing w:after="0" w:line="240" w:lineRule="auto"/>
              <w:jc w:val="center"/>
              <w:rPr>
                <w:rFonts w:eastAsia="Times New Roman" w:cs="Times New Roman"/>
                <w:noProof/>
                <w:szCs w:val="18"/>
              </w:rPr>
            </w:pPr>
            <w:r>
              <w:rPr>
                <w:noProof/>
              </w:rPr>
              <w:t>Étape</w:t>
            </w:r>
          </w:p>
        </w:tc>
        <w:tc>
          <w:tcPr>
            <w:tcW w:w="1792" w:type="dxa"/>
            <w:shd w:val="clear" w:color="auto" w:fill="C6EFCE"/>
            <w:noWrap/>
          </w:tcPr>
          <w:p w14:paraId="1216C436" w14:textId="77777777" w:rsidR="003C4798" w:rsidRDefault="00417595">
            <w:pPr>
              <w:pStyle w:val="P68B1DB1-Normal89"/>
              <w:spacing w:after="0" w:line="240" w:lineRule="auto"/>
              <w:rPr>
                <w:rFonts w:eastAsia="Times New Roman" w:cs="Times New Roman"/>
                <w:noProof/>
                <w:szCs w:val="18"/>
              </w:rPr>
            </w:pPr>
            <w:r>
              <w:rPr>
                <w:noProof/>
              </w:rPr>
              <w:t>Accord de mise en œuvre</w:t>
            </w:r>
          </w:p>
        </w:tc>
        <w:tc>
          <w:tcPr>
            <w:tcW w:w="1591" w:type="dxa"/>
            <w:shd w:val="clear" w:color="auto" w:fill="C6EFCE"/>
            <w:noWrap/>
          </w:tcPr>
          <w:p w14:paraId="1216C437" w14:textId="77777777" w:rsidR="003C4798" w:rsidRDefault="00417595">
            <w:pPr>
              <w:pStyle w:val="P68B1DB1-Normal89"/>
              <w:spacing w:after="0" w:line="240" w:lineRule="auto"/>
              <w:rPr>
                <w:rFonts w:eastAsia="Times New Roman" w:cs="Times New Roman"/>
                <w:noProof/>
                <w:szCs w:val="18"/>
              </w:rPr>
            </w:pPr>
            <w:r>
              <w:rPr>
                <w:noProof/>
              </w:rPr>
              <w:t>Entrée en vigueur de l'accord de mise en œuvre</w:t>
            </w:r>
          </w:p>
        </w:tc>
        <w:tc>
          <w:tcPr>
            <w:tcW w:w="1067" w:type="dxa"/>
            <w:shd w:val="clear" w:color="auto" w:fill="C6EFCE"/>
            <w:noWrap/>
          </w:tcPr>
          <w:p w14:paraId="1216C438"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39"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43A"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43B" w14:textId="77777777" w:rsidR="003C4798" w:rsidRDefault="00417595">
            <w:pPr>
              <w:pStyle w:val="P68B1DB1-Normal89"/>
              <w:spacing w:after="0" w:line="240" w:lineRule="auto"/>
              <w:jc w:val="center"/>
              <w:rPr>
                <w:rFonts w:eastAsia="Times New Roman" w:cs="Times New Roman"/>
                <w:noProof/>
                <w:szCs w:val="18"/>
              </w:rPr>
            </w:pPr>
            <w:r>
              <w:rPr>
                <w:noProof/>
              </w:rPr>
              <w:t>T3</w:t>
            </w:r>
          </w:p>
        </w:tc>
        <w:tc>
          <w:tcPr>
            <w:tcW w:w="708" w:type="dxa"/>
            <w:shd w:val="clear" w:color="auto" w:fill="C6EFCE"/>
            <w:noWrap/>
          </w:tcPr>
          <w:p w14:paraId="1216C43C" w14:textId="77777777" w:rsidR="003C4798" w:rsidRDefault="00417595">
            <w:pPr>
              <w:pStyle w:val="P68B1DB1-Normal89"/>
              <w:spacing w:after="0" w:line="240" w:lineRule="auto"/>
              <w:jc w:val="center"/>
              <w:rPr>
                <w:rFonts w:eastAsia="Times New Roman" w:cs="Times New Roman"/>
                <w:noProof/>
                <w:szCs w:val="18"/>
              </w:rPr>
            </w:pPr>
            <w:r>
              <w:rPr>
                <w:noProof/>
              </w:rPr>
              <w:t>2024</w:t>
            </w:r>
          </w:p>
        </w:tc>
        <w:tc>
          <w:tcPr>
            <w:tcW w:w="3974" w:type="dxa"/>
            <w:shd w:val="clear" w:color="auto" w:fill="C6EFCE"/>
            <w:noWrap/>
          </w:tcPr>
          <w:p w14:paraId="1216C43D" w14:textId="77777777" w:rsidR="003C4798" w:rsidRDefault="00417595">
            <w:pPr>
              <w:pStyle w:val="P68B1DB1-Normal89"/>
              <w:spacing w:after="0" w:line="240" w:lineRule="auto"/>
              <w:rPr>
                <w:rFonts w:eastAsia="Times New Roman" w:cs="Times New Roman"/>
                <w:noProof/>
                <w:szCs w:val="18"/>
              </w:rPr>
            </w:pPr>
            <w:r>
              <w:rPr>
                <w:noProof/>
              </w:rPr>
              <w:t>Entrée en vigueur de l'accord de mise en œuvre.</w:t>
            </w:r>
          </w:p>
        </w:tc>
      </w:tr>
      <w:tr w:rsidR="003C4798" w14:paraId="1216C44A" w14:textId="77777777" w:rsidTr="00DA6ACB">
        <w:trPr>
          <w:trHeight w:val="309"/>
          <w:jc w:val="center"/>
        </w:trPr>
        <w:tc>
          <w:tcPr>
            <w:tcW w:w="803" w:type="dxa"/>
            <w:shd w:val="clear" w:color="auto" w:fill="C6EFCE"/>
            <w:noWrap/>
          </w:tcPr>
          <w:p w14:paraId="1216C43F" w14:textId="77777777" w:rsidR="003C4798" w:rsidRDefault="00417595">
            <w:pPr>
              <w:pStyle w:val="P68B1DB1-Normal89"/>
              <w:spacing w:after="0" w:line="240" w:lineRule="auto"/>
              <w:jc w:val="center"/>
              <w:rPr>
                <w:rFonts w:eastAsia="Times New Roman" w:cs="Times New Roman"/>
                <w:noProof/>
                <w:szCs w:val="18"/>
              </w:rPr>
            </w:pPr>
            <w:r>
              <w:rPr>
                <w:noProof/>
              </w:rPr>
              <w:t>G18L</w:t>
            </w:r>
          </w:p>
        </w:tc>
        <w:tc>
          <w:tcPr>
            <w:tcW w:w="1461" w:type="dxa"/>
            <w:shd w:val="clear" w:color="auto" w:fill="C6EFCE"/>
            <w:noWrap/>
          </w:tcPr>
          <w:p w14:paraId="1216C440" w14:textId="77777777" w:rsidR="003C4798" w:rsidRDefault="00417595">
            <w:pPr>
              <w:pStyle w:val="P68B1DB1-Normal45"/>
              <w:spacing w:after="0" w:line="240" w:lineRule="auto"/>
              <w:rPr>
                <w:rFonts w:eastAsia="Times New Roman" w:cs="Times New Roman"/>
                <w:noProof/>
              </w:rPr>
            </w:pPr>
            <w:r>
              <w:rPr>
                <w:noProof/>
              </w:rPr>
              <w:t>G3.1.5 Construction de parcs éoliens en mer (Fonds pour l'énergie éolienne en mer)</w:t>
            </w:r>
          </w:p>
        </w:tc>
        <w:tc>
          <w:tcPr>
            <w:tcW w:w="1133" w:type="dxa"/>
            <w:shd w:val="clear" w:color="auto" w:fill="C6EFCE"/>
            <w:noWrap/>
          </w:tcPr>
          <w:p w14:paraId="1216C441" w14:textId="77777777" w:rsidR="003C4798" w:rsidRDefault="00417595">
            <w:pPr>
              <w:pStyle w:val="P68B1DB1-Normal89"/>
              <w:spacing w:after="0" w:line="240" w:lineRule="auto"/>
              <w:jc w:val="center"/>
              <w:rPr>
                <w:rFonts w:eastAsia="Times New Roman" w:cs="Times New Roman"/>
                <w:noProof/>
                <w:szCs w:val="18"/>
              </w:rPr>
            </w:pPr>
            <w:r>
              <w:rPr>
                <w:noProof/>
              </w:rPr>
              <w:t>Objectif</w:t>
            </w:r>
          </w:p>
        </w:tc>
        <w:tc>
          <w:tcPr>
            <w:tcW w:w="1792" w:type="dxa"/>
            <w:shd w:val="clear" w:color="auto" w:fill="C6EFCE"/>
            <w:noWrap/>
          </w:tcPr>
          <w:p w14:paraId="1216C442" w14:textId="77777777" w:rsidR="003C4798" w:rsidRDefault="00417595">
            <w:pPr>
              <w:pStyle w:val="P68B1DB1-Normal89"/>
              <w:spacing w:after="0" w:line="240" w:lineRule="auto"/>
              <w:rPr>
                <w:rFonts w:eastAsia="Times New Roman" w:cs="Times New Roman"/>
                <w:noProof/>
                <w:szCs w:val="18"/>
              </w:rPr>
            </w:pPr>
            <w:r>
              <w:rPr>
                <w:noProof/>
              </w:rPr>
              <w:t>Accords juridiques signés avec les bénéficiaires finaux</w:t>
            </w:r>
          </w:p>
        </w:tc>
        <w:tc>
          <w:tcPr>
            <w:tcW w:w="1591" w:type="dxa"/>
            <w:shd w:val="clear" w:color="auto" w:fill="C6EFCE"/>
            <w:noWrap/>
          </w:tcPr>
          <w:p w14:paraId="1216C443" w14:textId="77777777" w:rsidR="003C4798" w:rsidRDefault="003C4798">
            <w:pPr>
              <w:spacing w:after="0" w:line="240" w:lineRule="auto"/>
              <w:rPr>
                <w:rFonts w:ascii="Times New Roman" w:eastAsia="Times New Roman" w:hAnsi="Times New Roman" w:cs="Times New Roman"/>
                <w:noProof/>
                <w:sz w:val="18"/>
                <w:szCs w:val="18"/>
              </w:rPr>
            </w:pPr>
          </w:p>
        </w:tc>
        <w:tc>
          <w:tcPr>
            <w:tcW w:w="1067" w:type="dxa"/>
            <w:shd w:val="clear" w:color="auto" w:fill="C6EFCE"/>
            <w:noWrap/>
          </w:tcPr>
          <w:p w14:paraId="1216C444" w14:textId="77777777" w:rsidR="003C4798" w:rsidRDefault="00417595">
            <w:pPr>
              <w:pStyle w:val="P68B1DB1-Normal89"/>
              <w:spacing w:after="0" w:line="240" w:lineRule="auto"/>
              <w:rPr>
                <w:rFonts w:eastAsia="Times New Roman" w:cs="Times New Roman"/>
                <w:noProof/>
                <w:szCs w:val="18"/>
              </w:rPr>
            </w:pPr>
            <w:r>
              <w:rPr>
                <w:noProof/>
              </w:rPr>
              <w:t>Pourcentage (%)</w:t>
            </w:r>
          </w:p>
        </w:tc>
        <w:tc>
          <w:tcPr>
            <w:tcW w:w="936" w:type="dxa"/>
            <w:shd w:val="clear" w:color="auto" w:fill="C6EFCE"/>
            <w:noWrap/>
          </w:tcPr>
          <w:p w14:paraId="1216C445" w14:textId="77777777" w:rsidR="003C4798" w:rsidRDefault="00417595">
            <w:pPr>
              <w:pStyle w:val="P68B1DB1-Normal45"/>
              <w:spacing w:after="0" w:line="240" w:lineRule="auto"/>
              <w:jc w:val="center"/>
              <w:rPr>
                <w:rFonts w:eastAsia="Times New Roman" w:cs="Times New Roman"/>
                <w:noProof/>
              </w:rPr>
            </w:pPr>
            <w:r>
              <w:rPr>
                <w:noProof/>
              </w:rPr>
              <w:t>0%</w:t>
            </w:r>
          </w:p>
        </w:tc>
        <w:tc>
          <w:tcPr>
            <w:tcW w:w="851" w:type="dxa"/>
            <w:shd w:val="clear" w:color="auto" w:fill="C6EFCE"/>
            <w:noWrap/>
          </w:tcPr>
          <w:p w14:paraId="1216C446" w14:textId="77777777" w:rsidR="003C4798" w:rsidRDefault="00417595">
            <w:pPr>
              <w:pStyle w:val="P68B1DB1-Normal89"/>
              <w:spacing w:after="0" w:line="240" w:lineRule="auto"/>
              <w:jc w:val="center"/>
              <w:rPr>
                <w:rFonts w:eastAsia="Times New Roman" w:cs="Times New Roman"/>
                <w:noProof/>
                <w:szCs w:val="18"/>
              </w:rPr>
            </w:pPr>
            <w:r>
              <w:rPr>
                <w:noProof/>
              </w:rPr>
              <w:t>100%</w:t>
            </w:r>
          </w:p>
        </w:tc>
        <w:tc>
          <w:tcPr>
            <w:tcW w:w="993" w:type="dxa"/>
            <w:shd w:val="clear" w:color="auto" w:fill="C6EFCE"/>
            <w:noWrap/>
          </w:tcPr>
          <w:p w14:paraId="1216C447" w14:textId="77777777" w:rsidR="003C4798" w:rsidRDefault="00417595">
            <w:pPr>
              <w:pStyle w:val="P68B1DB1-Normal89"/>
              <w:spacing w:after="0" w:line="240" w:lineRule="auto"/>
              <w:jc w:val="center"/>
              <w:rPr>
                <w:rFonts w:eastAsia="Times New Roman" w:cs="Times New Roman"/>
                <w:noProof/>
                <w:szCs w:val="18"/>
              </w:rPr>
            </w:pPr>
            <w:r>
              <w:rPr>
                <w:noProof/>
              </w:rPr>
              <w:t>T4</w:t>
            </w:r>
          </w:p>
        </w:tc>
        <w:tc>
          <w:tcPr>
            <w:tcW w:w="708" w:type="dxa"/>
            <w:shd w:val="clear" w:color="auto" w:fill="C6EFCE"/>
            <w:noWrap/>
          </w:tcPr>
          <w:p w14:paraId="1216C448" w14:textId="77777777" w:rsidR="003C4798" w:rsidRDefault="00417595">
            <w:pPr>
              <w:pStyle w:val="P68B1DB1-Normal89"/>
              <w:spacing w:after="0" w:line="240" w:lineRule="auto"/>
              <w:jc w:val="center"/>
              <w:rPr>
                <w:rFonts w:eastAsia="Times New Roman" w:cs="Times New Roman"/>
                <w:noProof/>
                <w:szCs w:val="18"/>
              </w:rPr>
            </w:pPr>
            <w:r>
              <w:rPr>
                <w:noProof/>
              </w:rPr>
              <w:t>2025</w:t>
            </w:r>
          </w:p>
        </w:tc>
        <w:tc>
          <w:tcPr>
            <w:tcW w:w="3974" w:type="dxa"/>
            <w:shd w:val="clear" w:color="auto" w:fill="C6EFCE"/>
            <w:noWrap/>
          </w:tcPr>
          <w:p w14:paraId="1216C449" w14:textId="77777777" w:rsidR="003C4798" w:rsidRDefault="00417595">
            <w:pPr>
              <w:pStyle w:val="P68B1DB1-Normal45"/>
              <w:spacing w:after="0" w:line="240" w:lineRule="auto"/>
              <w:rPr>
                <w:rFonts w:eastAsia="Times New Roman" w:cs="Times New Roman"/>
                <w:noProof/>
              </w:rPr>
            </w:pPr>
            <w:r>
              <w:rPr>
                <w:noProof/>
              </w:rPr>
              <w:t>BGK doit avoir conclu des conventions de financement juridiques avec les bénéficiaires finaux pour un montant nécessaire à l’utilisation de 100 % de l’investissement de la FRR dans la facilité (en tenant compte des frais de gestion). 100 % de ce financement contribue à la réalisation des objectifs climatiques en utilisant la méthode figurant à l’annexe VI du règlement FRR.</w:t>
            </w:r>
          </w:p>
        </w:tc>
      </w:tr>
      <w:tr w:rsidR="003C4798" w14:paraId="1216C456" w14:textId="77777777" w:rsidTr="00DA6ACB">
        <w:trPr>
          <w:trHeight w:val="309"/>
          <w:jc w:val="center"/>
        </w:trPr>
        <w:tc>
          <w:tcPr>
            <w:tcW w:w="803" w:type="dxa"/>
            <w:shd w:val="clear" w:color="auto" w:fill="C6EFCE"/>
            <w:noWrap/>
          </w:tcPr>
          <w:p w14:paraId="1216C44B" w14:textId="77777777" w:rsidR="003C4798" w:rsidRDefault="00417595">
            <w:pPr>
              <w:pStyle w:val="P68B1DB1-Normal89"/>
              <w:spacing w:after="0" w:line="240" w:lineRule="auto"/>
              <w:jc w:val="center"/>
              <w:rPr>
                <w:rFonts w:eastAsia="Times New Roman" w:cs="Times New Roman"/>
                <w:noProof/>
                <w:szCs w:val="18"/>
              </w:rPr>
            </w:pPr>
            <w:r>
              <w:rPr>
                <w:noProof/>
              </w:rPr>
              <w:t>G19L</w:t>
            </w:r>
          </w:p>
        </w:tc>
        <w:tc>
          <w:tcPr>
            <w:tcW w:w="1461" w:type="dxa"/>
            <w:shd w:val="clear" w:color="auto" w:fill="C6EFCE"/>
            <w:noWrap/>
          </w:tcPr>
          <w:p w14:paraId="1216C44C" w14:textId="77777777" w:rsidR="003C4798" w:rsidRDefault="00417595">
            <w:pPr>
              <w:pStyle w:val="P68B1DB1-Normal45"/>
              <w:spacing w:after="0" w:line="240" w:lineRule="auto"/>
              <w:rPr>
                <w:rFonts w:eastAsia="Times New Roman" w:cs="Times New Roman"/>
                <w:noProof/>
              </w:rPr>
            </w:pPr>
            <w:r>
              <w:rPr>
                <w:noProof/>
              </w:rPr>
              <w:t>G3.1.5 Construction de parcs éoliens en mer (Fonds pour l'énergie éolienne en mer)</w:t>
            </w:r>
          </w:p>
        </w:tc>
        <w:tc>
          <w:tcPr>
            <w:tcW w:w="1133" w:type="dxa"/>
            <w:shd w:val="clear" w:color="auto" w:fill="C6EFCE"/>
            <w:noWrap/>
          </w:tcPr>
          <w:p w14:paraId="1216C44D" w14:textId="77777777" w:rsidR="003C4798" w:rsidRDefault="00417595">
            <w:pPr>
              <w:pStyle w:val="P68B1DB1-Normal89"/>
              <w:spacing w:after="0" w:line="240" w:lineRule="auto"/>
              <w:jc w:val="center"/>
              <w:rPr>
                <w:rFonts w:eastAsia="Times New Roman" w:cs="Times New Roman"/>
                <w:noProof/>
                <w:szCs w:val="18"/>
              </w:rPr>
            </w:pPr>
            <w:r>
              <w:rPr>
                <w:noProof/>
              </w:rPr>
              <w:t>Étape</w:t>
            </w:r>
          </w:p>
        </w:tc>
        <w:tc>
          <w:tcPr>
            <w:tcW w:w="1792" w:type="dxa"/>
            <w:shd w:val="clear" w:color="auto" w:fill="C6EFCE"/>
            <w:noWrap/>
          </w:tcPr>
          <w:p w14:paraId="1216C44E" w14:textId="77777777" w:rsidR="003C4798" w:rsidRDefault="00417595">
            <w:pPr>
              <w:pStyle w:val="P68B1DB1-Normal89"/>
              <w:spacing w:after="0" w:line="240" w:lineRule="auto"/>
              <w:rPr>
                <w:rFonts w:eastAsia="Times New Roman" w:cs="Times New Roman"/>
                <w:noProof/>
                <w:szCs w:val="18"/>
              </w:rPr>
            </w:pPr>
            <w:r>
              <w:rPr>
                <w:noProof/>
              </w:rPr>
              <w:t>Le ministère a terminé l'investissement</w:t>
            </w:r>
          </w:p>
        </w:tc>
        <w:tc>
          <w:tcPr>
            <w:tcW w:w="1591" w:type="dxa"/>
            <w:shd w:val="clear" w:color="auto" w:fill="C6EFCE"/>
            <w:noWrap/>
          </w:tcPr>
          <w:p w14:paraId="1216C44F" w14:textId="77777777" w:rsidR="003C4798" w:rsidRDefault="00417595">
            <w:pPr>
              <w:pStyle w:val="P68B1DB1-Normal89"/>
              <w:spacing w:after="0" w:line="240" w:lineRule="auto"/>
              <w:rPr>
                <w:rFonts w:eastAsia="Times New Roman" w:cs="Times New Roman"/>
                <w:noProof/>
                <w:szCs w:val="18"/>
              </w:rPr>
            </w:pPr>
            <w:r>
              <w:rPr>
                <w:noProof/>
              </w:rPr>
              <w:t>Certificat de transfert</w:t>
            </w:r>
          </w:p>
        </w:tc>
        <w:tc>
          <w:tcPr>
            <w:tcW w:w="1067" w:type="dxa"/>
            <w:shd w:val="clear" w:color="auto" w:fill="C6EFCE"/>
            <w:noWrap/>
          </w:tcPr>
          <w:p w14:paraId="1216C450"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51"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452"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453" w14:textId="77777777" w:rsidR="003C4798" w:rsidRDefault="00417595">
            <w:pPr>
              <w:pStyle w:val="P68B1DB1-Normal89"/>
              <w:spacing w:after="0" w:line="240" w:lineRule="auto"/>
              <w:jc w:val="center"/>
              <w:rPr>
                <w:rFonts w:eastAsia="Times New Roman" w:cs="Times New Roman"/>
                <w:noProof/>
                <w:szCs w:val="18"/>
              </w:rPr>
            </w:pPr>
            <w:r>
              <w:rPr>
                <w:noProof/>
              </w:rPr>
              <w:t>T4</w:t>
            </w:r>
          </w:p>
        </w:tc>
        <w:tc>
          <w:tcPr>
            <w:tcW w:w="708" w:type="dxa"/>
            <w:shd w:val="clear" w:color="auto" w:fill="C6EFCE"/>
            <w:noWrap/>
          </w:tcPr>
          <w:p w14:paraId="1216C454" w14:textId="77777777" w:rsidR="003C4798" w:rsidRDefault="00417595">
            <w:pPr>
              <w:pStyle w:val="P68B1DB1-Normal89"/>
              <w:spacing w:after="0" w:line="240" w:lineRule="auto"/>
              <w:jc w:val="center"/>
              <w:rPr>
                <w:rFonts w:eastAsia="Times New Roman" w:cs="Times New Roman"/>
                <w:noProof/>
                <w:szCs w:val="18"/>
              </w:rPr>
            </w:pPr>
            <w:r>
              <w:rPr>
                <w:noProof/>
              </w:rPr>
              <w:t>2025</w:t>
            </w:r>
          </w:p>
        </w:tc>
        <w:tc>
          <w:tcPr>
            <w:tcW w:w="3974" w:type="dxa"/>
            <w:shd w:val="clear" w:color="auto" w:fill="C6EFCE"/>
            <w:noWrap/>
          </w:tcPr>
          <w:p w14:paraId="1216C455" w14:textId="77777777" w:rsidR="003C4798" w:rsidRDefault="00417595">
            <w:pPr>
              <w:pStyle w:val="P68B1DB1-Normal45"/>
              <w:spacing w:after="0" w:line="240" w:lineRule="auto"/>
              <w:rPr>
                <w:rFonts w:eastAsia="Times New Roman" w:cs="Times New Roman"/>
                <w:noProof/>
              </w:rPr>
            </w:pPr>
            <w:r>
              <w:rPr>
                <w:noProof/>
              </w:rPr>
              <w:t>La Pologne transfère 2 226 154 567 EUR à BGK pour la facilité.</w:t>
            </w:r>
          </w:p>
        </w:tc>
      </w:tr>
    </w:tbl>
    <w:p w14:paraId="1216C457" w14:textId="77777777" w:rsidR="003C4798" w:rsidRDefault="003C4798">
      <w:pPr>
        <w:spacing w:before="120" w:after="120" w:line="240" w:lineRule="auto"/>
        <w:jc w:val="both"/>
        <w:rPr>
          <w:rFonts w:ascii="Times New Roman" w:hAnsi="Times New Roman" w:cs="Times New Roman"/>
          <w:noProof/>
        </w:rPr>
      </w:pPr>
    </w:p>
    <w:p w14:paraId="1216C458" w14:textId="77777777" w:rsidR="003C4798" w:rsidRDefault="00417595">
      <w:pPr>
        <w:pStyle w:val="P68B1DB1-Normal93"/>
        <w:keepNext/>
        <w:pageBreakBefore/>
        <w:spacing w:before="120" w:after="120" w:line="240" w:lineRule="auto"/>
        <w:jc w:val="both"/>
        <w:rPr>
          <w:noProof/>
        </w:rPr>
      </w:pPr>
      <w:r>
        <w:rPr>
          <w:noProof/>
        </w:rPr>
        <w:t>Sous-composante G3.2 – Améliorer les infrastructures et les installations énergétiques pour répondre aux besoins immédiats en matière de sécurité d’approvisionnement en gaz</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1461"/>
        <w:gridCol w:w="1133"/>
        <w:gridCol w:w="1792"/>
        <w:gridCol w:w="1591"/>
        <w:gridCol w:w="1067"/>
        <w:gridCol w:w="936"/>
        <w:gridCol w:w="851"/>
        <w:gridCol w:w="993"/>
        <w:gridCol w:w="708"/>
        <w:gridCol w:w="3974"/>
      </w:tblGrid>
      <w:tr w:rsidR="003C4798" w14:paraId="1216C461" w14:textId="77777777" w:rsidTr="00DA6ACB">
        <w:trPr>
          <w:trHeight w:val="752"/>
          <w:tblHeader/>
          <w:jc w:val="center"/>
        </w:trPr>
        <w:tc>
          <w:tcPr>
            <w:tcW w:w="803" w:type="dxa"/>
            <w:vMerge w:val="restart"/>
            <w:shd w:val="clear" w:color="auto" w:fill="BDD7EE"/>
            <w:vAlign w:val="center"/>
            <w:hideMark/>
          </w:tcPr>
          <w:p w14:paraId="1216C459" w14:textId="77777777" w:rsidR="003C4798" w:rsidRDefault="00417595">
            <w:pPr>
              <w:pStyle w:val="P68B1DB1-Normal96"/>
              <w:spacing w:after="0" w:line="240" w:lineRule="auto"/>
              <w:jc w:val="center"/>
              <w:rPr>
                <w:rFonts w:eastAsia="Times New Roman" w:cs="Times New Roman"/>
                <w:noProof/>
                <w:szCs w:val="18"/>
              </w:rPr>
            </w:pPr>
            <w:r>
              <w:rPr>
                <w:noProof/>
              </w:rPr>
              <w:t>Seq. N°</w:t>
            </w:r>
          </w:p>
        </w:tc>
        <w:tc>
          <w:tcPr>
            <w:tcW w:w="1461" w:type="dxa"/>
            <w:vMerge w:val="restart"/>
            <w:shd w:val="clear" w:color="auto" w:fill="BDD7EE"/>
            <w:vAlign w:val="center"/>
            <w:hideMark/>
          </w:tcPr>
          <w:p w14:paraId="1216C45A" w14:textId="77777777" w:rsidR="003C4798" w:rsidRDefault="00417595">
            <w:pPr>
              <w:pStyle w:val="P68B1DB1-Normal88"/>
              <w:spacing w:after="0" w:line="240" w:lineRule="auto"/>
              <w:jc w:val="center"/>
              <w:rPr>
                <w:rFonts w:eastAsia="Times New Roman" w:cs="Times New Roman"/>
                <w:noProof/>
              </w:rPr>
            </w:pPr>
            <w:r>
              <w:rPr>
                <w:noProof/>
              </w:rPr>
              <w:t>Mesure connexe (réforme ou investissement)</w:t>
            </w:r>
          </w:p>
        </w:tc>
        <w:tc>
          <w:tcPr>
            <w:tcW w:w="1133" w:type="dxa"/>
            <w:vMerge w:val="restart"/>
            <w:shd w:val="clear" w:color="auto" w:fill="BDD7EE"/>
            <w:vAlign w:val="center"/>
            <w:hideMark/>
          </w:tcPr>
          <w:p w14:paraId="1216C45B" w14:textId="77777777" w:rsidR="003C4798" w:rsidRDefault="00417595">
            <w:pPr>
              <w:pStyle w:val="P68B1DB1-Normal88"/>
              <w:spacing w:after="0" w:line="240" w:lineRule="auto"/>
              <w:jc w:val="center"/>
              <w:rPr>
                <w:rFonts w:eastAsia="Times New Roman" w:cs="Times New Roman"/>
                <w:noProof/>
              </w:rPr>
            </w:pPr>
            <w:r>
              <w:rPr>
                <w:noProof/>
              </w:rPr>
              <w:t>Étape/cible</w:t>
            </w:r>
          </w:p>
        </w:tc>
        <w:tc>
          <w:tcPr>
            <w:tcW w:w="1792" w:type="dxa"/>
            <w:vMerge w:val="restart"/>
            <w:shd w:val="clear" w:color="auto" w:fill="BDD7EE"/>
            <w:vAlign w:val="center"/>
            <w:hideMark/>
          </w:tcPr>
          <w:p w14:paraId="1216C45C" w14:textId="77777777" w:rsidR="003C4798" w:rsidRDefault="00417595">
            <w:pPr>
              <w:pStyle w:val="P68B1DB1-Normal88"/>
              <w:spacing w:after="0" w:line="240" w:lineRule="auto"/>
              <w:jc w:val="center"/>
              <w:rPr>
                <w:rFonts w:eastAsia="Times New Roman" w:cs="Times New Roman"/>
                <w:noProof/>
              </w:rPr>
            </w:pPr>
            <w:r>
              <w:rPr>
                <w:noProof/>
              </w:rPr>
              <w:t>Nom</w:t>
            </w:r>
          </w:p>
        </w:tc>
        <w:tc>
          <w:tcPr>
            <w:tcW w:w="1591" w:type="dxa"/>
            <w:vMerge w:val="restart"/>
            <w:shd w:val="clear" w:color="auto" w:fill="BDD7EE"/>
            <w:vAlign w:val="center"/>
            <w:hideMark/>
          </w:tcPr>
          <w:p w14:paraId="1216C45D" w14:textId="359AE67E" w:rsidR="003C4798" w:rsidRDefault="00417595">
            <w:pPr>
              <w:pStyle w:val="P68B1DB1-Normal88"/>
              <w:spacing w:after="0" w:line="240" w:lineRule="auto"/>
              <w:jc w:val="center"/>
              <w:rPr>
                <w:rFonts w:eastAsia="Times New Roman" w:cs="Times New Roman"/>
                <w:noProof/>
              </w:rPr>
            </w:pPr>
            <w:r>
              <w:rPr>
                <w:noProof/>
              </w:rPr>
              <w:t>Indicateurs qualitatifs (pour les jalons)</w:t>
            </w:r>
          </w:p>
        </w:tc>
        <w:tc>
          <w:tcPr>
            <w:tcW w:w="2854" w:type="dxa"/>
            <w:gridSpan w:val="3"/>
            <w:shd w:val="clear" w:color="auto" w:fill="BDD7EE"/>
            <w:vAlign w:val="center"/>
            <w:hideMark/>
          </w:tcPr>
          <w:p w14:paraId="1216C45E" w14:textId="40274034" w:rsidR="003C4798" w:rsidRDefault="00417595">
            <w:pPr>
              <w:pStyle w:val="P68B1DB1-Normal88"/>
              <w:spacing w:after="0" w:line="240" w:lineRule="auto"/>
              <w:jc w:val="center"/>
              <w:rPr>
                <w:rFonts w:eastAsia="Times New Roman" w:cs="Times New Roman"/>
                <w:noProof/>
              </w:rPr>
            </w:pPr>
            <w:r>
              <w:rPr>
                <w:noProof/>
              </w:rPr>
              <w:t>Indicateurs quantitatifs (pour les objectifs)</w:t>
            </w:r>
          </w:p>
        </w:tc>
        <w:tc>
          <w:tcPr>
            <w:tcW w:w="1701" w:type="dxa"/>
            <w:gridSpan w:val="2"/>
            <w:shd w:val="clear" w:color="auto" w:fill="BDD7EE"/>
            <w:vAlign w:val="center"/>
            <w:hideMark/>
          </w:tcPr>
          <w:p w14:paraId="1216C45F" w14:textId="77777777" w:rsidR="003C4798" w:rsidRDefault="00417595">
            <w:pPr>
              <w:pStyle w:val="P68B1DB1-Normal88"/>
              <w:spacing w:after="0" w:line="240" w:lineRule="auto"/>
              <w:jc w:val="center"/>
              <w:rPr>
                <w:rFonts w:eastAsia="Times New Roman" w:cs="Times New Roman"/>
                <w:noProof/>
              </w:rPr>
            </w:pPr>
            <w:r>
              <w:rPr>
                <w:noProof/>
              </w:rPr>
              <w:t>Calendrier indicatif d'achèvement</w:t>
            </w:r>
          </w:p>
        </w:tc>
        <w:tc>
          <w:tcPr>
            <w:tcW w:w="3974" w:type="dxa"/>
            <w:vMerge w:val="restart"/>
            <w:shd w:val="clear" w:color="auto" w:fill="BDD7EE"/>
            <w:vAlign w:val="center"/>
            <w:hideMark/>
          </w:tcPr>
          <w:p w14:paraId="1216C460" w14:textId="77777777" w:rsidR="003C4798" w:rsidRDefault="00417595">
            <w:pPr>
              <w:pStyle w:val="P68B1DB1-Normal88"/>
              <w:spacing w:after="0" w:line="240" w:lineRule="auto"/>
              <w:jc w:val="center"/>
              <w:rPr>
                <w:rFonts w:eastAsia="Times New Roman" w:cs="Times New Roman"/>
                <w:noProof/>
              </w:rPr>
            </w:pPr>
            <w:r>
              <w:rPr>
                <w:noProof/>
              </w:rPr>
              <w:t>Description de chaque jalon et cible</w:t>
            </w:r>
          </w:p>
        </w:tc>
      </w:tr>
      <w:tr w:rsidR="003C4798" w14:paraId="1216C46D" w14:textId="77777777" w:rsidTr="00DA6ACB">
        <w:trPr>
          <w:trHeight w:val="705"/>
          <w:tblHeader/>
          <w:jc w:val="center"/>
        </w:trPr>
        <w:tc>
          <w:tcPr>
            <w:tcW w:w="803" w:type="dxa"/>
            <w:vMerge/>
            <w:hideMark/>
          </w:tcPr>
          <w:p w14:paraId="1216C462" w14:textId="77777777" w:rsidR="003C4798" w:rsidRDefault="003C4798">
            <w:pPr>
              <w:spacing w:after="0" w:line="240" w:lineRule="auto"/>
              <w:jc w:val="center"/>
              <w:rPr>
                <w:rFonts w:ascii="Times New Roman" w:eastAsia="Times New Roman" w:hAnsi="Times New Roman" w:cs="Times New Roman"/>
                <w:b/>
                <w:noProof/>
                <w:sz w:val="18"/>
                <w:szCs w:val="18"/>
              </w:rPr>
            </w:pPr>
          </w:p>
        </w:tc>
        <w:tc>
          <w:tcPr>
            <w:tcW w:w="1461" w:type="dxa"/>
            <w:vMerge/>
            <w:vAlign w:val="center"/>
            <w:hideMark/>
          </w:tcPr>
          <w:p w14:paraId="1216C463" w14:textId="77777777" w:rsidR="003C4798" w:rsidRDefault="003C4798">
            <w:pPr>
              <w:spacing w:after="0" w:line="240" w:lineRule="auto"/>
              <w:rPr>
                <w:rFonts w:ascii="Times New Roman" w:eastAsia="Times New Roman" w:hAnsi="Times New Roman" w:cs="Times New Roman"/>
                <w:b/>
                <w:bCs/>
                <w:noProof/>
              </w:rPr>
            </w:pPr>
          </w:p>
        </w:tc>
        <w:tc>
          <w:tcPr>
            <w:tcW w:w="1133" w:type="dxa"/>
            <w:vMerge/>
            <w:vAlign w:val="center"/>
            <w:hideMark/>
          </w:tcPr>
          <w:p w14:paraId="1216C464" w14:textId="77777777" w:rsidR="003C4798" w:rsidRDefault="003C4798">
            <w:pPr>
              <w:spacing w:after="0" w:line="240" w:lineRule="auto"/>
              <w:jc w:val="center"/>
              <w:rPr>
                <w:rFonts w:ascii="Times New Roman" w:eastAsia="Times New Roman" w:hAnsi="Times New Roman" w:cs="Times New Roman"/>
                <w:b/>
                <w:bCs/>
                <w:noProof/>
              </w:rPr>
            </w:pPr>
          </w:p>
        </w:tc>
        <w:tc>
          <w:tcPr>
            <w:tcW w:w="1792" w:type="dxa"/>
            <w:vMerge/>
            <w:vAlign w:val="center"/>
            <w:hideMark/>
          </w:tcPr>
          <w:p w14:paraId="1216C465" w14:textId="77777777" w:rsidR="003C4798" w:rsidRDefault="003C4798">
            <w:pPr>
              <w:spacing w:after="0" w:line="240" w:lineRule="auto"/>
              <w:rPr>
                <w:rFonts w:ascii="Times New Roman" w:eastAsia="Times New Roman" w:hAnsi="Times New Roman" w:cs="Times New Roman"/>
                <w:b/>
                <w:bCs/>
                <w:noProof/>
              </w:rPr>
            </w:pPr>
          </w:p>
        </w:tc>
        <w:tc>
          <w:tcPr>
            <w:tcW w:w="1591" w:type="dxa"/>
            <w:vMerge/>
            <w:vAlign w:val="center"/>
            <w:hideMark/>
          </w:tcPr>
          <w:p w14:paraId="1216C466" w14:textId="77777777" w:rsidR="003C4798" w:rsidRDefault="003C4798">
            <w:pPr>
              <w:spacing w:after="0" w:line="240" w:lineRule="auto"/>
              <w:rPr>
                <w:rFonts w:ascii="Times New Roman" w:eastAsia="Times New Roman" w:hAnsi="Times New Roman" w:cs="Times New Roman"/>
                <w:b/>
                <w:bCs/>
                <w:noProof/>
              </w:rPr>
            </w:pPr>
          </w:p>
        </w:tc>
        <w:tc>
          <w:tcPr>
            <w:tcW w:w="1067" w:type="dxa"/>
            <w:shd w:val="clear" w:color="auto" w:fill="BDD7EE"/>
            <w:vAlign w:val="center"/>
            <w:hideMark/>
          </w:tcPr>
          <w:p w14:paraId="1216C467" w14:textId="77777777" w:rsidR="003C4798" w:rsidRDefault="00417595">
            <w:pPr>
              <w:pStyle w:val="P68B1DB1-Normal96"/>
              <w:spacing w:after="0" w:line="240" w:lineRule="auto"/>
              <w:jc w:val="center"/>
              <w:rPr>
                <w:rFonts w:eastAsia="Times New Roman" w:cs="Times New Roman"/>
                <w:noProof/>
                <w:szCs w:val="18"/>
              </w:rPr>
            </w:pPr>
            <w:r>
              <w:rPr>
                <w:noProof/>
              </w:rPr>
              <w:t>Unité de mesure</w:t>
            </w:r>
          </w:p>
        </w:tc>
        <w:tc>
          <w:tcPr>
            <w:tcW w:w="936" w:type="dxa"/>
            <w:shd w:val="clear" w:color="auto" w:fill="BDD7EE"/>
            <w:vAlign w:val="center"/>
            <w:hideMark/>
          </w:tcPr>
          <w:p w14:paraId="1216C468" w14:textId="77777777" w:rsidR="003C4798" w:rsidRDefault="00417595">
            <w:pPr>
              <w:pStyle w:val="P68B1DB1-Normal96"/>
              <w:spacing w:after="0" w:line="240" w:lineRule="auto"/>
              <w:jc w:val="center"/>
              <w:rPr>
                <w:rFonts w:eastAsia="Times New Roman" w:cs="Times New Roman"/>
                <w:noProof/>
                <w:szCs w:val="18"/>
              </w:rPr>
            </w:pPr>
            <w:r>
              <w:rPr>
                <w:noProof/>
              </w:rPr>
              <w:t>Données de référence</w:t>
            </w:r>
          </w:p>
        </w:tc>
        <w:tc>
          <w:tcPr>
            <w:tcW w:w="851" w:type="dxa"/>
            <w:shd w:val="clear" w:color="auto" w:fill="BDD7EE"/>
            <w:vAlign w:val="center"/>
            <w:hideMark/>
          </w:tcPr>
          <w:p w14:paraId="1216C469" w14:textId="77777777" w:rsidR="003C4798" w:rsidRDefault="00417595">
            <w:pPr>
              <w:pStyle w:val="P68B1DB1-Normal96"/>
              <w:spacing w:after="0" w:line="240" w:lineRule="auto"/>
              <w:jc w:val="center"/>
              <w:rPr>
                <w:rFonts w:eastAsia="Times New Roman" w:cs="Times New Roman"/>
                <w:noProof/>
                <w:szCs w:val="18"/>
              </w:rPr>
            </w:pPr>
            <w:r>
              <w:rPr>
                <w:noProof/>
              </w:rPr>
              <w:t>Objectif</w:t>
            </w:r>
          </w:p>
        </w:tc>
        <w:tc>
          <w:tcPr>
            <w:tcW w:w="993" w:type="dxa"/>
            <w:shd w:val="clear" w:color="auto" w:fill="BDD7EE"/>
            <w:vAlign w:val="center"/>
            <w:hideMark/>
          </w:tcPr>
          <w:p w14:paraId="1216C46A" w14:textId="77777777" w:rsidR="003C4798" w:rsidRDefault="00417595">
            <w:pPr>
              <w:pStyle w:val="P68B1DB1-Normal96"/>
              <w:spacing w:after="0" w:line="240" w:lineRule="auto"/>
              <w:jc w:val="center"/>
              <w:rPr>
                <w:rFonts w:eastAsia="Times New Roman" w:cs="Times New Roman"/>
                <w:noProof/>
                <w:szCs w:val="18"/>
              </w:rPr>
            </w:pPr>
            <w:r>
              <w:rPr>
                <w:noProof/>
              </w:rPr>
              <w:t>Trimestre</w:t>
            </w:r>
          </w:p>
        </w:tc>
        <w:tc>
          <w:tcPr>
            <w:tcW w:w="708" w:type="dxa"/>
            <w:shd w:val="clear" w:color="auto" w:fill="BDD7EE"/>
            <w:vAlign w:val="center"/>
            <w:hideMark/>
          </w:tcPr>
          <w:p w14:paraId="1216C46B" w14:textId="77777777" w:rsidR="003C4798" w:rsidRDefault="00417595">
            <w:pPr>
              <w:pStyle w:val="P68B1DB1-Normal96"/>
              <w:spacing w:after="0" w:line="240" w:lineRule="auto"/>
              <w:jc w:val="center"/>
              <w:rPr>
                <w:rFonts w:eastAsia="Times New Roman" w:cs="Times New Roman"/>
                <w:noProof/>
                <w:szCs w:val="18"/>
              </w:rPr>
            </w:pPr>
            <w:r>
              <w:rPr>
                <w:noProof/>
              </w:rPr>
              <w:t>Année</w:t>
            </w:r>
          </w:p>
        </w:tc>
        <w:tc>
          <w:tcPr>
            <w:tcW w:w="3974" w:type="dxa"/>
            <w:vMerge/>
            <w:vAlign w:val="center"/>
            <w:hideMark/>
          </w:tcPr>
          <w:p w14:paraId="1216C46C" w14:textId="77777777" w:rsidR="003C4798" w:rsidRDefault="003C4798">
            <w:pPr>
              <w:spacing w:after="0" w:line="240" w:lineRule="auto"/>
              <w:rPr>
                <w:rFonts w:ascii="Times New Roman" w:eastAsia="Times New Roman" w:hAnsi="Times New Roman" w:cs="Times New Roman"/>
                <w:b/>
                <w:bCs/>
                <w:noProof/>
              </w:rPr>
            </w:pPr>
          </w:p>
        </w:tc>
      </w:tr>
      <w:tr w:rsidR="003C4798" w14:paraId="1216C479" w14:textId="77777777" w:rsidTr="00DA6ACB">
        <w:trPr>
          <w:trHeight w:val="309"/>
          <w:jc w:val="center"/>
        </w:trPr>
        <w:tc>
          <w:tcPr>
            <w:tcW w:w="803" w:type="dxa"/>
            <w:shd w:val="clear" w:color="auto" w:fill="C6EFCE"/>
            <w:noWrap/>
          </w:tcPr>
          <w:p w14:paraId="1216C46E" w14:textId="77777777" w:rsidR="003C4798" w:rsidRDefault="00417595">
            <w:pPr>
              <w:pStyle w:val="P68B1DB1-Normal44"/>
              <w:spacing w:after="0" w:line="240" w:lineRule="auto"/>
              <w:jc w:val="center"/>
              <w:rPr>
                <w:rFonts w:eastAsia="Times New Roman" w:cs="Times New Roman"/>
                <w:noProof/>
                <w:color w:val="000000"/>
                <w:szCs w:val="18"/>
              </w:rPr>
            </w:pPr>
            <w:r>
              <w:rPr>
                <w:noProof/>
              </w:rPr>
              <w:t>G20L</w:t>
            </w:r>
          </w:p>
        </w:tc>
        <w:tc>
          <w:tcPr>
            <w:tcW w:w="1461" w:type="dxa"/>
            <w:shd w:val="clear" w:color="auto" w:fill="C6EFCE"/>
            <w:noWrap/>
          </w:tcPr>
          <w:p w14:paraId="1216C46F" w14:textId="77777777" w:rsidR="003C4798" w:rsidRDefault="00417595">
            <w:pPr>
              <w:pStyle w:val="P68B1DB1-Normal44"/>
              <w:spacing w:after="0" w:line="240" w:lineRule="auto"/>
              <w:rPr>
                <w:rFonts w:eastAsia="Times New Roman" w:cs="Times New Roman"/>
                <w:noProof/>
                <w:color w:val="000000"/>
                <w:szCs w:val="18"/>
              </w:rPr>
            </w:pPr>
            <w:r>
              <w:rPr>
                <w:noProof/>
              </w:rPr>
              <w:t xml:space="preserve">G3.2.1 Construction d'infrastructures de gaz naturel pour assurer la sécurité énergétique </w:t>
            </w:r>
          </w:p>
        </w:tc>
        <w:tc>
          <w:tcPr>
            <w:tcW w:w="1133" w:type="dxa"/>
            <w:shd w:val="clear" w:color="auto" w:fill="C6EFCE"/>
            <w:noWrap/>
          </w:tcPr>
          <w:p w14:paraId="1216C470" w14:textId="77777777" w:rsidR="003C4798" w:rsidRDefault="00417595">
            <w:pPr>
              <w:pStyle w:val="P68B1DB1-Normal44"/>
              <w:spacing w:after="0" w:line="240" w:lineRule="auto"/>
              <w:jc w:val="center"/>
              <w:rPr>
                <w:rFonts w:eastAsia="Times New Roman" w:cs="Times New Roman"/>
                <w:noProof/>
                <w:color w:val="000000"/>
                <w:szCs w:val="18"/>
              </w:rPr>
            </w:pPr>
            <w:r>
              <w:rPr>
                <w:noProof/>
              </w:rPr>
              <w:t>Étape</w:t>
            </w:r>
          </w:p>
        </w:tc>
        <w:tc>
          <w:tcPr>
            <w:tcW w:w="1792" w:type="dxa"/>
            <w:shd w:val="clear" w:color="auto" w:fill="C6EFCE"/>
            <w:noWrap/>
          </w:tcPr>
          <w:p w14:paraId="1216C471" w14:textId="77777777" w:rsidR="003C4798" w:rsidRDefault="00417595">
            <w:pPr>
              <w:pStyle w:val="P68B1DB1-Normal44"/>
              <w:spacing w:after="0" w:line="240" w:lineRule="auto"/>
              <w:rPr>
                <w:rFonts w:eastAsia="Times New Roman" w:cs="Times New Roman"/>
                <w:noProof/>
                <w:color w:val="000000"/>
                <w:szCs w:val="18"/>
              </w:rPr>
            </w:pPr>
            <w:r>
              <w:rPr>
                <w:noProof/>
              </w:rPr>
              <w:t>Livraison des permis de construire</w:t>
            </w:r>
          </w:p>
        </w:tc>
        <w:tc>
          <w:tcPr>
            <w:tcW w:w="1591" w:type="dxa"/>
            <w:shd w:val="clear" w:color="auto" w:fill="C6EFCE"/>
            <w:noWrap/>
          </w:tcPr>
          <w:p w14:paraId="1216C472" w14:textId="77777777" w:rsidR="003C4798" w:rsidRDefault="00417595">
            <w:pPr>
              <w:pStyle w:val="P68B1DB1-Normal44"/>
              <w:spacing w:after="0" w:line="240" w:lineRule="auto"/>
              <w:rPr>
                <w:rFonts w:eastAsia="Times New Roman" w:cs="Times New Roman"/>
                <w:noProof/>
                <w:color w:val="000000"/>
                <w:szCs w:val="18"/>
              </w:rPr>
            </w:pPr>
            <w:r>
              <w:rPr>
                <w:noProof/>
              </w:rPr>
              <w:t>Octroi de permis de construire</w:t>
            </w:r>
          </w:p>
        </w:tc>
        <w:tc>
          <w:tcPr>
            <w:tcW w:w="1067" w:type="dxa"/>
            <w:shd w:val="clear" w:color="auto" w:fill="C6EFCE"/>
            <w:noWrap/>
          </w:tcPr>
          <w:p w14:paraId="1216C473" w14:textId="77777777" w:rsidR="003C4798" w:rsidRDefault="003C4798">
            <w:pPr>
              <w:spacing w:after="0" w:line="240" w:lineRule="auto"/>
              <w:jc w:val="center"/>
              <w:rPr>
                <w:rFonts w:ascii="Times New Roman" w:eastAsia="Times New Roman" w:hAnsi="Times New Roman" w:cs="Times New Roman"/>
                <w:noProof/>
                <w:color w:val="000000"/>
                <w:sz w:val="18"/>
                <w:szCs w:val="18"/>
              </w:rPr>
            </w:pPr>
          </w:p>
        </w:tc>
        <w:tc>
          <w:tcPr>
            <w:tcW w:w="936" w:type="dxa"/>
            <w:shd w:val="clear" w:color="auto" w:fill="C6EFCE"/>
            <w:noWrap/>
          </w:tcPr>
          <w:p w14:paraId="1216C474" w14:textId="77777777" w:rsidR="003C4798" w:rsidRDefault="003C4798">
            <w:pPr>
              <w:spacing w:after="0" w:line="240" w:lineRule="auto"/>
              <w:jc w:val="center"/>
              <w:rPr>
                <w:rFonts w:ascii="Times New Roman" w:eastAsia="Times New Roman" w:hAnsi="Times New Roman" w:cs="Times New Roman"/>
                <w:noProof/>
                <w:color w:val="000000"/>
                <w:sz w:val="18"/>
                <w:szCs w:val="18"/>
              </w:rPr>
            </w:pPr>
          </w:p>
        </w:tc>
        <w:tc>
          <w:tcPr>
            <w:tcW w:w="851" w:type="dxa"/>
            <w:shd w:val="clear" w:color="auto" w:fill="C6EFCE"/>
            <w:noWrap/>
          </w:tcPr>
          <w:p w14:paraId="1216C475" w14:textId="77777777" w:rsidR="003C4798" w:rsidRDefault="003C4798">
            <w:pPr>
              <w:spacing w:after="0" w:line="240" w:lineRule="auto"/>
              <w:jc w:val="center"/>
              <w:rPr>
                <w:rFonts w:ascii="Times New Roman" w:eastAsia="Times New Roman" w:hAnsi="Times New Roman" w:cs="Times New Roman"/>
                <w:noProof/>
                <w:color w:val="000000"/>
                <w:sz w:val="18"/>
                <w:szCs w:val="18"/>
              </w:rPr>
            </w:pPr>
          </w:p>
        </w:tc>
        <w:tc>
          <w:tcPr>
            <w:tcW w:w="993" w:type="dxa"/>
            <w:shd w:val="clear" w:color="auto" w:fill="C6EFCE"/>
            <w:noWrap/>
          </w:tcPr>
          <w:p w14:paraId="1216C476" w14:textId="77777777" w:rsidR="003C4798" w:rsidRDefault="00417595">
            <w:pPr>
              <w:pStyle w:val="P68B1DB1-Normal44"/>
              <w:spacing w:after="0" w:line="240" w:lineRule="auto"/>
              <w:jc w:val="center"/>
              <w:rPr>
                <w:rFonts w:eastAsia="Times New Roman" w:cs="Times New Roman"/>
                <w:noProof/>
                <w:color w:val="000000"/>
                <w:szCs w:val="18"/>
              </w:rPr>
            </w:pPr>
            <w:r>
              <w:rPr>
                <w:noProof/>
              </w:rPr>
              <w:t>T2</w:t>
            </w:r>
          </w:p>
        </w:tc>
        <w:tc>
          <w:tcPr>
            <w:tcW w:w="708" w:type="dxa"/>
            <w:shd w:val="clear" w:color="auto" w:fill="C6EFCE"/>
            <w:noWrap/>
          </w:tcPr>
          <w:p w14:paraId="1216C477" w14:textId="77777777" w:rsidR="003C4798" w:rsidRDefault="00417595">
            <w:pPr>
              <w:pStyle w:val="P68B1DB1-Normal44"/>
              <w:spacing w:after="0" w:line="240" w:lineRule="auto"/>
              <w:jc w:val="center"/>
              <w:rPr>
                <w:rFonts w:eastAsia="Times New Roman" w:cs="Times New Roman"/>
                <w:noProof/>
                <w:color w:val="000000"/>
                <w:szCs w:val="18"/>
              </w:rPr>
            </w:pPr>
            <w:r>
              <w:rPr>
                <w:noProof/>
              </w:rPr>
              <w:t>2024</w:t>
            </w:r>
          </w:p>
        </w:tc>
        <w:tc>
          <w:tcPr>
            <w:tcW w:w="3974" w:type="dxa"/>
            <w:shd w:val="clear" w:color="auto" w:fill="C6EFCE"/>
            <w:noWrap/>
          </w:tcPr>
          <w:p w14:paraId="1216C478" w14:textId="77777777" w:rsidR="003C4798" w:rsidRDefault="00417595">
            <w:pPr>
              <w:pStyle w:val="P68B1DB1-Normal44"/>
              <w:spacing w:after="0" w:line="240" w:lineRule="auto"/>
              <w:rPr>
                <w:rFonts w:eastAsia="Times New Roman" w:cs="Times New Roman"/>
                <w:noProof/>
                <w:color w:val="000000"/>
                <w:szCs w:val="18"/>
              </w:rPr>
            </w:pPr>
            <w:r>
              <w:rPr>
                <w:noProof/>
              </w:rPr>
              <w:t>Les permis de construire pour les gazoducs de Gdańsk et de Gustorzyn ont été délivrés.</w:t>
            </w:r>
          </w:p>
        </w:tc>
      </w:tr>
      <w:tr w:rsidR="003C4798" w14:paraId="1216C485" w14:textId="77777777" w:rsidTr="00DA6ACB">
        <w:trPr>
          <w:trHeight w:val="309"/>
          <w:jc w:val="center"/>
        </w:trPr>
        <w:tc>
          <w:tcPr>
            <w:tcW w:w="803" w:type="dxa"/>
            <w:shd w:val="clear" w:color="auto" w:fill="C6EFCE"/>
            <w:noWrap/>
          </w:tcPr>
          <w:p w14:paraId="1216C47A" w14:textId="77777777" w:rsidR="003C4798" w:rsidRDefault="00417595">
            <w:pPr>
              <w:pStyle w:val="P68B1DB1-Normal89"/>
              <w:spacing w:after="0" w:line="240" w:lineRule="auto"/>
              <w:jc w:val="center"/>
              <w:rPr>
                <w:rFonts w:eastAsia="Times New Roman" w:cs="Times New Roman"/>
                <w:noProof/>
                <w:szCs w:val="18"/>
              </w:rPr>
            </w:pPr>
            <w:r>
              <w:rPr>
                <w:noProof/>
                <w:color w:val="000000"/>
              </w:rPr>
              <w:t>G21L</w:t>
            </w:r>
            <w:r>
              <w:rPr>
                <w:noProof/>
                <w:color w:val="0078D4"/>
              </w:rPr>
              <w:t xml:space="preserve"> </w:t>
            </w:r>
          </w:p>
        </w:tc>
        <w:tc>
          <w:tcPr>
            <w:tcW w:w="1461" w:type="dxa"/>
            <w:shd w:val="clear" w:color="auto" w:fill="C6EFCE"/>
            <w:noWrap/>
          </w:tcPr>
          <w:p w14:paraId="1216C47B" w14:textId="77777777" w:rsidR="003C4798" w:rsidRDefault="00417595">
            <w:pPr>
              <w:pStyle w:val="P68B1DB1-Normal89"/>
              <w:spacing w:after="0" w:line="240" w:lineRule="auto"/>
              <w:rPr>
                <w:rFonts w:eastAsia="Times New Roman" w:cs="Times New Roman"/>
                <w:noProof/>
                <w:szCs w:val="18"/>
              </w:rPr>
            </w:pPr>
            <w:r>
              <w:rPr>
                <w:noProof/>
                <w:color w:val="000000"/>
              </w:rPr>
              <w:t> G3.2.1 Construction d'infrastructures de gaz naturel pour assurer la sécurité énergétique</w:t>
            </w:r>
            <w:r>
              <w:rPr>
                <w:noProof/>
                <w:color w:val="0078D4"/>
              </w:rPr>
              <w:t xml:space="preserve"> </w:t>
            </w:r>
          </w:p>
        </w:tc>
        <w:tc>
          <w:tcPr>
            <w:tcW w:w="1133" w:type="dxa"/>
            <w:shd w:val="clear" w:color="auto" w:fill="C6EFCE"/>
            <w:noWrap/>
          </w:tcPr>
          <w:p w14:paraId="1216C47C" w14:textId="77777777" w:rsidR="003C4798" w:rsidRDefault="00417595">
            <w:pPr>
              <w:pStyle w:val="P68B1DB1-Normal44"/>
              <w:spacing w:after="0" w:line="240" w:lineRule="auto"/>
              <w:jc w:val="center"/>
              <w:rPr>
                <w:rFonts w:eastAsia="Times New Roman" w:cs="Times New Roman"/>
                <w:noProof/>
                <w:szCs w:val="18"/>
              </w:rPr>
            </w:pPr>
            <w:r>
              <w:rPr>
                <w:noProof/>
              </w:rPr>
              <w:t>Étape</w:t>
            </w:r>
          </w:p>
        </w:tc>
        <w:tc>
          <w:tcPr>
            <w:tcW w:w="1792" w:type="dxa"/>
            <w:shd w:val="clear" w:color="auto" w:fill="C6EFCE"/>
            <w:noWrap/>
          </w:tcPr>
          <w:p w14:paraId="1216C47D" w14:textId="77777777" w:rsidR="003C4798" w:rsidRDefault="00417595">
            <w:pPr>
              <w:pStyle w:val="P68B1DB1-Normal89"/>
              <w:spacing w:after="0" w:line="240" w:lineRule="auto"/>
              <w:rPr>
                <w:rFonts w:eastAsia="Times New Roman" w:cs="Times New Roman"/>
                <w:noProof/>
                <w:szCs w:val="18"/>
              </w:rPr>
            </w:pPr>
            <w:r>
              <w:rPr>
                <w:noProof/>
                <w:color w:val="000000"/>
              </w:rPr>
              <w:t xml:space="preserve">Sélection du </w:t>
            </w:r>
            <w:r>
              <w:rPr>
                <w:noProof/>
                <w:szCs w:val="18"/>
              </w:rPr>
              <w:t>ou des contractant(s)</w:t>
            </w:r>
          </w:p>
        </w:tc>
        <w:tc>
          <w:tcPr>
            <w:tcW w:w="1591" w:type="dxa"/>
            <w:shd w:val="clear" w:color="auto" w:fill="C6EFCE"/>
            <w:noWrap/>
          </w:tcPr>
          <w:p w14:paraId="1216C47E" w14:textId="77777777" w:rsidR="003C4798" w:rsidRDefault="00417595">
            <w:pPr>
              <w:pStyle w:val="P68B1DB1-Normal45"/>
              <w:spacing w:after="0" w:line="240" w:lineRule="auto"/>
              <w:rPr>
                <w:rFonts w:eastAsia="Times New Roman" w:cs="Times New Roman"/>
                <w:noProof/>
              </w:rPr>
            </w:pPr>
            <w:r>
              <w:rPr>
                <w:noProof/>
                <w:color w:val="000000"/>
              </w:rPr>
              <w:t xml:space="preserve">Notification de l’attribution du </w:t>
            </w:r>
            <w:r>
              <w:rPr>
                <w:noProof/>
              </w:rPr>
              <w:t>ou des marchés</w:t>
            </w:r>
          </w:p>
        </w:tc>
        <w:tc>
          <w:tcPr>
            <w:tcW w:w="1067" w:type="dxa"/>
            <w:shd w:val="clear" w:color="auto" w:fill="C6EFCE"/>
            <w:noWrap/>
          </w:tcPr>
          <w:p w14:paraId="1216C47F"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80"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481"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482" w14:textId="77777777" w:rsidR="003C4798" w:rsidRDefault="00417595">
            <w:pPr>
              <w:pStyle w:val="P68B1DB1-Normal44"/>
              <w:spacing w:after="0" w:line="240" w:lineRule="auto"/>
              <w:jc w:val="center"/>
              <w:rPr>
                <w:rFonts w:eastAsia="Times New Roman" w:cs="Times New Roman"/>
                <w:noProof/>
                <w:szCs w:val="18"/>
              </w:rPr>
            </w:pPr>
            <w:r>
              <w:rPr>
                <w:noProof/>
              </w:rPr>
              <w:t>T1</w:t>
            </w:r>
          </w:p>
        </w:tc>
        <w:tc>
          <w:tcPr>
            <w:tcW w:w="708" w:type="dxa"/>
            <w:shd w:val="clear" w:color="auto" w:fill="C6EFCE"/>
            <w:noWrap/>
          </w:tcPr>
          <w:p w14:paraId="1216C483" w14:textId="77777777" w:rsidR="003C4798" w:rsidRDefault="00417595">
            <w:pPr>
              <w:pStyle w:val="P68B1DB1-Normal44"/>
              <w:spacing w:after="0" w:line="240" w:lineRule="auto"/>
              <w:jc w:val="center"/>
              <w:rPr>
                <w:rFonts w:eastAsia="Times New Roman" w:cs="Times New Roman"/>
                <w:noProof/>
                <w:szCs w:val="18"/>
              </w:rPr>
            </w:pPr>
            <w:r>
              <w:rPr>
                <w:noProof/>
              </w:rPr>
              <w:t>2025</w:t>
            </w:r>
          </w:p>
        </w:tc>
        <w:tc>
          <w:tcPr>
            <w:tcW w:w="3974" w:type="dxa"/>
            <w:shd w:val="clear" w:color="auto" w:fill="C6EFCE"/>
            <w:noWrap/>
          </w:tcPr>
          <w:p w14:paraId="1216C484" w14:textId="40701EC3" w:rsidR="003C4798" w:rsidRDefault="00417595">
            <w:pPr>
              <w:pStyle w:val="P68B1DB1-Normal26"/>
              <w:spacing w:after="0" w:line="240" w:lineRule="auto"/>
              <w:rPr>
                <w:rFonts w:eastAsia="Times New Roman" w:cs="Times New Roman"/>
                <w:noProof/>
              </w:rPr>
            </w:pPr>
            <w:r>
              <w:rPr>
                <w:noProof/>
              </w:rPr>
              <w:t>Notification de l’attribution du ou des marchés pour les travaux de construction du gazoduc Gdańsk-Gustorzyn.</w:t>
            </w:r>
          </w:p>
        </w:tc>
      </w:tr>
      <w:tr w:rsidR="003C4798" w14:paraId="1216C491" w14:textId="77777777" w:rsidTr="00DA6ACB">
        <w:trPr>
          <w:trHeight w:val="309"/>
          <w:jc w:val="center"/>
        </w:trPr>
        <w:tc>
          <w:tcPr>
            <w:tcW w:w="803" w:type="dxa"/>
            <w:shd w:val="clear" w:color="auto" w:fill="C6EFCE"/>
            <w:noWrap/>
          </w:tcPr>
          <w:p w14:paraId="1216C486" w14:textId="77777777" w:rsidR="003C4798" w:rsidRDefault="00417595">
            <w:pPr>
              <w:pStyle w:val="P68B1DB1-Normal45"/>
              <w:spacing w:after="0" w:line="240" w:lineRule="auto"/>
              <w:jc w:val="center"/>
              <w:rPr>
                <w:rFonts w:eastAsia="Times New Roman" w:cs="Times New Roman"/>
                <w:noProof/>
              </w:rPr>
            </w:pPr>
            <w:r>
              <w:rPr>
                <w:noProof/>
                <w:color w:val="000000"/>
              </w:rPr>
              <w:t>G23L</w:t>
            </w:r>
            <w:r>
              <w:rPr>
                <w:noProof/>
                <w:color w:val="0078D4"/>
              </w:rPr>
              <w:t xml:space="preserve"> </w:t>
            </w:r>
          </w:p>
        </w:tc>
        <w:tc>
          <w:tcPr>
            <w:tcW w:w="1461" w:type="dxa"/>
            <w:shd w:val="clear" w:color="auto" w:fill="C6EFCE"/>
            <w:noWrap/>
          </w:tcPr>
          <w:p w14:paraId="1216C487" w14:textId="77777777" w:rsidR="003C4798" w:rsidRDefault="00417595">
            <w:pPr>
              <w:pStyle w:val="P68B1DB1-Normal89"/>
              <w:spacing w:after="0" w:line="240" w:lineRule="auto"/>
              <w:rPr>
                <w:rFonts w:eastAsia="Times New Roman" w:cs="Times New Roman"/>
                <w:noProof/>
                <w:szCs w:val="18"/>
              </w:rPr>
            </w:pPr>
            <w:r>
              <w:rPr>
                <w:noProof/>
                <w:color w:val="000000"/>
              </w:rPr>
              <w:t> G3.2.1 Construction d'infrastructures de gaz naturel pour assurer la sécurité énergétique</w:t>
            </w:r>
            <w:r>
              <w:rPr>
                <w:noProof/>
                <w:color w:val="0078D4"/>
              </w:rPr>
              <w:t xml:space="preserve"> </w:t>
            </w:r>
          </w:p>
        </w:tc>
        <w:tc>
          <w:tcPr>
            <w:tcW w:w="1133" w:type="dxa"/>
            <w:shd w:val="clear" w:color="auto" w:fill="C6EFCE"/>
            <w:noWrap/>
          </w:tcPr>
          <w:p w14:paraId="1216C488" w14:textId="77777777" w:rsidR="003C4798" w:rsidRDefault="00417595">
            <w:pPr>
              <w:pStyle w:val="P68B1DB1-Normal89"/>
              <w:spacing w:after="0" w:line="240" w:lineRule="auto"/>
              <w:jc w:val="center"/>
              <w:rPr>
                <w:rFonts w:eastAsia="Times New Roman" w:cs="Times New Roman"/>
                <w:noProof/>
                <w:szCs w:val="18"/>
              </w:rPr>
            </w:pPr>
            <w:r>
              <w:rPr>
                <w:noProof/>
              </w:rPr>
              <w:t>Étape</w:t>
            </w:r>
          </w:p>
        </w:tc>
        <w:tc>
          <w:tcPr>
            <w:tcW w:w="1792" w:type="dxa"/>
            <w:shd w:val="clear" w:color="auto" w:fill="C6EFCE"/>
            <w:noWrap/>
          </w:tcPr>
          <w:p w14:paraId="1216C489" w14:textId="77777777" w:rsidR="003C4798" w:rsidRDefault="00417595">
            <w:pPr>
              <w:pStyle w:val="P68B1DB1-Normal89"/>
              <w:spacing w:after="0" w:line="240" w:lineRule="auto"/>
              <w:rPr>
                <w:rFonts w:eastAsia="Times New Roman" w:cs="Times New Roman"/>
                <w:noProof/>
                <w:szCs w:val="18"/>
              </w:rPr>
            </w:pPr>
            <w:r>
              <w:rPr>
                <w:noProof/>
              </w:rPr>
              <w:t>Construction du gazoduc</w:t>
            </w:r>
          </w:p>
        </w:tc>
        <w:tc>
          <w:tcPr>
            <w:tcW w:w="1591" w:type="dxa"/>
            <w:shd w:val="clear" w:color="auto" w:fill="C6EFCE"/>
            <w:noWrap/>
          </w:tcPr>
          <w:p w14:paraId="1216C48A" w14:textId="77777777" w:rsidR="003C4798" w:rsidRDefault="00417595">
            <w:pPr>
              <w:pStyle w:val="P68B1DB1-Normal89"/>
              <w:spacing w:after="0" w:line="240" w:lineRule="auto"/>
              <w:rPr>
                <w:rFonts w:eastAsia="Times New Roman" w:cs="Times New Roman"/>
                <w:noProof/>
                <w:szCs w:val="18"/>
              </w:rPr>
            </w:pPr>
            <w:r>
              <w:rPr>
                <w:noProof/>
              </w:rPr>
              <w:t>Réception technique du gazoduc</w:t>
            </w:r>
          </w:p>
        </w:tc>
        <w:tc>
          <w:tcPr>
            <w:tcW w:w="1067" w:type="dxa"/>
            <w:shd w:val="clear" w:color="auto" w:fill="C6EFCE"/>
            <w:noWrap/>
          </w:tcPr>
          <w:p w14:paraId="1216C48B"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8C"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48D" w14:textId="77777777" w:rsidR="003C4798" w:rsidRDefault="003C4798">
            <w:pPr>
              <w:spacing w:after="0"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48E" w14:textId="77777777" w:rsidR="003C4798" w:rsidRDefault="00417595">
            <w:pPr>
              <w:pStyle w:val="P68B1DB1-Normal89"/>
              <w:spacing w:after="0" w:line="240" w:lineRule="auto"/>
              <w:jc w:val="center"/>
              <w:rPr>
                <w:rFonts w:eastAsia="Times New Roman" w:cs="Times New Roman"/>
                <w:noProof/>
                <w:szCs w:val="18"/>
              </w:rPr>
            </w:pPr>
            <w:r>
              <w:rPr>
                <w:noProof/>
              </w:rPr>
              <w:t>T3</w:t>
            </w:r>
          </w:p>
        </w:tc>
        <w:tc>
          <w:tcPr>
            <w:tcW w:w="708" w:type="dxa"/>
            <w:shd w:val="clear" w:color="auto" w:fill="C6EFCE"/>
            <w:noWrap/>
          </w:tcPr>
          <w:p w14:paraId="1216C48F" w14:textId="77777777" w:rsidR="003C4798" w:rsidRDefault="00417595">
            <w:pPr>
              <w:pStyle w:val="P68B1DB1-Normal89"/>
              <w:spacing w:after="0" w:line="240" w:lineRule="auto"/>
              <w:jc w:val="center"/>
              <w:rPr>
                <w:rFonts w:eastAsia="Times New Roman" w:cs="Times New Roman"/>
                <w:noProof/>
                <w:szCs w:val="18"/>
              </w:rPr>
            </w:pPr>
            <w:r>
              <w:rPr>
                <w:noProof/>
              </w:rPr>
              <w:t>2026</w:t>
            </w:r>
          </w:p>
        </w:tc>
        <w:tc>
          <w:tcPr>
            <w:tcW w:w="3974" w:type="dxa"/>
            <w:shd w:val="clear" w:color="auto" w:fill="C6EFCE"/>
            <w:noWrap/>
          </w:tcPr>
          <w:p w14:paraId="1216C490" w14:textId="71D44A5F" w:rsidR="003C4798" w:rsidRDefault="00417595">
            <w:pPr>
              <w:pStyle w:val="P68B1DB1-Normal44"/>
              <w:spacing w:after="0" w:line="240" w:lineRule="auto"/>
              <w:rPr>
                <w:rFonts w:eastAsia="Times New Roman" w:cs="Times New Roman"/>
                <w:noProof/>
                <w:szCs w:val="18"/>
              </w:rPr>
            </w:pPr>
            <w:r>
              <w:rPr>
                <w:noProof/>
              </w:rPr>
              <w:t>Le gazoduc de Gdańsk et de Gustorzyn sera construit au plus tard le 31 août 2026.</w:t>
            </w:r>
          </w:p>
        </w:tc>
      </w:tr>
      <w:tr w:rsidR="003C4798" w14:paraId="1216C49D" w14:textId="77777777" w:rsidTr="00DA6ACB">
        <w:trPr>
          <w:trHeight w:val="309"/>
          <w:jc w:val="center"/>
        </w:trPr>
        <w:tc>
          <w:tcPr>
            <w:tcW w:w="803" w:type="dxa"/>
            <w:shd w:val="clear" w:color="auto" w:fill="C6EFCE"/>
            <w:noWrap/>
          </w:tcPr>
          <w:p w14:paraId="1216C492" w14:textId="77777777" w:rsidR="003C4798" w:rsidRDefault="00417595">
            <w:pPr>
              <w:pStyle w:val="P68B1DB1-Normal26"/>
              <w:spacing w:line="240" w:lineRule="auto"/>
              <w:jc w:val="center"/>
              <w:rPr>
                <w:noProof/>
                <w:color w:val="000000"/>
              </w:rPr>
            </w:pPr>
            <w:r>
              <w:rPr>
                <w:noProof/>
              </w:rPr>
              <w:t>G24L</w:t>
            </w:r>
          </w:p>
        </w:tc>
        <w:tc>
          <w:tcPr>
            <w:tcW w:w="1461" w:type="dxa"/>
            <w:shd w:val="clear" w:color="auto" w:fill="C6EFCE"/>
            <w:noWrap/>
          </w:tcPr>
          <w:p w14:paraId="1216C493" w14:textId="77777777" w:rsidR="003C4798" w:rsidRDefault="00417595">
            <w:pPr>
              <w:pStyle w:val="P68B1DB1-Normal26"/>
              <w:spacing w:line="240" w:lineRule="auto"/>
              <w:rPr>
                <w:noProof/>
                <w:color w:val="000000"/>
              </w:rPr>
            </w:pPr>
            <w:r>
              <w:rPr>
                <w:noProof/>
              </w:rPr>
              <w:t>G3.3.1 Systèmes de stockage d'énergie (soutien remboursable)</w:t>
            </w:r>
          </w:p>
        </w:tc>
        <w:tc>
          <w:tcPr>
            <w:tcW w:w="1133" w:type="dxa"/>
            <w:shd w:val="clear" w:color="auto" w:fill="C6EFCE"/>
            <w:noWrap/>
          </w:tcPr>
          <w:p w14:paraId="1216C494" w14:textId="77777777" w:rsidR="003C4798" w:rsidRDefault="00417595">
            <w:pPr>
              <w:pStyle w:val="P68B1DB1-Normal45"/>
              <w:spacing w:line="240" w:lineRule="auto"/>
              <w:jc w:val="center"/>
              <w:rPr>
                <w:noProof/>
              </w:rPr>
            </w:pPr>
            <w:r>
              <w:rPr>
                <w:noProof/>
              </w:rPr>
              <w:t>Étape</w:t>
            </w:r>
          </w:p>
        </w:tc>
        <w:tc>
          <w:tcPr>
            <w:tcW w:w="1792" w:type="dxa"/>
            <w:shd w:val="clear" w:color="auto" w:fill="C6EFCE"/>
            <w:noWrap/>
          </w:tcPr>
          <w:p w14:paraId="1216C495" w14:textId="77777777" w:rsidR="003C4798" w:rsidRDefault="00417595">
            <w:pPr>
              <w:pStyle w:val="P68B1DB1-Normal45"/>
              <w:spacing w:line="240" w:lineRule="auto"/>
              <w:rPr>
                <w:noProof/>
              </w:rPr>
            </w:pPr>
            <w:r>
              <w:rPr>
                <w:noProof/>
              </w:rPr>
              <w:t>Modernisation de l'installation existante de stockage par pompage</w:t>
            </w:r>
          </w:p>
        </w:tc>
        <w:tc>
          <w:tcPr>
            <w:tcW w:w="1591" w:type="dxa"/>
            <w:shd w:val="clear" w:color="auto" w:fill="C6EFCE"/>
            <w:noWrap/>
          </w:tcPr>
          <w:p w14:paraId="1216C496" w14:textId="77777777" w:rsidR="003C4798" w:rsidRDefault="00417595">
            <w:pPr>
              <w:pStyle w:val="P68B1DB1-Normal45"/>
              <w:spacing w:line="240" w:lineRule="auto"/>
              <w:rPr>
                <w:noProof/>
              </w:rPr>
            </w:pPr>
            <w:r>
              <w:rPr>
                <w:noProof/>
              </w:rPr>
              <w:t xml:space="preserve">Réception technique pour la modernisation de l'installation existante de stockage par pompage </w:t>
            </w:r>
          </w:p>
        </w:tc>
        <w:tc>
          <w:tcPr>
            <w:tcW w:w="1067" w:type="dxa"/>
            <w:shd w:val="clear" w:color="auto" w:fill="C6EFCE"/>
            <w:noWrap/>
          </w:tcPr>
          <w:p w14:paraId="1216C497" w14:textId="77777777" w:rsidR="003C4798" w:rsidRDefault="003C4798">
            <w:pPr>
              <w:spacing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98" w14:textId="77777777" w:rsidR="003C4798" w:rsidRDefault="003C4798">
            <w:pPr>
              <w:spacing w:line="240" w:lineRule="auto"/>
              <w:jc w:val="center"/>
              <w:rPr>
                <w:rFonts w:ascii="Times New Roman" w:eastAsia="Times New Roman" w:hAnsi="Times New Roman" w:cs="Times New Roman"/>
                <w:noProof/>
                <w:sz w:val="18"/>
                <w:szCs w:val="18"/>
              </w:rPr>
            </w:pPr>
          </w:p>
        </w:tc>
        <w:tc>
          <w:tcPr>
            <w:tcW w:w="851" w:type="dxa"/>
            <w:shd w:val="clear" w:color="auto" w:fill="C6EFCE"/>
            <w:noWrap/>
          </w:tcPr>
          <w:p w14:paraId="1216C499" w14:textId="77777777" w:rsidR="003C4798" w:rsidRDefault="003C4798">
            <w:pPr>
              <w:spacing w:line="240" w:lineRule="auto"/>
              <w:jc w:val="center"/>
              <w:rPr>
                <w:rFonts w:ascii="Times New Roman" w:eastAsia="Times New Roman" w:hAnsi="Times New Roman" w:cs="Times New Roman"/>
                <w:noProof/>
                <w:sz w:val="18"/>
                <w:szCs w:val="18"/>
              </w:rPr>
            </w:pPr>
          </w:p>
        </w:tc>
        <w:tc>
          <w:tcPr>
            <w:tcW w:w="993" w:type="dxa"/>
            <w:shd w:val="clear" w:color="auto" w:fill="C6EFCE"/>
            <w:noWrap/>
          </w:tcPr>
          <w:p w14:paraId="1216C49A" w14:textId="77777777" w:rsidR="003C4798" w:rsidRDefault="00417595">
            <w:pPr>
              <w:pStyle w:val="P68B1DB1-Normal45"/>
              <w:spacing w:line="240" w:lineRule="auto"/>
              <w:jc w:val="center"/>
              <w:rPr>
                <w:noProof/>
              </w:rPr>
            </w:pPr>
            <w:r>
              <w:rPr>
                <w:noProof/>
              </w:rPr>
              <w:t>T4</w:t>
            </w:r>
          </w:p>
        </w:tc>
        <w:tc>
          <w:tcPr>
            <w:tcW w:w="708" w:type="dxa"/>
            <w:shd w:val="clear" w:color="auto" w:fill="C6EFCE"/>
            <w:noWrap/>
          </w:tcPr>
          <w:p w14:paraId="1216C49B" w14:textId="77777777" w:rsidR="003C4798" w:rsidRDefault="00417595">
            <w:pPr>
              <w:pStyle w:val="P68B1DB1-Normal45"/>
              <w:spacing w:line="240" w:lineRule="auto"/>
              <w:jc w:val="center"/>
              <w:rPr>
                <w:noProof/>
              </w:rPr>
            </w:pPr>
            <w:r>
              <w:rPr>
                <w:noProof/>
              </w:rPr>
              <w:t>2025</w:t>
            </w:r>
          </w:p>
        </w:tc>
        <w:tc>
          <w:tcPr>
            <w:tcW w:w="3974" w:type="dxa"/>
            <w:shd w:val="clear" w:color="auto" w:fill="C6EFCE"/>
            <w:noWrap/>
          </w:tcPr>
          <w:p w14:paraId="1216C49C" w14:textId="78361652" w:rsidR="003C4798" w:rsidRDefault="00417595">
            <w:pPr>
              <w:pStyle w:val="P68B1DB1-Normal26"/>
              <w:spacing w:line="240" w:lineRule="auto"/>
              <w:rPr>
                <w:noProof/>
                <w:color w:val="000000"/>
              </w:rPr>
            </w:pPr>
            <w:r>
              <w:rPr>
                <w:noProof/>
              </w:rPr>
              <w:t>Protocole de réception technique pour la modernisation du réservoir supérieur, des prises d'eau supérieures et inférieures et des tunnels dérivés.</w:t>
            </w:r>
          </w:p>
        </w:tc>
      </w:tr>
    </w:tbl>
    <w:p w14:paraId="1216C49E" w14:textId="77777777" w:rsidR="003C4798" w:rsidRDefault="003C4798">
      <w:pPr>
        <w:spacing w:line="240" w:lineRule="auto"/>
        <w:textAlignment w:val="baseline"/>
        <w:rPr>
          <w:rFonts w:ascii="Times New Roman" w:eastAsia="Times New Roman" w:hAnsi="Times New Roman" w:cs="Times New Roman"/>
          <w:b/>
          <w:bCs/>
          <w:noProof/>
        </w:rPr>
      </w:pPr>
    </w:p>
    <w:p w14:paraId="1216C49F" w14:textId="77777777" w:rsidR="003C4798" w:rsidRDefault="003C4798">
      <w:pPr>
        <w:spacing w:line="240" w:lineRule="auto"/>
        <w:textAlignment w:val="baseline"/>
        <w:rPr>
          <w:rFonts w:ascii="Times New Roman" w:eastAsia="Times New Roman" w:hAnsi="Times New Roman" w:cs="Times New Roman"/>
          <w:b/>
          <w:bCs/>
          <w:noProof/>
        </w:rPr>
        <w:sectPr w:rsidR="003C4798" w:rsidSect="006C5441">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299"/>
        </w:sectPr>
      </w:pPr>
    </w:p>
    <w:p w14:paraId="1216C4A0" w14:textId="77777777" w:rsidR="003C4798" w:rsidRDefault="00417595">
      <w:pPr>
        <w:pStyle w:val="P68B1DB1-Normal13"/>
        <w:spacing w:line="240" w:lineRule="auto"/>
        <w:ind w:left="840" w:hanging="840"/>
        <w:jc w:val="both"/>
        <w:rPr>
          <w:noProof/>
        </w:rPr>
      </w:pPr>
      <w:r>
        <w:rPr>
          <w:noProof/>
        </w:rPr>
        <w:t>2. Coût total estimé du plan pour la reprise et la résilience</w:t>
      </w:r>
    </w:p>
    <w:p w14:paraId="1216C4A1" w14:textId="55843EA6" w:rsidR="003C4798" w:rsidRDefault="00417595">
      <w:pPr>
        <w:pStyle w:val="P68B1DB1-Normal15"/>
        <w:spacing w:line="240" w:lineRule="auto"/>
        <w:jc w:val="both"/>
        <w:rPr>
          <w:noProof/>
        </w:rPr>
      </w:pPr>
      <w:r>
        <w:rPr>
          <w:noProof/>
        </w:rPr>
        <w:t>Le coût total du plan pour la reprise et la résilience, y compris le chapitre REPowerEU de la Pologne, est estimé à 54 718 157 234 EUR. Le coût total du chapitre REPowerEU est estimé à 20 676 219 512 EUR. En particulier, le coût total estimé des mesures visées à l’article 21 quater, paragraphe 3, point a), du règlement (UE) 2023/435 est de 515 162 159 EUR, tandis que le coût des autres mesures du chapitre REPowerEU est de 20 161 057 353 EUR.</w:t>
      </w:r>
    </w:p>
    <w:p w14:paraId="1216C4A2" w14:textId="77777777" w:rsidR="003C4798" w:rsidRDefault="00417595">
      <w:pPr>
        <w:pStyle w:val="P68B1DB1-Normal100"/>
        <w:spacing w:line="240" w:lineRule="auto"/>
        <w:textAlignment w:val="baseline"/>
        <w:rPr>
          <w:rFonts w:ascii="Segoe UI" w:hAnsi="Segoe UI" w:cs="Segoe UI"/>
          <w:noProof/>
          <w:sz w:val="18"/>
          <w:szCs w:val="18"/>
        </w:rPr>
      </w:pPr>
      <w:r>
        <w:rPr>
          <w:noProof/>
        </w:rPr>
        <w:t>SECTION 2: SOUTIEN FINANCIER</w:t>
      </w:r>
    </w:p>
    <w:p w14:paraId="1216C4A3" w14:textId="77777777" w:rsidR="003C4798" w:rsidRDefault="00417595">
      <w:pPr>
        <w:pStyle w:val="P68B1DB1-Normal13"/>
        <w:spacing w:line="240" w:lineRule="auto"/>
        <w:ind w:left="420"/>
        <w:jc w:val="both"/>
        <w:textAlignment w:val="baseline"/>
        <w:rPr>
          <w:rFonts w:ascii="Segoe UI" w:hAnsi="Segoe UI" w:cs="Segoe UI"/>
          <w:noProof/>
          <w:sz w:val="18"/>
          <w:szCs w:val="18"/>
        </w:rPr>
      </w:pPr>
      <w:r>
        <w:rPr>
          <w:noProof/>
        </w:rPr>
        <w:t>Contribution financière</w:t>
      </w:r>
    </w:p>
    <w:p w14:paraId="1216C4A4" w14:textId="77777777" w:rsidR="003C4798" w:rsidRDefault="00417595">
      <w:pPr>
        <w:pStyle w:val="P68B1DB1-Normal15"/>
        <w:spacing w:line="240" w:lineRule="auto"/>
        <w:ind w:left="840" w:hanging="840"/>
        <w:jc w:val="both"/>
        <w:textAlignment w:val="baseline"/>
        <w:rPr>
          <w:rFonts w:ascii="Segoe UI" w:hAnsi="Segoe UI" w:cs="Segoe UI"/>
          <w:noProof/>
          <w:sz w:val="18"/>
          <w:szCs w:val="18"/>
        </w:rPr>
      </w:pPr>
      <w:r>
        <w:rPr>
          <w:noProof/>
        </w:rPr>
        <w:t>Les acomptes provisionnels visés à l'article 2, paragraphe 2, sont organisés de la manière suivante:</w:t>
      </w:r>
    </w:p>
    <w:p w14:paraId="1216C4A5" w14:textId="77777777" w:rsidR="003C4798" w:rsidRDefault="00417595">
      <w:pPr>
        <w:pStyle w:val="P68B1DB1-Normal87"/>
        <w:spacing w:line="240" w:lineRule="auto"/>
        <w:ind w:left="-15"/>
        <w:textAlignment w:val="baseline"/>
        <w:rPr>
          <w:rFonts w:ascii="Segoe UI" w:hAnsi="Segoe UI" w:cs="Segoe UI"/>
          <w:noProof/>
          <w:sz w:val="18"/>
          <w:szCs w:val="18"/>
        </w:rPr>
      </w:pPr>
      <w:r>
        <w:rPr>
          <w:noProof/>
        </w:rPr>
        <w:t>2.1.1 Première tranche (soutien non remboursable):</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64"/>
        <w:gridCol w:w="3351"/>
        <w:gridCol w:w="1276"/>
        <w:gridCol w:w="4110"/>
      </w:tblGrid>
      <w:tr w:rsidR="003C4798" w14:paraId="1216C4AA" w14:textId="77777777">
        <w:trPr>
          <w:trHeight w:val="300"/>
          <w:tblHeader/>
          <w:jc w:val="center"/>
        </w:trPr>
        <w:tc>
          <w:tcPr>
            <w:tcW w:w="1464" w:type="dxa"/>
            <w:shd w:val="clear" w:color="auto" w:fill="BDD6EE"/>
            <w:vAlign w:val="center"/>
            <w:hideMark/>
          </w:tcPr>
          <w:p w14:paraId="1216C4A6" w14:textId="77777777" w:rsidR="003C4798" w:rsidRDefault="00417595">
            <w:pPr>
              <w:pStyle w:val="P68B1DB1-Normal100"/>
              <w:spacing w:line="240" w:lineRule="auto"/>
              <w:jc w:val="center"/>
              <w:textAlignment w:val="baseline"/>
              <w:rPr>
                <w:noProof/>
              </w:rPr>
            </w:pPr>
            <w:r>
              <w:rPr>
                <w:noProof/>
              </w:rPr>
              <w:t>Numéro séquentiel</w:t>
            </w:r>
          </w:p>
        </w:tc>
        <w:tc>
          <w:tcPr>
            <w:tcW w:w="3351" w:type="dxa"/>
            <w:shd w:val="clear" w:color="auto" w:fill="BDD6EE"/>
            <w:vAlign w:val="center"/>
            <w:hideMark/>
          </w:tcPr>
          <w:p w14:paraId="158B4200" w14:textId="77777777" w:rsidR="003C4798" w:rsidRDefault="00417595">
            <w:pPr>
              <w:pStyle w:val="P68B1DB1-Normal100"/>
              <w:spacing w:after="0" w:line="240" w:lineRule="auto"/>
              <w:ind w:left="45"/>
              <w:jc w:val="center"/>
              <w:textAlignment w:val="baseline"/>
              <w:rPr>
                <w:bCs/>
                <w:noProof/>
              </w:rPr>
            </w:pPr>
            <w:r>
              <w:rPr>
                <w:noProof/>
              </w:rPr>
              <w:t>Mesure connexe</w:t>
            </w:r>
          </w:p>
          <w:p w14:paraId="1216C4A7" w14:textId="1A6FB0ED" w:rsidR="003C4798" w:rsidRDefault="00417595">
            <w:pPr>
              <w:pStyle w:val="P68B1DB1-Normal100"/>
              <w:spacing w:after="0" w:line="240" w:lineRule="auto"/>
              <w:ind w:left="45"/>
              <w:jc w:val="center"/>
              <w:textAlignment w:val="baseline"/>
              <w:rPr>
                <w:noProof/>
              </w:rPr>
            </w:pPr>
            <w:r>
              <w:rPr>
                <w:noProof/>
              </w:rPr>
              <w:t>(Réforme ou investissement)</w:t>
            </w:r>
          </w:p>
        </w:tc>
        <w:tc>
          <w:tcPr>
            <w:tcW w:w="1276" w:type="dxa"/>
            <w:shd w:val="clear" w:color="auto" w:fill="BDD6EE"/>
            <w:vAlign w:val="center"/>
            <w:hideMark/>
          </w:tcPr>
          <w:p w14:paraId="1216C4A8" w14:textId="77777777" w:rsidR="003C4798" w:rsidRDefault="00417595">
            <w:pPr>
              <w:pStyle w:val="P68B1DB1-Normal100"/>
              <w:spacing w:line="240" w:lineRule="auto"/>
              <w:jc w:val="center"/>
              <w:textAlignment w:val="baseline"/>
              <w:rPr>
                <w:noProof/>
              </w:rPr>
            </w:pPr>
            <w:r>
              <w:rPr>
                <w:noProof/>
              </w:rPr>
              <w:t>Étape/cible</w:t>
            </w:r>
          </w:p>
        </w:tc>
        <w:tc>
          <w:tcPr>
            <w:tcW w:w="4110" w:type="dxa"/>
            <w:shd w:val="clear" w:color="auto" w:fill="BDD6EE"/>
            <w:vAlign w:val="center"/>
            <w:hideMark/>
          </w:tcPr>
          <w:p w14:paraId="1216C4A9" w14:textId="77777777" w:rsidR="003C4798" w:rsidRDefault="00417595">
            <w:pPr>
              <w:pStyle w:val="P68B1DB1-Normal100"/>
              <w:spacing w:line="240" w:lineRule="auto"/>
              <w:ind w:right="45"/>
              <w:jc w:val="center"/>
              <w:textAlignment w:val="baseline"/>
              <w:rPr>
                <w:noProof/>
              </w:rPr>
            </w:pPr>
            <w:r>
              <w:rPr>
                <w:noProof/>
              </w:rPr>
              <w:t>Nom</w:t>
            </w:r>
          </w:p>
        </w:tc>
      </w:tr>
      <w:tr w:rsidR="003C4798" w14:paraId="1216C4AF" w14:textId="77777777">
        <w:trPr>
          <w:trHeight w:val="300"/>
          <w:jc w:val="center"/>
        </w:trPr>
        <w:tc>
          <w:tcPr>
            <w:tcW w:w="1464" w:type="dxa"/>
            <w:shd w:val="clear" w:color="auto" w:fill="C6EFCE"/>
            <w:hideMark/>
          </w:tcPr>
          <w:p w14:paraId="1216C4AB" w14:textId="77777777" w:rsidR="003C4798" w:rsidRDefault="00417595">
            <w:pPr>
              <w:pStyle w:val="P68B1DB1-Normal87"/>
              <w:spacing w:line="240" w:lineRule="auto"/>
              <w:ind w:right="45"/>
              <w:jc w:val="center"/>
              <w:textAlignment w:val="baseline"/>
              <w:rPr>
                <w:noProof/>
              </w:rPr>
            </w:pPr>
            <w:r>
              <w:rPr>
                <w:noProof/>
              </w:rPr>
              <w:t>A1G</w:t>
            </w:r>
          </w:p>
        </w:tc>
        <w:tc>
          <w:tcPr>
            <w:tcW w:w="3351" w:type="dxa"/>
            <w:shd w:val="clear" w:color="auto" w:fill="C6EFCE"/>
            <w:hideMark/>
          </w:tcPr>
          <w:p w14:paraId="1216C4AC" w14:textId="77777777" w:rsidR="003C4798" w:rsidRDefault="00417595">
            <w:pPr>
              <w:pStyle w:val="P68B1DB1-Normal87"/>
              <w:spacing w:line="240" w:lineRule="auto"/>
              <w:textAlignment w:val="baseline"/>
              <w:rPr>
                <w:noProof/>
              </w:rPr>
            </w:pPr>
            <w:r>
              <w:rPr>
                <w:noProof/>
              </w:rPr>
              <w:t>A1.1 Réforme du cadre budgétaire</w:t>
            </w:r>
          </w:p>
        </w:tc>
        <w:tc>
          <w:tcPr>
            <w:tcW w:w="1276" w:type="dxa"/>
            <w:shd w:val="clear" w:color="auto" w:fill="C6EFCE"/>
            <w:hideMark/>
          </w:tcPr>
          <w:p w14:paraId="1216C4AD" w14:textId="77777777"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AE" w14:textId="77777777" w:rsidR="003C4798" w:rsidRDefault="00417595">
            <w:pPr>
              <w:pStyle w:val="P68B1DB1-Normal87"/>
              <w:spacing w:line="240" w:lineRule="auto"/>
              <w:textAlignment w:val="baseline"/>
              <w:rPr>
                <w:noProof/>
              </w:rPr>
            </w:pPr>
            <w:r>
              <w:rPr>
                <w:noProof/>
              </w:rPr>
              <w:t>Élaboration d'une note conceptuelle sur le plan comptable normalisé intégré à la classification budgétaire</w:t>
            </w:r>
          </w:p>
        </w:tc>
      </w:tr>
      <w:tr w:rsidR="003C4798" w14:paraId="1216C4B4" w14:textId="77777777">
        <w:trPr>
          <w:trHeight w:val="300"/>
          <w:jc w:val="center"/>
        </w:trPr>
        <w:tc>
          <w:tcPr>
            <w:tcW w:w="1464" w:type="dxa"/>
            <w:shd w:val="clear" w:color="auto" w:fill="C6EFCE"/>
            <w:hideMark/>
          </w:tcPr>
          <w:p w14:paraId="1216C4B0" w14:textId="77777777" w:rsidR="003C4798" w:rsidRDefault="00417595">
            <w:pPr>
              <w:pStyle w:val="P68B1DB1-Normal87"/>
              <w:spacing w:line="240" w:lineRule="auto"/>
              <w:ind w:right="45"/>
              <w:jc w:val="center"/>
              <w:textAlignment w:val="baseline"/>
              <w:rPr>
                <w:noProof/>
              </w:rPr>
            </w:pPr>
            <w:r>
              <w:rPr>
                <w:noProof/>
              </w:rPr>
              <w:t>A3G</w:t>
            </w:r>
          </w:p>
        </w:tc>
        <w:tc>
          <w:tcPr>
            <w:tcW w:w="3351" w:type="dxa"/>
            <w:shd w:val="clear" w:color="auto" w:fill="C6EFCE"/>
            <w:hideMark/>
          </w:tcPr>
          <w:p w14:paraId="1216C4B1" w14:textId="06858A99" w:rsidR="003C4798" w:rsidRDefault="00417595">
            <w:pPr>
              <w:pStyle w:val="P68B1DB1-Normal87"/>
              <w:spacing w:line="240" w:lineRule="auto"/>
              <w:textAlignment w:val="baseline"/>
              <w:rPr>
                <w:noProof/>
              </w:rPr>
            </w:pPr>
            <w:r>
              <w:rPr>
                <w:noProof/>
              </w:rPr>
              <w:t>A1.1 Réforme du cadre budgétaire</w:t>
            </w:r>
          </w:p>
        </w:tc>
        <w:tc>
          <w:tcPr>
            <w:tcW w:w="1276" w:type="dxa"/>
            <w:shd w:val="clear" w:color="auto" w:fill="C6EFCE"/>
            <w:hideMark/>
          </w:tcPr>
          <w:p w14:paraId="1216C4B2" w14:textId="77777777"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B3" w14:textId="4C22BA4A" w:rsidR="003C4798" w:rsidRDefault="00417595">
            <w:pPr>
              <w:pStyle w:val="P68B1DB1-Normal87"/>
              <w:spacing w:line="240" w:lineRule="auto"/>
              <w:textAlignment w:val="baseline"/>
              <w:rPr>
                <w:noProof/>
              </w:rPr>
            </w:pPr>
            <w:r>
              <w:rPr>
                <w:noProof/>
              </w:rPr>
              <w:t>Entrée en vigueur d’une modification de la loi sur les finances publiques étendant le champ d’application de la règle de stabilisation des dépenses (SER) aux fonds d’affectation spéciale de l’État</w:t>
            </w:r>
          </w:p>
        </w:tc>
      </w:tr>
      <w:tr w:rsidR="003C4798" w14:paraId="1216C4B9" w14:textId="77777777">
        <w:trPr>
          <w:trHeight w:val="300"/>
          <w:jc w:val="center"/>
        </w:trPr>
        <w:tc>
          <w:tcPr>
            <w:tcW w:w="1464" w:type="dxa"/>
            <w:shd w:val="clear" w:color="auto" w:fill="C6EFCE"/>
            <w:hideMark/>
          </w:tcPr>
          <w:p w14:paraId="1216C4B5" w14:textId="77777777" w:rsidR="003C4798" w:rsidRDefault="00417595">
            <w:pPr>
              <w:pStyle w:val="P68B1DB1-Normal87"/>
              <w:spacing w:line="240" w:lineRule="auto"/>
              <w:ind w:right="45"/>
              <w:jc w:val="center"/>
              <w:textAlignment w:val="baseline"/>
              <w:rPr>
                <w:noProof/>
              </w:rPr>
            </w:pPr>
            <w:r>
              <w:rPr>
                <w:noProof/>
              </w:rPr>
              <w:t>A5G</w:t>
            </w:r>
          </w:p>
        </w:tc>
        <w:tc>
          <w:tcPr>
            <w:tcW w:w="3351" w:type="dxa"/>
            <w:shd w:val="clear" w:color="auto" w:fill="C6EFCE"/>
            <w:hideMark/>
          </w:tcPr>
          <w:p w14:paraId="1216C4B6" w14:textId="3E6A4989" w:rsidR="003C4798" w:rsidRDefault="00417595">
            <w:pPr>
              <w:pStyle w:val="P68B1DB1-Normal87"/>
              <w:spacing w:line="240" w:lineRule="auto"/>
              <w:textAlignment w:val="baseline"/>
              <w:rPr>
                <w:noProof/>
              </w:rPr>
            </w:pPr>
            <w:r>
              <w:rPr>
                <w:noProof/>
              </w:rPr>
              <w:t>A1.2 Réduire davantage la charge réglementaire et administrative</w:t>
            </w:r>
          </w:p>
        </w:tc>
        <w:tc>
          <w:tcPr>
            <w:tcW w:w="1276" w:type="dxa"/>
            <w:shd w:val="clear" w:color="auto" w:fill="C6EFCE"/>
            <w:hideMark/>
          </w:tcPr>
          <w:p w14:paraId="1216C4B7" w14:textId="77777777"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B8" w14:textId="1E690826" w:rsidR="003C4798" w:rsidRDefault="00417595">
            <w:pPr>
              <w:pStyle w:val="P68B1DB1-Normal87"/>
              <w:spacing w:line="240" w:lineRule="auto"/>
              <w:textAlignment w:val="baseline"/>
              <w:rPr>
                <w:noProof/>
              </w:rPr>
            </w:pPr>
            <w:r>
              <w:rPr>
                <w:noProof/>
              </w:rPr>
              <w:t>Entrée en vigueur d'un paquet législatif visant à réduire la charge administrative pesant sur les entreprises et les citoyens</w:t>
            </w:r>
          </w:p>
        </w:tc>
      </w:tr>
      <w:tr w:rsidR="003C4798" w14:paraId="1216C4BE" w14:textId="77777777">
        <w:trPr>
          <w:trHeight w:val="300"/>
          <w:jc w:val="center"/>
        </w:trPr>
        <w:tc>
          <w:tcPr>
            <w:tcW w:w="1464" w:type="dxa"/>
            <w:shd w:val="clear" w:color="auto" w:fill="C6EFCE"/>
            <w:hideMark/>
          </w:tcPr>
          <w:p w14:paraId="1216C4BA" w14:textId="0E34E30D" w:rsidR="003C4798" w:rsidRDefault="00417595">
            <w:pPr>
              <w:pStyle w:val="P68B1DB1-Normal87"/>
              <w:spacing w:line="240" w:lineRule="auto"/>
              <w:ind w:right="45"/>
              <w:jc w:val="center"/>
              <w:textAlignment w:val="baseline"/>
              <w:rPr>
                <w:noProof/>
              </w:rPr>
            </w:pPr>
            <w:r>
              <w:rPr>
                <w:noProof/>
              </w:rPr>
              <w:t xml:space="preserve">A18G </w:t>
            </w:r>
          </w:p>
        </w:tc>
        <w:tc>
          <w:tcPr>
            <w:tcW w:w="3351" w:type="dxa"/>
            <w:shd w:val="clear" w:color="auto" w:fill="C6EFCE"/>
            <w:hideMark/>
          </w:tcPr>
          <w:p w14:paraId="1216C4BB" w14:textId="0E93DB4C" w:rsidR="003C4798" w:rsidRDefault="00417595">
            <w:pPr>
              <w:pStyle w:val="P68B1DB1-Normal87"/>
              <w:spacing w:line="240" w:lineRule="auto"/>
              <w:textAlignment w:val="baseline"/>
              <w:rPr>
                <w:noProof/>
              </w:rPr>
            </w:pPr>
            <w:r>
              <w:rPr>
                <w:noProof/>
              </w:rPr>
              <w:t>A1.4 Réforme soutenant la compétitivité et la protection des producteurs/consommateurs dans le secteur agricole</w:t>
            </w:r>
          </w:p>
        </w:tc>
        <w:tc>
          <w:tcPr>
            <w:tcW w:w="1276" w:type="dxa"/>
            <w:shd w:val="clear" w:color="auto" w:fill="C6EFCE"/>
            <w:hideMark/>
          </w:tcPr>
          <w:p w14:paraId="1216C4BC" w14:textId="77777777"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BD" w14:textId="081153DF" w:rsidR="003C4798" w:rsidRDefault="00417595">
            <w:pPr>
              <w:pStyle w:val="P68B1DB1-Normal87"/>
              <w:spacing w:line="240" w:lineRule="auto"/>
              <w:textAlignment w:val="baseline"/>
              <w:rPr>
                <w:noProof/>
              </w:rPr>
            </w:pPr>
            <w:r>
              <w:rPr>
                <w:noProof/>
              </w:rPr>
              <w:t>Entrée en vigueur d'une nouvelle loi visant à lutter contre l'utilisation déloyale des avantages contractuels dans le secteur du commerce agricole et alimentaire</w:t>
            </w:r>
          </w:p>
        </w:tc>
      </w:tr>
      <w:tr w:rsidR="003C4798" w14:paraId="1216C4C3" w14:textId="77777777">
        <w:trPr>
          <w:trHeight w:val="300"/>
          <w:jc w:val="center"/>
        </w:trPr>
        <w:tc>
          <w:tcPr>
            <w:tcW w:w="1464" w:type="dxa"/>
            <w:shd w:val="clear" w:color="auto" w:fill="C6EFCE"/>
            <w:hideMark/>
          </w:tcPr>
          <w:p w14:paraId="1216C4BF" w14:textId="35B99333" w:rsidR="003C4798" w:rsidRDefault="00417595">
            <w:pPr>
              <w:pStyle w:val="P68B1DB1-Normal87"/>
              <w:spacing w:line="240" w:lineRule="auto"/>
              <w:ind w:right="45"/>
              <w:jc w:val="center"/>
              <w:textAlignment w:val="baseline"/>
              <w:rPr>
                <w:noProof/>
              </w:rPr>
            </w:pPr>
            <w:r>
              <w:rPr>
                <w:noProof/>
              </w:rPr>
              <w:t xml:space="preserve">A20G </w:t>
            </w:r>
          </w:p>
        </w:tc>
        <w:tc>
          <w:tcPr>
            <w:tcW w:w="3351" w:type="dxa"/>
            <w:shd w:val="clear" w:color="auto" w:fill="C6EFCE"/>
            <w:hideMark/>
          </w:tcPr>
          <w:p w14:paraId="1216C4C0" w14:textId="77777777" w:rsidR="003C4798" w:rsidRDefault="00417595">
            <w:pPr>
              <w:pStyle w:val="P68B1DB1-Normal87"/>
              <w:spacing w:line="240" w:lineRule="auto"/>
              <w:textAlignment w:val="baseline"/>
              <w:rPr>
                <w:noProof/>
              </w:rPr>
            </w:pPr>
            <w:r>
              <w:rPr>
                <w:noProof/>
              </w:rPr>
              <w:t>A1.4.1 Modernisation des infrastructures ou des équipements dans le secteur agricole</w:t>
            </w:r>
          </w:p>
        </w:tc>
        <w:tc>
          <w:tcPr>
            <w:tcW w:w="1276" w:type="dxa"/>
            <w:shd w:val="clear" w:color="auto" w:fill="C6EFCE"/>
            <w:hideMark/>
          </w:tcPr>
          <w:p w14:paraId="1216C4C1" w14:textId="77777777"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C2" w14:textId="5950B3DF" w:rsidR="003C4798" w:rsidRDefault="00417595">
            <w:pPr>
              <w:pStyle w:val="P68B1DB1-Normal87"/>
              <w:spacing w:line="240" w:lineRule="auto"/>
              <w:textAlignment w:val="baseline"/>
              <w:rPr>
                <w:noProof/>
              </w:rPr>
            </w:pPr>
            <w:r>
              <w:rPr>
                <w:noProof/>
              </w:rPr>
              <w:t>Adoption de critères de sélection des bénéficiaires pour tous les projets au titre de cet investissement</w:t>
            </w:r>
          </w:p>
        </w:tc>
      </w:tr>
      <w:tr w:rsidR="003C4798" w14:paraId="1216C4C8" w14:textId="77777777">
        <w:trPr>
          <w:trHeight w:val="300"/>
          <w:jc w:val="center"/>
        </w:trPr>
        <w:tc>
          <w:tcPr>
            <w:tcW w:w="1464" w:type="dxa"/>
            <w:shd w:val="clear" w:color="auto" w:fill="C6EFCE"/>
            <w:hideMark/>
          </w:tcPr>
          <w:p w14:paraId="1216C4C4" w14:textId="30704526" w:rsidR="003C4798" w:rsidRDefault="00417595">
            <w:pPr>
              <w:pStyle w:val="P68B1DB1-Normal87"/>
              <w:spacing w:line="240" w:lineRule="auto"/>
              <w:ind w:right="45"/>
              <w:jc w:val="center"/>
              <w:textAlignment w:val="baseline"/>
              <w:rPr>
                <w:noProof/>
              </w:rPr>
            </w:pPr>
            <w:r>
              <w:rPr>
                <w:noProof/>
              </w:rPr>
              <w:t xml:space="preserve">A27G </w:t>
            </w:r>
          </w:p>
        </w:tc>
        <w:tc>
          <w:tcPr>
            <w:tcW w:w="3351" w:type="dxa"/>
            <w:shd w:val="clear" w:color="auto" w:fill="C6EFCE"/>
            <w:hideMark/>
          </w:tcPr>
          <w:p w14:paraId="1216C4C5" w14:textId="617D4F56" w:rsidR="003C4798" w:rsidRDefault="00417595">
            <w:pPr>
              <w:pStyle w:val="P68B1DB1-Normal87"/>
              <w:spacing w:line="240" w:lineRule="auto"/>
              <w:textAlignment w:val="baseline"/>
              <w:rPr>
                <w:noProof/>
              </w:rPr>
            </w:pPr>
            <w:r>
              <w:rPr>
                <w:noProof/>
              </w:rPr>
              <w:t>A2.1 Accélérer la robotisation, la numérisation et les processus d’innovation</w:t>
            </w:r>
          </w:p>
        </w:tc>
        <w:tc>
          <w:tcPr>
            <w:tcW w:w="1276" w:type="dxa"/>
            <w:shd w:val="clear" w:color="auto" w:fill="C6EFCE"/>
            <w:hideMark/>
          </w:tcPr>
          <w:p w14:paraId="1216C4C6" w14:textId="77777777"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C7" w14:textId="1BCB4E08" w:rsidR="003C4798" w:rsidRDefault="00417595">
            <w:pPr>
              <w:pStyle w:val="P68B1DB1-Normal87"/>
              <w:spacing w:line="240" w:lineRule="auto"/>
              <w:textAlignment w:val="baseline"/>
              <w:rPr>
                <w:noProof/>
              </w:rPr>
            </w:pPr>
            <w:r>
              <w:rPr>
                <w:noProof/>
              </w:rPr>
              <w:t>Entrée en vigueur d’une nouvelle loi visant à soutenir l’automatisation, la numérisation et l’innovation des entreprises en introduisant un allègement fiscal pour la robotisation</w:t>
            </w:r>
          </w:p>
        </w:tc>
      </w:tr>
      <w:tr w:rsidR="003C4798" w14:paraId="1216C4CD" w14:textId="77777777">
        <w:trPr>
          <w:trHeight w:val="300"/>
          <w:jc w:val="center"/>
        </w:trPr>
        <w:tc>
          <w:tcPr>
            <w:tcW w:w="1464" w:type="dxa"/>
            <w:shd w:val="clear" w:color="auto" w:fill="C6EFCE"/>
            <w:hideMark/>
          </w:tcPr>
          <w:p w14:paraId="1216C4C9" w14:textId="11E0F27F" w:rsidR="003C4798" w:rsidRDefault="00417595">
            <w:pPr>
              <w:pStyle w:val="P68B1DB1-Normal87"/>
              <w:spacing w:line="240" w:lineRule="auto"/>
              <w:ind w:right="45"/>
              <w:jc w:val="center"/>
              <w:textAlignment w:val="baseline"/>
              <w:rPr>
                <w:noProof/>
              </w:rPr>
            </w:pPr>
            <w:r>
              <w:rPr>
                <w:noProof/>
              </w:rPr>
              <w:t xml:space="preserve">A38G </w:t>
            </w:r>
          </w:p>
        </w:tc>
        <w:tc>
          <w:tcPr>
            <w:tcW w:w="3351" w:type="dxa"/>
            <w:shd w:val="clear" w:color="auto" w:fill="C6EFCE"/>
            <w:hideMark/>
          </w:tcPr>
          <w:p w14:paraId="1216C4CA" w14:textId="55874BC6" w:rsidR="003C4798" w:rsidRDefault="00417595">
            <w:pPr>
              <w:pStyle w:val="P68B1DB1-Normal87"/>
              <w:spacing w:line="240" w:lineRule="auto"/>
              <w:textAlignment w:val="baseline"/>
              <w:rPr>
                <w:noProof/>
              </w:rPr>
            </w:pPr>
            <w:r>
              <w:rPr>
                <w:noProof/>
              </w:rPr>
              <w:t xml:space="preserve">A2.4 Renforcement des mécanismes de coopération entre la science et l'industrie </w:t>
            </w:r>
          </w:p>
        </w:tc>
        <w:tc>
          <w:tcPr>
            <w:tcW w:w="1276" w:type="dxa"/>
            <w:shd w:val="clear" w:color="auto" w:fill="C6EFCE"/>
            <w:hideMark/>
          </w:tcPr>
          <w:p w14:paraId="1216C4CB" w14:textId="77777777"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CC" w14:textId="4C09DC2A" w:rsidR="003C4798" w:rsidRDefault="00417595">
            <w:pPr>
              <w:pStyle w:val="P68B1DB1-Normal87"/>
              <w:spacing w:line="240" w:lineRule="auto"/>
              <w:ind w:right="15"/>
              <w:textAlignment w:val="baseline"/>
              <w:rPr>
                <w:noProof/>
              </w:rPr>
            </w:pPr>
            <w:r>
              <w:rPr>
                <w:noProof/>
              </w:rPr>
              <w:t xml:space="preserve">Entrée en vigueur d’une loi modifiant la loi sur l’enseignement supérieur et les sciences en ce qui concerne le catalogue des entités susceptibles de créer des véhicules à usage spécial avec les universités </w:t>
            </w:r>
          </w:p>
        </w:tc>
      </w:tr>
      <w:tr w:rsidR="003C4798" w14:paraId="1216C4D2" w14:textId="77777777">
        <w:trPr>
          <w:trHeight w:val="300"/>
          <w:jc w:val="center"/>
        </w:trPr>
        <w:tc>
          <w:tcPr>
            <w:tcW w:w="1464" w:type="dxa"/>
            <w:shd w:val="clear" w:color="auto" w:fill="C6EFCE"/>
            <w:hideMark/>
          </w:tcPr>
          <w:p w14:paraId="1216C4CE" w14:textId="67060541" w:rsidR="003C4798" w:rsidRDefault="00417595">
            <w:pPr>
              <w:pStyle w:val="P68B1DB1-Normal87"/>
              <w:spacing w:line="240" w:lineRule="auto"/>
              <w:ind w:right="45"/>
              <w:jc w:val="center"/>
              <w:textAlignment w:val="baseline"/>
              <w:rPr>
                <w:noProof/>
              </w:rPr>
            </w:pPr>
            <w:r>
              <w:rPr>
                <w:noProof/>
              </w:rPr>
              <w:t xml:space="preserve">A39G </w:t>
            </w:r>
          </w:p>
        </w:tc>
        <w:tc>
          <w:tcPr>
            <w:tcW w:w="3351" w:type="dxa"/>
            <w:shd w:val="clear" w:color="auto" w:fill="C6EFCE"/>
            <w:hideMark/>
          </w:tcPr>
          <w:p w14:paraId="1216C4CF" w14:textId="5E69ED54" w:rsidR="003C4798" w:rsidRDefault="00417595">
            <w:pPr>
              <w:pStyle w:val="P68B1DB1-Normal87"/>
              <w:spacing w:line="240" w:lineRule="auto"/>
              <w:textAlignment w:val="baseline"/>
              <w:rPr>
                <w:noProof/>
              </w:rPr>
            </w:pPr>
            <w:r>
              <w:rPr>
                <w:noProof/>
              </w:rPr>
              <w:t xml:space="preserve">A2.4 Renforcement des mécanismes de coopération entre la science et l'industrie </w:t>
            </w:r>
          </w:p>
        </w:tc>
        <w:tc>
          <w:tcPr>
            <w:tcW w:w="1276" w:type="dxa"/>
            <w:shd w:val="clear" w:color="auto" w:fill="C6EFCE"/>
            <w:hideMark/>
          </w:tcPr>
          <w:p w14:paraId="1216C4D0" w14:textId="77777777"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D1" w14:textId="77777777" w:rsidR="003C4798" w:rsidRDefault="00417595">
            <w:pPr>
              <w:pStyle w:val="P68B1DB1-Normal87"/>
              <w:spacing w:line="240" w:lineRule="auto"/>
              <w:textAlignment w:val="baseline"/>
              <w:rPr>
                <w:noProof/>
              </w:rPr>
            </w:pPr>
            <w:r>
              <w:rPr>
                <w:noProof/>
              </w:rPr>
              <w:t>Établissement de règles pour l'utilisation des laboratoires et le transfert de connaissances des instituts supervisés par le ministre de l'Agriculture et du Développement rural</w:t>
            </w:r>
          </w:p>
        </w:tc>
      </w:tr>
      <w:tr w:rsidR="003C4798" w14:paraId="1216C4D7" w14:textId="77777777">
        <w:trPr>
          <w:trHeight w:val="300"/>
          <w:jc w:val="center"/>
        </w:trPr>
        <w:tc>
          <w:tcPr>
            <w:tcW w:w="1464" w:type="dxa"/>
            <w:shd w:val="clear" w:color="auto" w:fill="C6EFCE"/>
            <w:hideMark/>
          </w:tcPr>
          <w:p w14:paraId="1216C4D3" w14:textId="61E2BC51" w:rsidR="003C4798" w:rsidRDefault="00417595">
            <w:pPr>
              <w:pStyle w:val="P68B1DB1-Normal87"/>
              <w:spacing w:line="240" w:lineRule="auto"/>
              <w:ind w:right="45"/>
              <w:jc w:val="center"/>
              <w:textAlignment w:val="baseline"/>
              <w:rPr>
                <w:noProof/>
              </w:rPr>
            </w:pPr>
            <w:r>
              <w:rPr>
                <w:noProof/>
              </w:rPr>
              <w:t xml:space="preserve">A59G </w:t>
            </w:r>
          </w:p>
        </w:tc>
        <w:tc>
          <w:tcPr>
            <w:tcW w:w="3351" w:type="dxa"/>
            <w:shd w:val="clear" w:color="auto" w:fill="C6EFCE"/>
            <w:hideMark/>
          </w:tcPr>
          <w:p w14:paraId="1216C4D4" w14:textId="1F598C8E" w:rsidR="003C4798" w:rsidRDefault="00417595">
            <w:pPr>
              <w:pStyle w:val="P68B1DB1-Normal87"/>
              <w:spacing w:line="240" w:lineRule="auto"/>
              <w:textAlignment w:val="baseline"/>
              <w:rPr>
                <w:noProof/>
              </w:rPr>
            </w:pPr>
            <w:r>
              <w:rPr>
                <w:noProof/>
              </w:rPr>
              <w:t>A4.2 Réforme visant à améliorer la situation des parents sur le marché du travail en améliorant l'accès à la garde d'enfants jusqu'à l'âge de trois ans</w:t>
            </w:r>
          </w:p>
        </w:tc>
        <w:tc>
          <w:tcPr>
            <w:tcW w:w="1276" w:type="dxa"/>
            <w:shd w:val="clear" w:color="auto" w:fill="C6EFCE"/>
            <w:hideMark/>
          </w:tcPr>
          <w:p w14:paraId="1216C4D5" w14:textId="5D30B81F" w:rsidR="003C4798" w:rsidRDefault="00417595">
            <w:pPr>
              <w:pStyle w:val="P68B1DB1-Normal87"/>
              <w:spacing w:line="240" w:lineRule="auto"/>
              <w:ind w:left="60"/>
              <w:textAlignment w:val="baseline"/>
              <w:rPr>
                <w:noProof/>
              </w:rPr>
            </w:pPr>
            <w:r>
              <w:rPr>
                <w:noProof/>
              </w:rPr>
              <w:t xml:space="preserve">Étape </w:t>
            </w:r>
          </w:p>
        </w:tc>
        <w:tc>
          <w:tcPr>
            <w:tcW w:w="4110" w:type="dxa"/>
            <w:shd w:val="clear" w:color="auto" w:fill="C6EFCE"/>
            <w:hideMark/>
          </w:tcPr>
          <w:p w14:paraId="1216C4D6" w14:textId="4971F628" w:rsidR="003C4798" w:rsidRDefault="00417595">
            <w:pPr>
              <w:pStyle w:val="P68B1DB1-Normal87"/>
              <w:spacing w:line="240" w:lineRule="auto"/>
              <w:textAlignment w:val="baseline"/>
              <w:rPr>
                <w:noProof/>
              </w:rPr>
            </w:pPr>
            <w:r>
              <w:rPr>
                <w:noProof/>
              </w:rPr>
              <w:t>Entrée en vigueur d'une loi modifiant la loi sur la prise en charge des enfants jusqu'à l'âge de trois ans visant à modifier l'organisation du système de financement de la prise en charge des enfants jusqu'à l'âge de trois ans en vue de mettre en œuvre un système unique et cohérent de gestion du financement pour la création et le fonctionnement des services de garde des enfants jusqu'à l'âge de trois ans</w:t>
            </w:r>
          </w:p>
        </w:tc>
      </w:tr>
      <w:tr w:rsidR="003C4798" w14:paraId="1216C4DC" w14:textId="77777777">
        <w:trPr>
          <w:trHeight w:val="300"/>
          <w:jc w:val="center"/>
        </w:trPr>
        <w:tc>
          <w:tcPr>
            <w:tcW w:w="1464" w:type="dxa"/>
            <w:shd w:val="clear" w:color="auto" w:fill="C6EFCE"/>
            <w:hideMark/>
          </w:tcPr>
          <w:p w14:paraId="1216C4D8" w14:textId="77BBBDDF" w:rsidR="003C4798" w:rsidRDefault="00417595">
            <w:pPr>
              <w:pStyle w:val="P68B1DB1-Normal87"/>
              <w:spacing w:line="240" w:lineRule="auto"/>
              <w:ind w:right="45"/>
              <w:jc w:val="center"/>
              <w:textAlignment w:val="baseline"/>
              <w:rPr>
                <w:noProof/>
              </w:rPr>
            </w:pPr>
            <w:r>
              <w:rPr>
                <w:noProof/>
              </w:rPr>
              <w:t xml:space="preserve">A60G </w:t>
            </w:r>
          </w:p>
        </w:tc>
        <w:tc>
          <w:tcPr>
            <w:tcW w:w="3351" w:type="dxa"/>
            <w:shd w:val="clear" w:color="auto" w:fill="C6EFCE"/>
            <w:hideMark/>
          </w:tcPr>
          <w:p w14:paraId="1216C4D9" w14:textId="1512E111" w:rsidR="003C4798" w:rsidRDefault="00417595">
            <w:pPr>
              <w:pStyle w:val="P68B1DB1-Normal85"/>
              <w:spacing w:line="240" w:lineRule="auto"/>
              <w:textAlignment w:val="baseline"/>
              <w:rPr>
                <w:rFonts w:eastAsia="Times New Roman" w:cs="Times New Roman"/>
                <w:noProof/>
              </w:rPr>
            </w:pPr>
            <w:r>
              <w:rPr>
                <w:noProof/>
              </w:rPr>
              <w:t>A4.2.1 Soutien aux structures de garde d’enfants pour les enfants de moins de trois ans relevant de la catégorie «Enfants en bas âge actifs» (ancien Maluch+)</w:t>
            </w:r>
          </w:p>
        </w:tc>
        <w:tc>
          <w:tcPr>
            <w:tcW w:w="1276" w:type="dxa"/>
            <w:shd w:val="clear" w:color="auto" w:fill="C6EFCE"/>
            <w:hideMark/>
          </w:tcPr>
          <w:p w14:paraId="1216C4DA" w14:textId="1050F310"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DB" w14:textId="33FD3CD1" w:rsidR="003C4798" w:rsidRDefault="00417595">
            <w:pPr>
              <w:pStyle w:val="P68B1DB1-Normal87"/>
              <w:spacing w:line="240" w:lineRule="auto"/>
              <w:textAlignment w:val="baseline"/>
              <w:rPr>
                <w:noProof/>
              </w:rPr>
            </w:pPr>
            <w:r>
              <w:rPr>
                <w:noProof/>
              </w:rPr>
              <w:t>Création d’un système informatique pour gérer le financement et la création de structures de garde d’enfants pour les enfants jusqu’à l’âge de trois ans, qui combinent différentes sources de financement de la garde d’enfants</w:t>
            </w:r>
          </w:p>
        </w:tc>
      </w:tr>
      <w:tr w:rsidR="003C4798" w14:paraId="1216C4E1" w14:textId="77777777">
        <w:trPr>
          <w:trHeight w:val="300"/>
          <w:jc w:val="center"/>
        </w:trPr>
        <w:tc>
          <w:tcPr>
            <w:tcW w:w="1464" w:type="dxa"/>
            <w:shd w:val="clear" w:color="auto" w:fill="C6EFCE"/>
            <w:hideMark/>
          </w:tcPr>
          <w:p w14:paraId="1216C4DD" w14:textId="6723B043" w:rsidR="003C4798" w:rsidRDefault="00417595">
            <w:pPr>
              <w:pStyle w:val="P68B1DB1-Normal87"/>
              <w:spacing w:line="240" w:lineRule="auto"/>
              <w:ind w:right="45"/>
              <w:jc w:val="center"/>
              <w:textAlignment w:val="baseline"/>
              <w:rPr>
                <w:noProof/>
              </w:rPr>
            </w:pPr>
            <w:r>
              <w:rPr>
                <w:noProof/>
              </w:rPr>
              <w:t xml:space="preserve">A62G </w:t>
            </w:r>
          </w:p>
        </w:tc>
        <w:tc>
          <w:tcPr>
            <w:tcW w:w="3351" w:type="dxa"/>
            <w:shd w:val="clear" w:color="auto" w:fill="C6EFCE"/>
            <w:hideMark/>
          </w:tcPr>
          <w:p w14:paraId="1216C4DE" w14:textId="5D6650C8" w:rsidR="003C4798" w:rsidRDefault="00417595">
            <w:pPr>
              <w:pStyle w:val="P68B1DB1-Normal87"/>
              <w:spacing w:line="240" w:lineRule="auto"/>
              <w:textAlignment w:val="baseline"/>
              <w:rPr>
                <w:noProof/>
              </w:rPr>
            </w:pPr>
            <w:r>
              <w:rPr>
                <w:noProof/>
              </w:rPr>
              <w:t>A4.3 Mise en œuvre du cadre juridique pour les entités de l’économie sociale</w:t>
            </w:r>
          </w:p>
        </w:tc>
        <w:tc>
          <w:tcPr>
            <w:tcW w:w="1276" w:type="dxa"/>
            <w:shd w:val="clear" w:color="auto" w:fill="C6EFCE"/>
            <w:hideMark/>
          </w:tcPr>
          <w:p w14:paraId="1216C4DF" w14:textId="0C8974E6"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E0" w14:textId="20FBC558" w:rsidR="003C4798" w:rsidRDefault="00417595">
            <w:pPr>
              <w:pStyle w:val="P68B1DB1-Normal87"/>
              <w:spacing w:line="240" w:lineRule="auto"/>
              <w:textAlignment w:val="baseline"/>
              <w:rPr>
                <w:noProof/>
              </w:rPr>
            </w:pPr>
            <w:r>
              <w:rPr>
                <w:noProof/>
              </w:rPr>
              <w:t xml:space="preserve">Entrée en vigueur d'une loi sur l'économie sociale </w:t>
            </w:r>
          </w:p>
        </w:tc>
      </w:tr>
      <w:tr w:rsidR="003C4798" w14:paraId="1216C4E6" w14:textId="77777777">
        <w:trPr>
          <w:trHeight w:val="300"/>
          <w:jc w:val="center"/>
        </w:trPr>
        <w:tc>
          <w:tcPr>
            <w:tcW w:w="1464" w:type="dxa"/>
            <w:shd w:val="clear" w:color="auto" w:fill="C6EFCE"/>
            <w:hideMark/>
          </w:tcPr>
          <w:p w14:paraId="1216C4E2" w14:textId="0D27E1A6" w:rsidR="003C4798" w:rsidRDefault="00417595">
            <w:pPr>
              <w:pStyle w:val="P68B1DB1-Normal87"/>
              <w:spacing w:line="240" w:lineRule="auto"/>
              <w:ind w:right="45"/>
              <w:jc w:val="center"/>
              <w:textAlignment w:val="baseline"/>
              <w:rPr>
                <w:noProof/>
              </w:rPr>
            </w:pPr>
            <w:r>
              <w:rPr>
                <w:noProof/>
              </w:rPr>
              <w:t xml:space="preserve">B1G </w:t>
            </w:r>
          </w:p>
        </w:tc>
        <w:tc>
          <w:tcPr>
            <w:tcW w:w="3351" w:type="dxa"/>
            <w:shd w:val="clear" w:color="auto" w:fill="C6EFCE"/>
            <w:hideMark/>
          </w:tcPr>
          <w:p w14:paraId="1216C4E3" w14:textId="5F410B96" w:rsidR="003C4798" w:rsidRDefault="00417595">
            <w:pPr>
              <w:pStyle w:val="P68B1DB1-Normal87"/>
              <w:spacing w:line="240" w:lineRule="auto"/>
              <w:textAlignment w:val="baseline"/>
              <w:rPr>
                <w:noProof/>
              </w:rPr>
            </w:pPr>
            <w:r>
              <w:rPr>
                <w:noProof/>
              </w:rPr>
              <w:t>B1.1 Air pur et efficacité énergétique</w:t>
            </w:r>
          </w:p>
        </w:tc>
        <w:tc>
          <w:tcPr>
            <w:tcW w:w="1276" w:type="dxa"/>
            <w:shd w:val="clear" w:color="auto" w:fill="C6EFCE"/>
            <w:hideMark/>
          </w:tcPr>
          <w:p w14:paraId="1216C4E4" w14:textId="105644FE"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E5" w14:textId="667746FE" w:rsidR="003C4798" w:rsidRDefault="00417595">
            <w:pPr>
              <w:pStyle w:val="P68B1DB1-Normal87"/>
              <w:spacing w:line="240" w:lineRule="auto"/>
              <w:textAlignment w:val="baseline"/>
              <w:rPr>
                <w:noProof/>
              </w:rPr>
            </w:pPr>
            <w:r>
              <w:rPr>
                <w:noProof/>
              </w:rPr>
              <w:t>Entrée en vigueur d’un acte modifiant la loi sur l’efficacité énergétique et les actes législatifs connexes</w:t>
            </w:r>
          </w:p>
        </w:tc>
      </w:tr>
      <w:tr w:rsidR="003C4798" w14:paraId="1216C4EB" w14:textId="77777777">
        <w:trPr>
          <w:trHeight w:val="300"/>
          <w:jc w:val="center"/>
        </w:trPr>
        <w:tc>
          <w:tcPr>
            <w:tcW w:w="1464" w:type="dxa"/>
            <w:shd w:val="clear" w:color="auto" w:fill="C6EFCE"/>
            <w:hideMark/>
          </w:tcPr>
          <w:p w14:paraId="1216C4E7" w14:textId="0633DBF9" w:rsidR="003C4798" w:rsidRDefault="00417595">
            <w:pPr>
              <w:pStyle w:val="P68B1DB1-Normal87"/>
              <w:spacing w:line="240" w:lineRule="auto"/>
              <w:ind w:right="45"/>
              <w:jc w:val="center"/>
              <w:textAlignment w:val="baseline"/>
              <w:rPr>
                <w:noProof/>
              </w:rPr>
            </w:pPr>
            <w:r>
              <w:rPr>
                <w:noProof/>
              </w:rPr>
              <w:t xml:space="preserve">B3G </w:t>
            </w:r>
          </w:p>
        </w:tc>
        <w:tc>
          <w:tcPr>
            <w:tcW w:w="3351" w:type="dxa"/>
            <w:shd w:val="clear" w:color="auto" w:fill="C6EFCE"/>
            <w:hideMark/>
          </w:tcPr>
          <w:p w14:paraId="1216C4E8" w14:textId="73FD3A76" w:rsidR="003C4798" w:rsidRDefault="00417595">
            <w:pPr>
              <w:pStyle w:val="P68B1DB1-Normal87"/>
              <w:spacing w:line="240" w:lineRule="auto"/>
              <w:textAlignment w:val="baseline"/>
              <w:rPr>
                <w:noProof/>
              </w:rPr>
            </w:pPr>
            <w:r>
              <w:rPr>
                <w:noProof/>
              </w:rPr>
              <w:t xml:space="preserve">B1.1 Air pur et efficacité énergétique </w:t>
            </w:r>
          </w:p>
        </w:tc>
        <w:tc>
          <w:tcPr>
            <w:tcW w:w="1276" w:type="dxa"/>
            <w:shd w:val="clear" w:color="auto" w:fill="C6EFCE"/>
            <w:hideMark/>
          </w:tcPr>
          <w:p w14:paraId="1216C4E9" w14:textId="58A188E8"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EA" w14:textId="1CEDB64C" w:rsidR="003C4798" w:rsidRDefault="00417595">
            <w:pPr>
              <w:pStyle w:val="P68B1DB1-Normal87"/>
              <w:spacing w:line="240" w:lineRule="auto"/>
              <w:textAlignment w:val="baseline"/>
              <w:rPr>
                <w:noProof/>
              </w:rPr>
            </w:pPr>
            <w:r>
              <w:rPr>
                <w:noProof/>
              </w:rPr>
              <w:t>Mise à jour du programme national de protection de l'air</w:t>
            </w:r>
          </w:p>
        </w:tc>
      </w:tr>
      <w:tr w:rsidR="003C4798" w14:paraId="1216C4F0" w14:textId="77777777">
        <w:trPr>
          <w:trHeight w:val="300"/>
          <w:jc w:val="center"/>
        </w:trPr>
        <w:tc>
          <w:tcPr>
            <w:tcW w:w="1464" w:type="dxa"/>
            <w:shd w:val="clear" w:color="auto" w:fill="C6EFCE"/>
            <w:hideMark/>
          </w:tcPr>
          <w:p w14:paraId="1216C4EC" w14:textId="6929DFAF" w:rsidR="003C4798" w:rsidRDefault="00417595">
            <w:pPr>
              <w:pStyle w:val="P68B1DB1-Normal87"/>
              <w:spacing w:line="240" w:lineRule="auto"/>
              <w:ind w:right="45"/>
              <w:jc w:val="center"/>
              <w:textAlignment w:val="baseline"/>
              <w:rPr>
                <w:noProof/>
              </w:rPr>
            </w:pPr>
            <w:r>
              <w:rPr>
                <w:noProof/>
              </w:rPr>
              <w:t xml:space="preserve">B16G </w:t>
            </w:r>
          </w:p>
        </w:tc>
        <w:tc>
          <w:tcPr>
            <w:tcW w:w="3351" w:type="dxa"/>
            <w:shd w:val="clear" w:color="auto" w:fill="C6EFCE"/>
            <w:hideMark/>
          </w:tcPr>
          <w:p w14:paraId="1216C4ED" w14:textId="3935F9F3" w:rsidR="003C4798" w:rsidRDefault="00417595">
            <w:pPr>
              <w:pStyle w:val="P68B1DB1-Normal87"/>
              <w:spacing w:line="240" w:lineRule="auto"/>
              <w:textAlignment w:val="baseline"/>
              <w:rPr>
                <w:noProof/>
              </w:rPr>
            </w:pPr>
            <w:r>
              <w:rPr>
                <w:noProof/>
              </w:rPr>
              <w:t>B2.1 Améliorer les conditions de développement des technologies de l’hydrogène et d’autres gaz décarbonés</w:t>
            </w:r>
          </w:p>
        </w:tc>
        <w:tc>
          <w:tcPr>
            <w:tcW w:w="1276" w:type="dxa"/>
            <w:shd w:val="clear" w:color="auto" w:fill="C6EFCE"/>
            <w:hideMark/>
          </w:tcPr>
          <w:p w14:paraId="1216C4EE" w14:textId="480E14CE"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EF" w14:textId="157AA3E1" w:rsidR="003C4798" w:rsidRDefault="00417595">
            <w:pPr>
              <w:pStyle w:val="P68B1DB1-Normal87"/>
              <w:spacing w:line="240" w:lineRule="auto"/>
              <w:textAlignment w:val="baseline"/>
              <w:rPr>
                <w:noProof/>
              </w:rPr>
            </w:pPr>
            <w:r>
              <w:rPr>
                <w:noProof/>
              </w:rPr>
              <w:t>Entrée en vigueur des actes modifiant les actes législatifs relatifs à l’hydrogène en tant que carburant de substitution pour les transports</w:t>
            </w:r>
          </w:p>
        </w:tc>
      </w:tr>
      <w:tr w:rsidR="003C4798" w14:paraId="1216C4F5" w14:textId="77777777">
        <w:trPr>
          <w:trHeight w:val="300"/>
          <w:jc w:val="center"/>
        </w:trPr>
        <w:tc>
          <w:tcPr>
            <w:tcW w:w="1464" w:type="dxa"/>
            <w:shd w:val="clear" w:color="auto" w:fill="C6EFCE"/>
            <w:hideMark/>
          </w:tcPr>
          <w:p w14:paraId="1216C4F1" w14:textId="3FF15F84" w:rsidR="003C4798" w:rsidRDefault="00417595">
            <w:pPr>
              <w:pStyle w:val="P68B1DB1-Normal87"/>
              <w:spacing w:line="240" w:lineRule="auto"/>
              <w:ind w:right="45"/>
              <w:jc w:val="center"/>
              <w:textAlignment w:val="baseline"/>
              <w:rPr>
                <w:noProof/>
              </w:rPr>
            </w:pPr>
            <w:r>
              <w:rPr>
                <w:noProof/>
              </w:rPr>
              <w:t xml:space="preserve">B39G </w:t>
            </w:r>
          </w:p>
        </w:tc>
        <w:tc>
          <w:tcPr>
            <w:tcW w:w="3351" w:type="dxa"/>
            <w:shd w:val="clear" w:color="auto" w:fill="C6EFCE"/>
            <w:hideMark/>
          </w:tcPr>
          <w:p w14:paraId="1216C4F2" w14:textId="66C2AB54" w:rsidR="003C4798" w:rsidRDefault="00417595">
            <w:pPr>
              <w:pStyle w:val="P68B1DB1-Normal87"/>
              <w:spacing w:line="240" w:lineRule="auto"/>
              <w:textAlignment w:val="baseline"/>
              <w:rPr>
                <w:noProof/>
              </w:rPr>
            </w:pPr>
            <w:r>
              <w:rPr>
                <w:noProof/>
              </w:rPr>
              <w:t>B3.1 Soutenir la gestion durable de l'eau et des eaux usées dans les zones rurales</w:t>
            </w:r>
          </w:p>
        </w:tc>
        <w:tc>
          <w:tcPr>
            <w:tcW w:w="1276" w:type="dxa"/>
            <w:shd w:val="clear" w:color="auto" w:fill="C6EFCE"/>
            <w:hideMark/>
          </w:tcPr>
          <w:p w14:paraId="1216C4F3" w14:textId="55339D5E"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F4" w14:textId="3828EF8C" w:rsidR="003C4798" w:rsidRDefault="00417595">
            <w:pPr>
              <w:pStyle w:val="P68B1DB1-Normal87"/>
              <w:spacing w:line="240" w:lineRule="auto"/>
              <w:textAlignment w:val="baseline"/>
              <w:rPr>
                <w:noProof/>
              </w:rPr>
            </w:pPr>
            <w:r>
              <w:rPr>
                <w:noProof/>
              </w:rPr>
              <w:t>Élaboration de règles pour la territorialisation du soutien aux investissements dans l’approvisionnement en eau ou les eaux usées dans les zones rurales</w:t>
            </w:r>
          </w:p>
        </w:tc>
      </w:tr>
      <w:tr w:rsidR="003C4798" w14:paraId="1216C4FA" w14:textId="77777777">
        <w:trPr>
          <w:trHeight w:val="300"/>
          <w:jc w:val="center"/>
        </w:trPr>
        <w:tc>
          <w:tcPr>
            <w:tcW w:w="1464" w:type="dxa"/>
            <w:shd w:val="clear" w:color="auto" w:fill="C6EFCE"/>
            <w:hideMark/>
          </w:tcPr>
          <w:p w14:paraId="1216C4F6" w14:textId="384029BE" w:rsidR="003C4798" w:rsidRDefault="00417595">
            <w:pPr>
              <w:pStyle w:val="P68B1DB1-Normal87"/>
              <w:spacing w:line="240" w:lineRule="auto"/>
              <w:ind w:right="45"/>
              <w:jc w:val="center"/>
              <w:textAlignment w:val="baseline"/>
              <w:rPr>
                <w:noProof/>
              </w:rPr>
            </w:pPr>
            <w:r>
              <w:rPr>
                <w:noProof/>
              </w:rPr>
              <w:t xml:space="preserve">B40G </w:t>
            </w:r>
          </w:p>
        </w:tc>
        <w:tc>
          <w:tcPr>
            <w:tcW w:w="3351" w:type="dxa"/>
            <w:shd w:val="clear" w:color="auto" w:fill="C6EFCE"/>
            <w:hideMark/>
          </w:tcPr>
          <w:p w14:paraId="1216C4F7" w14:textId="555B557D" w:rsidR="003C4798" w:rsidRDefault="00417595">
            <w:pPr>
              <w:pStyle w:val="P68B1DB1-Normal87"/>
              <w:spacing w:line="240" w:lineRule="auto"/>
              <w:ind w:right="45"/>
              <w:textAlignment w:val="baseline"/>
              <w:rPr>
                <w:noProof/>
              </w:rPr>
            </w:pPr>
            <w:r>
              <w:rPr>
                <w:noProof/>
              </w:rPr>
              <w:t>B3.1 Soutenir la gestion durable de l'eau et des eaux usées dans les zones rurales</w:t>
            </w:r>
          </w:p>
        </w:tc>
        <w:tc>
          <w:tcPr>
            <w:tcW w:w="1276" w:type="dxa"/>
            <w:shd w:val="clear" w:color="auto" w:fill="C6EFCE"/>
            <w:hideMark/>
          </w:tcPr>
          <w:p w14:paraId="1216C4F8" w14:textId="33A9F845"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F9" w14:textId="08EB5FC2" w:rsidR="003C4798" w:rsidRDefault="00417595">
            <w:pPr>
              <w:pStyle w:val="P68B1DB1-Normal87"/>
              <w:spacing w:line="240" w:lineRule="auto"/>
              <w:textAlignment w:val="baseline"/>
              <w:rPr>
                <w:noProof/>
              </w:rPr>
            </w:pPr>
            <w:r>
              <w:rPr>
                <w:noProof/>
              </w:rPr>
              <w:t>Entrée en vigueur de l’acte juridique établissant l’obligation d’effectuer un suivi et un contrôle réguliers des systèmes individuels appropriés</w:t>
            </w:r>
          </w:p>
        </w:tc>
      </w:tr>
      <w:tr w:rsidR="003C4798" w14:paraId="1216C4FF" w14:textId="77777777">
        <w:trPr>
          <w:trHeight w:val="300"/>
          <w:jc w:val="center"/>
        </w:trPr>
        <w:tc>
          <w:tcPr>
            <w:tcW w:w="1464" w:type="dxa"/>
            <w:shd w:val="clear" w:color="auto" w:fill="C6EFCE"/>
            <w:hideMark/>
          </w:tcPr>
          <w:p w14:paraId="1216C4FB" w14:textId="76AB54EA" w:rsidR="003C4798" w:rsidRDefault="00417595">
            <w:pPr>
              <w:pStyle w:val="P68B1DB1-Normal87"/>
              <w:spacing w:line="240" w:lineRule="auto"/>
              <w:ind w:right="45"/>
              <w:jc w:val="center"/>
              <w:textAlignment w:val="baseline"/>
              <w:rPr>
                <w:noProof/>
              </w:rPr>
            </w:pPr>
            <w:r>
              <w:rPr>
                <w:noProof/>
              </w:rPr>
              <w:t xml:space="preserve">C1G </w:t>
            </w:r>
          </w:p>
        </w:tc>
        <w:tc>
          <w:tcPr>
            <w:tcW w:w="3351" w:type="dxa"/>
            <w:shd w:val="clear" w:color="auto" w:fill="C6EFCE"/>
            <w:hideMark/>
          </w:tcPr>
          <w:p w14:paraId="1216C4FC" w14:textId="2BEB90DA" w:rsidR="003C4798" w:rsidRDefault="00417595">
            <w:pPr>
              <w:pStyle w:val="P68B1DB1-Normal87"/>
              <w:spacing w:line="240" w:lineRule="auto"/>
              <w:textAlignment w:val="baseline"/>
              <w:rPr>
                <w:noProof/>
              </w:rPr>
            </w:pPr>
            <w:r>
              <w:rPr>
                <w:noProof/>
              </w:rPr>
              <w:t>C1.1 Faciliter le développement de l'infrastructure de réseau pour assurer l'accès universel à l'internet à haut débit</w:t>
            </w:r>
          </w:p>
        </w:tc>
        <w:tc>
          <w:tcPr>
            <w:tcW w:w="1276" w:type="dxa"/>
            <w:shd w:val="clear" w:color="auto" w:fill="C6EFCE"/>
            <w:hideMark/>
          </w:tcPr>
          <w:p w14:paraId="1216C4FD" w14:textId="2CD99EB3"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4FE" w14:textId="48C55504" w:rsidR="003C4798" w:rsidRDefault="00417595">
            <w:pPr>
              <w:pStyle w:val="P68B1DB1-Normal87"/>
              <w:spacing w:line="240" w:lineRule="auto"/>
              <w:textAlignment w:val="baseline"/>
              <w:rPr>
                <w:noProof/>
              </w:rPr>
            </w:pPr>
            <w:r>
              <w:rPr>
                <w:noProof/>
              </w:rPr>
              <w:t>Cadre préparé par la chancellerie du Premier ministre pour cofinancer des projets de haut débit dans les zones blanches d'accès de nouvelle génération (NGA), où il n'existe actuellement aucun réseau NGA</w:t>
            </w:r>
          </w:p>
        </w:tc>
      </w:tr>
      <w:tr w:rsidR="003C4798" w14:paraId="1216C504" w14:textId="77777777">
        <w:trPr>
          <w:trHeight w:val="300"/>
          <w:jc w:val="center"/>
        </w:trPr>
        <w:tc>
          <w:tcPr>
            <w:tcW w:w="1464" w:type="dxa"/>
            <w:shd w:val="clear" w:color="auto" w:fill="C6EFCE"/>
            <w:hideMark/>
          </w:tcPr>
          <w:p w14:paraId="1216C500" w14:textId="502C3208" w:rsidR="003C4798" w:rsidRDefault="00417595">
            <w:pPr>
              <w:pStyle w:val="P68B1DB1-Normal87"/>
              <w:spacing w:line="240" w:lineRule="auto"/>
              <w:ind w:right="45"/>
              <w:jc w:val="center"/>
              <w:textAlignment w:val="baseline"/>
              <w:rPr>
                <w:noProof/>
              </w:rPr>
            </w:pPr>
            <w:r>
              <w:rPr>
                <w:noProof/>
              </w:rPr>
              <w:t xml:space="preserve">D23G </w:t>
            </w:r>
          </w:p>
        </w:tc>
        <w:tc>
          <w:tcPr>
            <w:tcW w:w="3351" w:type="dxa"/>
            <w:shd w:val="clear" w:color="auto" w:fill="C6EFCE"/>
            <w:hideMark/>
          </w:tcPr>
          <w:p w14:paraId="1216C501" w14:textId="0720B904" w:rsidR="003C4798" w:rsidRDefault="00417595">
            <w:pPr>
              <w:pStyle w:val="P68B1DB1-Normal87"/>
              <w:spacing w:line="240" w:lineRule="auto"/>
              <w:textAlignment w:val="baseline"/>
              <w:rPr>
                <w:noProof/>
              </w:rPr>
            </w:pPr>
            <w:r>
              <w:rPr>
                <w:noProof/>
              </w:rPr>
              <w:t>D2.1 Créer les conditions propices à une augmentation du nombre de membres du personnel médical</w:t>
            </w:r>
          </w:p>
        </w:tc>
        <w:tc>
          <w:tcPr>
            <w:tcW w:w="1276" w:type="dxa"/>
            <w:shd w:val="clear" w:color="auto" w:fill="C6EFCE"/>
            <w:hideMark/>
          </w:tcPr>
          <w:p w14:paraId="1216C502" w14:textId="5DF8CCE7"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503" w14:textId="0D667C50" w:rsidR="003C4798" w:rsidRDefault="00417595">
            <w:pPr>
              <w:pStyle w:val="P68B1DB1-Normal87"/>
              <w:spacing w:line="240" w:lineRule="auto"/>
              <w:textAlignment w:val="baseline"/>
              <w:rPr>
                <w:noProof/>
              </w:rPr>
            </w:pPr>
            <w:r>
              <w:rPr>
                <w:noProof/>
              </w:rPr>
              <w:t>Modification de la loi sur l’enseignement supérieur et les sciences et sur les professions de médecin et de dentiste afin de fournir une base juridique pour un soutien financier à partir de l’année universitaire 2021/2022 aux étudiants dans le domaine de la médecine en Pologne</w:t>
            </w:r>
          </w:p>
        </w:tc>
      </w:tr>
      <w:tr w:rsidR="003C4798" w14:paraId="1216C509" w14:textId="77777777">
        <w:trPr>
          <w:trHeight w:val="300"/>
          <w:jc w:val="center"/>
        </w:trPr>
        <w:tc>
          <w:tcPr>
            <w:tcW w:w="1464" w:type="dxa"/>
            <w:shd w:val="clear" w:color="auto" w:fill="C6EFCE"/>
            <w:hideMark/>
          </w:tcPr>
          <w:p w14:paraId="1216C505" w14:textId="7E868CC6" w:rsidR="003C4798" w:rsidRDefault="00417595">
            <w:pPr>
              <w:pStyle w:val="P68B1DB1-Normal87"/>
              <w:spacing w:line="240" w:lineRule="auto"/>
              <w:ind w:right="45"/>
              <w:jc w:val="center"/>
              <w:textAlignment w:val="baseline"/>
              <w:rPr>
                <w:noProof/>
              </w:rPr>
            </w:pPr>
            <w:r>
              <w:rPr>
                <w:noProof/>
              </w:rPr>
              <w:t xml:space="preserve">D29G </w:t>
            </w:r>
          </w:p>
        </w:tc>
        <w:tc>
          <w:tcPr>
            <w:tcW w:w="3351" w:type="dxa"/>
            <w:shd w:val="clear" w:color="auto" w:fill="C6EFCE"/>
            <w:hideMark/>
          </w:tcPr>
          <w:p w14:paraId="1216C506" w14:textId="771660FD" w:rsidR="003C4798" w:rsidRDefault="00417595">
            <w:pPr>
              <w:pStyle w:val="P68B1DB1-Normal87"/>
              <w:spacing w:line="240" w:lineRule="auto"/>
              <w:textAlignment w:val="baseline"/>
              <w:rPr>
                <w:noProof/>
              </w:rPr>
            </w:pPr>
            <w:r>
              <w:rPr>
                <w:noProof/>
              </w:rPr>
              <w:t>D2.1.1 Investissements liés à la modernisation et à la modernisation des établissements d'enseignement en vue d'augmenter le nombre d'admissions aux études médicales</w:t>
            </w:r>
          </w:p>
        </w:tc>
        <w:tc>
          <w:tcPr>
            <w:tcW w:w="1276" w:type="dxa"/>
            <w:shd w:val="clear" w:color="auto" w:fill="C6EFCE"/>
            <w:hideMark/>
          </w:tcPr>
          <w:p w14:paraId="1216C507" w14:textId="147B6C5C"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508" w14:textId="2FBBC2D5" w:rsidR="003C4798" w:rsidRDefault="00417595">
            <w:pPr>
              <w:pStyle w:val="P68B1DB1-Normal87"/>
              <w:spacing w:line="240" w:lineRule="auto"/>
              <w:textAlignment w:val="baseline"/>
              <w:rPr>
                <w:noProof/>
              </w:rPr>
            </w:pPr>
            <w:r>
              <w:rPr>
                <w:noProof/>
              </w:rPr>
              <w:t>Entrée en vigueur d’un acte juridique établissant un système d’incitations à entreprendre et à poursuivre des études dans certaines facultés universitaires de médecine au moyen de bourses, de financements pour des études et de mentorat</w:t>
            </w:r>
          </w:p>
        </w:tc>
      </w:tr>
      <w:tr w:rsidR="003C4798" w14:paraId="1216C50E" w14:textId="77777777">
        <w:trPr>
          <w:trHeight w:val="300"/>
          <w:jc w:val="center"/>
        </w:trPr>
        <w:tc>
          <w:tcPr>
            <w:tcW w:w="1464" w:type="dxa"/>
            <w:shd w:val="clear" w:color="auto" w:fill="C6EFCE"/>
            <w:hideMark/>
          </w:tcPr>
          <w:p w14:paraId="1216C50A" w14:textId="6D23497B" w:rsidR="003C4798" w:rsidRDefault="00417595">
            <w:pPr>
              <w:pStyle w:val="P68B1DB1-Normal87"/>
              <w:spacing w:line="240" w:lineRule="auto"/>
              <w:ind w:right="45"/>
              <w:jc w:val="center"/>
              <w:textAlignment w:val="baseline"/>
              <w:rPr>
                <w:noProof/>
              </w:rPr>
            </w:pPr>
            <w:r>
              <w:rPr>
                <w:noProof/>
              </w:rPr>
              <w:t xml:space="preserve">E8G </w:t>
            </w:r>
          </w:p>
        </w:tc>
        <w:tc>
          <w:tcPr>
            <w:tcW w:w="3351" w:type="dxa"/>
            <w:shd w:val="clear" w:color="auto" w:fill="C6EFCE"/>
            <w:hideMark/>
          </w:tcPr>
          <w:p w14:paraId="1216C50B" w14:textId="52CF5C76" w:rsidR="003C4798" w:rsidRDefault="00417595">
            <w:pPr>
              <w:pStyle w:val="P68B1DB1-Normal87"/>
              <w:spacing w:line="240" w:lineRule="auto"/>
              <w:textAlignment w:val="baseline"/>
              <w:rPr>
                <w:noProof/>
              </w:rPr>
            </w:pPr>
            <w:r>
              <w:rPr>
                <w:noProof/>
              </w:rPr>
              <w:t xml:space="preserve">E1.1.1 Soutien à une économie sobre en carbone </w:t>
            </w:r>
          </w:p>
        </w:tc>
        <w:tc>
          <w:tcPr>
            <w:tcW w:w="1276" w:type="dxa"/>
            <w:shd w:val="clear" w:color="auto" w:fill="C6EFCE"/>
            <w:hideMark/>
          </w:tcPr>
          <w:p w14:paraId="1216C50C" w14:textId="3F74FB0B" w:rsidR="003C4798" w:rsidRDefault="00417595">
            <w:pPr>
              <w:pStyle w:val="P68B1DB1-Normal87"/>
              <w:spacing w:line="240" w:lineRule="auto"/>
              <w:ind w:left="60"/>
              <w:textAlignment w:val="baseline"/>
              <w:rPr>
                <w:noProof/>
              </w:rPr>
            </w:pPr>
            <w:r>
              <w:rPr>
                <w:noProof/>
              </w:rPr>
              <w:t xml:space="preserve">Étape </w:t>
            </w:r>
          </w:p>
        </w:tc>
        <w:tc>
          <w:tcPr>
            <w:tcW w:w="4110" w:type="dxa"/>
            <w:shd w:val="clear" w:color="auto" w:fill="C6EFCE"/>
            <w:hideMark/>
          </w:tcPr>
          <w:p w14:paraId="1216C50D" w14:textId="767E360A" w:rsidR="003C4798" w:rsidRDefault="00417595">
            <w:pPr>
              <w:pStyle w:val="P68B1DB1-Normal87"/>
              <w:spacing w:line="240" w:lineRule="auto"/>
              <w:textAlignment w:val="baseline"/>
              <w:rPr>
                <w:noProof/>
              </w:rPr>
            </w:pPr>
            <w:r>
              <w:rPr>
                <w:noProof/>
              </w:rPr>
              <w:t>Mise en place d’un instrument financier (Fonds) pour la mobilité et l’énergie à émissions nulles/faibles</w:t>
            </w:r>
          </w:p>
        </w:tc>
      </w:tr>
      <w:tr w:rsidR="003C4798" w14:paraId="1216C513" w14:textId="77777777">
        <w:trPr>
          <w:trHeight w:val="300"/>
          <w:jc w:val="center"/>
        </w:trPr>
        <w:tc>
          <w:tcPr>
            <w:tcW w:w="1464" w:type="dxa"/>
            <w:shd w:val="clear" w:color="auto" w:fill="C6EFCE"/>
            <w:hideMark/>
          </w:tcPr>
          <w:p w14:paraId="1216C50F" w14:textId="5A215DE4" w:rsidR="003C4798" w:rsidRDefault="00417595">
            <w:pPr>
              <w:pStyle w:val="P68B1DB1-Normal87"/>
              <w:spacing w:line="240" w:lineRule="auto"/>
              <w:ind w:right="45"/>
              <w:jc w:val="center"/>
              <w:textAlignment w:val="baseline"/>
              <w:rPr>
                <w:noProof/>
              </w:rPr>
            </w:pPr>
            <w:r>
              <w:rPr>
                <w:noProof/>
              </w:rPr>
              <w:t xml:space="preserve">E23G </w:t>
            </w:r>
          </w:p>
        </w:tc>
        <w:tc>
          <w:tcPr>
            <w:tcW w:w="3351" w:type="dxa"/>
            <w:shd w:val="clear" w:color="auto" w:fill="C6EFCE"/>
            <w:hideMark/>
          </w:tcPr>
          <w:p w14:paraId="1216C510" w14:textId="62EC0B53" w:rsidR="003C4798" w:rsidRDefault="00417595">
            <w:pPr>
              <w:pStyle w:val="P68B1DB1-Normal87"/>
              <w:spacing w:line="240" w:lineRule="auto"/>
              <w:textAlignment w:val="baseline"/>
              <w:rPr>
                <w:noProof/>
              </w:rPr>
            </w:pPr>
            <w:r>
              <w:rPr>
                <w:noProof/>
              </w:rPr>
              <w:t>E2.2 Améliorer la sécurité des transports</w:t>
            </w:r>
          </w:p>
        </w:tc>
        <w:tc>
          <w:tcPr>
            <w:tcW w:w="1276" w:type="dxa"/>
            <w:shd w:val="clear" w:color="auto" w:fill="C6EFCE"/>
            <w:hideMark/>
          </w:tcPr>
          <w:p w14:paraId="1216C511" w14:textId="566093E2" w:rsidR="003C4798" w:rsidRDefault="00417595">
            <w:pPr>
              <w:pStyle w:val="P68B1DB1-Normal87"/>
              <w:spacing w:line="240" w:lineRule="auto"/>
              <w:ind w:left="60"/>
              <w:textAlignment w:val="baseline"/>
              <w:rPr>
                <w:noProof/>
              </w:rPr>
            </w:pPr>
            <w:r>
              <w:rPr>
                <w:noProof/>
              </w:rPr>
              <w:t xml:space="preserve">Étape </w:t>
            </w:r>
          </w:p>
        </w:tc>
        <w:tc>
          <w:tcPr>
            <w:tcW w:w="4110" w:type="dxa"/>
            <w:shd w:val="clear" w:color="auto" w:fill="C6EFCE"/>
            <w:hideMark/>
          </w:tcPr>
          <w:p w14:paraId="1216C512" w14:textId="1AA62E3C" w:rsidR="003C4798" w:rsidRDefault="00417595">
            <w:pPr>
              <w:pStyle w:val="P68B1DB1-Normal87"/>
              <w:spacing w:line="240" w:lineRule="auto"/>
              <w:textAlignment w:val="baseline"/>
              <w:rPr>
                <w:noProof/>
              </w:rPr>
            </w:pPr>
            <w:r>
              <w:rPr>
                <w:noProof/>
              </w:rPr>
              <w:t>Entrée en vigueur des actes juridiques introduisant: priorité pour les piétons aux passages à niveau, vitesse uniforme dans les agglomérations, distance minimale entre les véhicules, objectifs en matière de sécurité routière d’ici à 2030 (50 % de victimes d’accidents)</w:t>
            </w:r>
          </w:p>
        </w:tc>
      </w:tr>
      <w:tr w:rsidR="003C4798" w14:paraId="1216C518" w14:textId="77777777">
        <w:trPr>
          <w:trHeight w:val="300"/>
          <w:jc w:val="center"/>
        </w:trPr>
        <w:tc>
          <w:tcPr>
            <w:tcW w:w="1464" w:type="dxa"/>
            <w:shd w:val="clear" w:color="auto" w:fill="C6EFCE"/>
            <w:hideMark/>
          </w:tcPr>
          <w:p w14:paraId="1216C514" w14:textId="1CF64EF9" w:rsidR="003C4798" w:rsidRDefault="00417595">
            <w:pPr>
              <w:pStyle w:val="P68B1DB1-Normal87"/>
              <w:spacing w:line="240" w:lineRule="auto"/>
              <w:ind w:right="45"/>
              <w:jc w:val="center"/>
              <w:textAlignment w:val="baseline"/>
              <w:rPr>
                <w:noProof/>
              </w:rPr>
            </w:pPr>
            <w:r>
              <w:rPr>
                <w:noProof/>
              </w:rPr>
              <w:t xml:space="preserve">F1G </w:t>
            </w:r>
          </w:p>
        </w:tc>
        <w:tc>
          <w:tcPr>
            <w:tcW w:w="3351" w:type="dxa"/>
            <w:shd w:val="clear" w:color="auto" w:fill="C6EFCE"/>
            <w:hideMark/>
          </w:tcPr>
          <w:p w14:paraId="1216C515" w14:textId="1963D1F5" w:rsidR="003C4798" w:rsidRDefault="00417595">
            <w:pPr>
              <w:pStyle w:val="P68B1DB1-Normal87"/>
              <w:spacing w:line="240" w:lineRule="auto"/>
              <w:textAlignment w:val="baseline"/>
              <w:rPr>
                <w:noProof/>
              </w:rPr>
            </w:pPr>
            <w:r>
              <w:rPr>
                <w:noProof/>
              </w:rPr>
              <w:t>F1.1 Réforme renforçant l'indépendance et l'impartialité des tribunaux</w:t>
            </w:r>
          </w:p>
        </w:tc>
        <w:tc>
          <w:tcPr>
            <w:tcW w:w="1276" w:type="dxa"/>
            <w:shd w:val="clear" w:color="auto" w:fill="C6EFCE"/>
            <w:hideMark/>
          </w:tcPr>
          <w:p w14:paraId="1216C516" w14:textId="74486BFD"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517" w14:textId="257A6006" w:rsidR="003C4798" w:rsidRDefault="00417595">
            <w:pPr>
              <w:pStyle w:val="P68B1DB1-Normal87"/>
              <w:spacing w:line="240" w:lineRule="auto"/>
              <w:textAlignment w:val="baseline"/>
              <w:rPr>
                <w:noProof/>
              </w:rPr>
            </w:pPr>
            <w:r>
              <w:rPr>
                <w:noProof/>
              </w:rPr>
              <w:t>Entrée en vigueur d'une réforme renforçant l'indépendance et l'impartialité des tribunaux</w:t>
            </w:r>
          </w:p>
        </w:tc>
      </w:tr>
      <w:tr w:rsidR="003C4798" w14:paraId="1216C51D" w14:textId="77777777">
        <w:trPr>
          <w:trHeight w:val="300"/>
          <w:jc w:val="center"/>
        </w:trPr>
        <w:tc>
          <w:tcPr>
            <w:tcW w:w="1464" w:type="dxa"/>
            <w:shd w:val="clear" w:color="auto" w:fill="C6EFCE"/>
            <w:hideMark/>
          </w:tcPr>
          <w:p w14:paraId="1216C519" w14:textId="385A1B12" w:rsidR="003C4798" w:rsidRDefault="00417595">
            <w:pPr>
              <w:pStyle w:val="P68B1DB1-Normal87"/>
              <w:spacing w:line="240" w:lineRule="auto"/>
              <w:ind w:right="45"/>
              <w:jc w:val="center"/>
              <w:textAlignment w:val="baseline"/>
              <w:rPr>
                <w:noProof/>
              </w:rPr>
            </w:pPr>
            <w:r>
              <w:rPr>
                <w:noProof/>
              </w:rPr>
              <w:t xml:space="preserve">F2G </w:t>
            </w:r>
          </w:p>
        </w:tc>
        <w:tc>
          <w:tcPr>
            <w:tcW w:w="3351" w:type="dxa"/>
            <w:shd w:val="clear" w:color="auto" w:fill="C6EFCE"/>
            <w:hideMark/>
          </w:tcPr>
          <w:p w14:paraId="1216C51A" w14:textId="5C9932FB" w:rsidR="003C4798" w:rsidRDefault="00417595">
            <w:pPr>
              <w:pStyle w:val="P68B1DB1-Normal87"/>
              <w:spacing w:line="240" w:lineRule="auto"/>
              <w:textAlignment w:val="baseline"/>
              <w:rPr>
                <w:noProof/>
              </w:rPr>
            </w:pPr>
            <w:r>
              <w:rPr>
                <w:noProof/>
              </w:rPr>
              <w:t>F2.1 Réforme visant à remédier à la situation des juges touchés par les décisions de la Chambre disciplinaire de la Cour suprême dans les affaires disciplinaires et les affaires d ' immunité judiciaire</w:t>
            </w:r>
          </w:p>
        </w:tc>
        <w:tc>
          <w:tcPr>
            <w:tcW w:w="1276" w:type="dxa"/>
            <w:shd w:val="clear" w:color="auto" w:fill="C6EFCE"/>
            <w:hideMark/>
          </w:tcPr>
          <w:p w14:paraId="1216C51B" w14:textId="4E015B92" w:rsidR="003C4798" w:rsidRDefault="00417595">
            <w:pPr>
              <w:pStyle w:val="P68B1DB1-Normal87"/>
              <w:spacing w:line="240" w:lineRule="auto"/>
              <w:ind w:left="60"/>
              <w:textAlignment w:val="baseline"/>
              <w:rPr>
                <w:noProof/>
              </w:rPr>
            </w:pPr>
            <w:r>
              <w:rPr>
                <w:noProof/>
              </w:rPr>
              <w:t xml:space="preserve">Étape </w:t>
            </w:r>
          </w:p>
        </w:tc>
        <w:tc>
          <w:tcPr>
            <w:tcW w:w="4110" w:type="dxa"/>
            <w:shd w:val="clear" w:color="auto" w:fill="C6EFCE"/>
            <w:hideMark/>
          </w:tcPr>
          <w:p w14:paraId="1216C51C" w14:textId="62C28C9C" w:rsidR="003C4798" w:rsidRDefault="00417595">
            <w:pPr>
              <w:pStyle w:val="P68B1DB1-Normal87"/>
              <w:spacing w:line="240" w:lineRule="auto"/>
              <w:textAlignment w:val="baseline"/>
              <w:rPr>
                <w:noProof/>
              </w:rPr>
            </w:pPr>
            <w:r>
              <w:rPr>
                <w:noProof/>
              </w:rPr>
              <w:t xml:space="preserve">Entrée en vigueur d'une réforme renforçant l'indépendance et l'impartialité des tribunaux </w:t>
            </w:r>
          </w:p>
        </w:tc>
      </w:tr>
      <w:tr w:rsidR="003C4798" w14:paraId="1216C522" w14:textId="77777777">
        <w:trPr>
          <w:trHeight w:val="300"/>
          <w:jc w:val="center"/>
        </w:trPr>
        <w:tc>
          <w:tcPr>
            <w:tcW w:w="1464" w:type="dxa"/>
            <w:shd w:val="clear" w:color="auto" w:fill="C6EFCE"/>
            <w:hideMark/>
          </w:tcPr>
          <w:p w14:paraId="1216C51E" w14:textId="249603A2" w:rsidR="003C4798" w:rsidRDefault="00417595">
            <w:pPr>
              <w:pStyle w:val="P68B1DB1-Normal87"/>
              <w:spacing w:line="240" w:lineRule="auto"/>
              <w:ind w:right="45"/>
              <w:jc w:val="center"/>
              <w:textAlignment w:val="baseline"/>
              <w:rPr>
                <w:noProof/>
              </w:rPr>
            </w:pPr>
            <w:r>
              <w:rPr>
                <w:noProof/>
              </w:rPr>
              <w:t xml:space="preserve">F5G </w:t>
            </w:r>
          </w:p>
        </w:tc>
        <w:tc>
          <w:tcPr>
            <w:tcW w:w="3351" w:type="dxa"/>
            <w:shd w:val="clear" w:color="auto" w:fill="C6EFCE"/>
            <w:hideMark/>
          </w:tcPr>
          <w:p w14:paraId="1216C51F" w14:textId="56011149" w:rsidR="003C4798" w:rsidRDefault="00417595">
            <w:pPr>
              <w:pStyle w:val="P68B1DB1-Normal87"/>
              <w:spacing w:line="240" w:lineRule="auto"/>
              <w:textAlignment w:val="baseline"/>
              <w:rPr>
                <w:noProof/>
              </w:rPr>
            </w:pPr>
            <w:r>
              <w:rPr>
                <w:noProof/>
              </w:rPr>
              <w:t>F3.1 Améliorer les conditions de mise en œuvre du PRR</w:t>
            </w:r>
          </w:p>
        </w:tc>
        <w:tc>
          <w:tcPr>
            <w:tcW w:w="1276" w:type="dxa"/>
            <w:shd w:val="clear" w:color="auto" w:fill="C6EFCE"/>
            <w:hideMark/>
          </w:tcPr>
          <w:p w14:paraId="1216C520" w14:textId="7C45C01D"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521" w14:textId="1AE81F2F" w:rsidR="003C4798" w:rsidRDefault="00417595">
            <w:pPr>
              <w:pStyle w:val="P68B1DB1-Normal87"/>
              <w:spacing w:line="240" w:lineRule="auto"/>
              <w:textAlignment w:val="baseline"/>
              <w:rPr>
                <w:noProof/>
              </w:rPr>
            </w:pPr>
            <w:r>
              <w:rPr>
                <w:noProof/>
              </w:rPr>
              <w:t>Entrée en vigueur d’un acte juridique qui crée un comité de suivi et lui confie la supervision de la mise en œuvre effective du PRR</w:t>
            </w:r>
          </w:p>
        </w:tc>
      </w:tr>
      <w:tr w:rsidR="003C4798" w14:paraId="1216C527" w14:textId="77777777">
        <w:trPr>
          <w:trHeight w:val="300"/>
          <w:jc w:val="center"/>
        </w:trPr>
        <w:tc>
          <w:tcPr>
            <w:tcW w:w="1464" w:type="dxa"/>
            <w:shd w:val="clear" w:color="auto" w:fill="C6EFCE"/>
            <w:hideMark/>
          </w:tcPr>
          <w:p w14:paraId="1216C523" w14:textId="396232D8" w:rsidR="003C4798" w:rsidRDefault="00417595">
            <w:pPr>
              <w:pStyle w:val="P68B1DB1-Normal87"/>
              <w:spacing w:line="240" w:lineRule="auto"/>
              <w:ind w:right="45"/>
              <w:jc w:val="center"/>
              <w:textAlignment w:val="baseline"/>
              <w:rPr>
                <w:noProof/>
              </w:rPr>
            </w:pPr>
            <w:r>
              <w:rPr>
                <w:noProof/>
              </w:rPr>
              <w:t xml:space="preserve">F6G </w:t>
            </w:r>
          </w:p>
        </w:tc>
        <w:tc>
          <w:tcPr>
            <w:tcW w:w="3351" w:type="dxa"/>
            <w:shd w:val="clear" w:color="auto" w:fill="C6EFCE"/>
            <w:hideMark/>
          </w:tcPr>
          <w:p w14:paraId="1216C524" w14:textId="0200F4BD" w:rsidR="003C4798" w:rsidRDefault="00417595">
            <w:pPr>
              <w:pStyle w:val="P68B1DB1-Normal87"/>
              <w:spacing w:line="240" w:lineRule="auto"/>
              <w:textAlignment w:val="baseline"/>
              <w:rPr>
                <w:noProof/>
              </w:rPr>
            </w:pPr>
            <w:r>
              <w:rPr>
                <w:noProof/>
              </w:rPr>
              <w:t>F3.1 Améliorer les conditions de mise en œuvre du PRR</w:t>
            </w:r>
          </w:p>
        </w:tc>
        <w:tc>
          <w:tcPr>
            <w:tcW w:w="1276" w:type="dxa"/>
            <w:shd w:val="clear" w:color="auto" w:fill="C6EFCE"/>
            <w:hideMark/>
          </w:tcPr>
          <w:p w14:paraId="1216C525" w14:textId="79B9BA9E" w:rsidR="003C4798" w:rsidRDefault="00417595">
            <w:pPr>
              <w:pStyle w:val="P68B1DB1-Normal87"/>
              <w:spacing w:line="240" w:lineRule="auto"/>
              <w:ind w:left="60"/>
              <w:textAlignment w:val="baseline"/>
              <w:rPr>
                <w:noProof/>
              </w:rPr>
            </w:pPr>
            <w:r>
              <w:rPr>
                <w:noProof/>
              </w:rPr>
              <w:t>Étape</w:t>
            </w:r>
          </w:p>
        </w:tc>
        <w:tc>
          <w:tcPr>
            <w:tcW w:w="4110" w:type="dxa"/>
            <w:shd w:val="clear" w:color="auto" w:fill="C6EFCE"/>
            <w:hideMark/>
          </w:tcPr>
          <w:p w14:paraId="1216C526" w14:textId="77777777" w:rsidR="003C4798" w:rsidRDefault="00417595">
            <w:pPr>
              <w:pStyle w:val="P68B1DB1-Normal87"/>
              <w:spacing w:line="240" w:lineRule="auto"/>
              <w:textAlignment w:val="baseline"/>
              <w:rPr>
                <w:noProof/>
              </w:rPr>
            </w:pPr>
            <w:r>
              <w:rPr>
                <w:noProof/>
              </w:rPr>
              <w:t>Adoption des orientations par le ministre chargé du développement régional établissant les règles relatives à la participation des parties prenantes et des partenaires sociaux à la mise en œuvre du PRR</w:t>
            </w:r>
          </w:p>
        </w:tc>
      </w:tr>
      <w:tr w:rsidR="003C4798" w14:paraId="1216C52C" w14:textId="77777777">
        <w:trPr>
          <w:trHeight w:val="300"/>
          <w:jc w:val="center"/>
        </w:trPr>
        <w:tc>
          <w:tcPr>
            <w:tcW w:w="1464" w:type="dxa"/>
            <w:shd w:val="clear" w:color="auto" w:fill="C6EFCE"/>
            <w:hideMark/>
          </w:tcPr>
          <w:p w14:paraId="1216C528" w14:textId="1E69C869" w:rsidR="003C4798" w:rsidRDefault="00417595">
            <w:pPr>
              <w:pStyle w:val="P68B1DB1-Normal87"/>
              <w:spacing w:line="240" w:lineRule="auto"/>
              <w:ind w:right="45"/>
              <w:jc w:val="center"/>
              <w:textAlignment w:val="baseline"/>
              <w:rPr>
                <w:noProof/>
              </w:rPr>
            </w:pPr>
            <w:r>
              <w:rPr>
                <w:noProof/>
              </w:rPr>
              <w:t xml:space="preserve">F7G </w:t>
            </w:r>
          </w:p>
        </w:tc>
        <w:tc>
          <w:tcPr>
            <w:tcW w:w="3351" w:type="dxa"/>
            <w:shd w:val="clear" w:color="auto" w:fill="C6EFCE"/>
            <w:hideMark/>
          </w:tcPr>
          <w:p w14:paraId="1216C529" w14:textId="5ED71060" w:rsidR="003C4798" w:rsidRDefault="00417595">
            <w:pPr>
              <w:pStyle w:val="P68B1DB1-Normal87"/>
              <w:spacing w:line="240" w:lineRule="auto"/>
              <w:textAlignment w:val="baseline"/>
              <w:rPr>
                <w:noProof/>
              </w:rPr>
            </w:pPr>
            <w:r>
              <w:rPr>
                <w:noProof/>
              </w:rPr>
              <w:t>F3.1 Améliorer les conditions de mise en œuvre du PRR</w:t>
            </w:r>
          </w:p>
        </w:tc>
        <w:tc>
          <w:tcPr>
            <w:tcW w:w="1276" w:type="dxa"/>
            <w:shd w:val="clear" w:color="auto" w:fill="C6EFCE"/>
            <w:hideMark/>
          </w:tcPr>
          <w:p w14:paraId="1216C52A" w14:textId="22AB241B" w:rsidR="003C4798" w:rsidRDefault="00417595">
            <w:pPr>
              <w:pStyle w:val="P68B1DB1-Normal87"/>
              <w:spacing w:line="240" w:lineRule="auto"/>
              <w:ind w:left="60"/>
              <w:textAlignment w:val="baseline"/>
              <w:rPr>
                <w:noProof/>
              </w:rPr>
            </w:pPr>
            <w:r>
              <w:rPr>
                <w:noProof/>
              </w:rPr>
              <w:t xml:space="preserve">Étape </w:t>
            </w:r>
          </w:p>
        </w:tc>
        <w:tc>
          <w:tcPr>
            <w:tcW w:w="4110" w:type="dxa"/>
            <w:shd w:val="clear" w:color="auto" w:fill="C6EFCE"/>
            <w:hideMark/>
          </w:tcPr>
          <w:p w14:paraId="1216C52B" w14:textId="653935EF" w:rsidR="003C4798" w:rsidRDefault="00417595">
            <w:pPr>
              <w:pStyle w:val="P68B1DB1-Normal87"/>
              <w:spacing w:line="240" w:lineRule="auto"/>
              <w:textAlignment w:val="baseline"/>
              <w:rPr>
                <w:noProof/>
              </w:rPr>
            </w:pPr>
            <w:r>
              <w:rPr>
                <w:noProof/>
              </w:rPr>
              <w:t>Garantir un audit et un contrôle efficaces dans le cadre de la mise en œuvre de la FRR protégeant les intérêts financiers de l’Union</w:t>
            </w:r>
          </w:p>
        </w:tc>
      </w:tr>
      <w:tr w:rsidR="003C4798" w14:paraId="1216C531" w14:textId="77777777">
        <w:trPr>
          <w:trHeight w:val="300"/>
          <w:jc w:val="center"/>
        </w:trPr>
        <w:tc>
          <w:tcPr>
            <w:tcW w:w="1464" w:type="dxa"/>
            <w:shd w:val="clear" w:color="auto" w:fill="C6EFCE"/>
            <w:hideMark/>
          </w:tcPr>
          <w:p w14:paraId="1216C52D" w14:textId="7B20B84D" w:rsidR="003C4798" w:rsidRDefault="00417595">
            <w:pPr>
              <w:pStyle w:val="P68B1DB1-Normal87"/>
              <w:spacing w:line="240" w:lineRule="auto"/>
              <w:ind w:right="45"/>
              <w:jc w:val="center"/>
              <w:textAlignment w:val="baseline"/>
              <w:rPr>
                <w:noProof/>
              </w:rPr>
            </w:pPr>
            <w:r>
              <w:rPr>
                <w:noProof/>
              </w:rPr>
              <w:t xml:space="preserve"> </w:t>
            </w:r>
          </w:p>
        </w:tc>
        <w:tc>
          <w:tcPr>
            <w:tcW w:w="3351" w:type="dxa"/>
            <w:shd w:val="clear" w:color="auto" w:fill="C6EFCE"/>
            <w:hideMark/>
          </w:tcPr>
          <w:p w14:paraId="1216C52E" w14:textId="7B9C2B0F" w:rsidR="003C4798" w:rsidRDefault="003C4798">
            <w:pPr>
              <w:spacing w:line="240" w:lineRule="auto"/>
              <w:textAlignment w:val="baseline"/>
              <w:rPr>
                <w:rFonts w:ascii="Times New Roman" w:eastAsia="Times New Roman" w:hAnsi="Times New Roman" w:cs="Times New Roman"/>
                <w:noProof/>
              </w:rPr>
            </w:pPr>
          </w:p>
        </w:tc>
        <w:tc>
          <w:tcPr>
            <w:tcW w:w="1276" w:type="dxa"/>
            <w:shd w:val="clear" w:color="auto" w:fill="C6EFCE"/>
            <w:hideMark/>
          </w:tcPr>
          <w:p w14:paraId="1216C52F" w14:textId="312CC5C7" w:rsidR="003C4798" w:rsidRDefault="00417595">
            <w:pPr>
              <w:pStyle w:val="P68B1DB1-Normal87"/>
              <w:spacing w:line="240" w:lineRule="auto"/>
              <w:ind w:left="60"/>
              <w:textAlignment w:val="baseline"/>
              <w:rPr>
                <w:noProof/>
              </w:rPr>
            </w:pPr>
            <w:r>
              <w:rPr>
                <w:noProof/>
              </w:rPr>
              <w:t>Montant des acomptes provisionnels</w:t>
            </w:r>
          </w:p>
        </w:tc>
        <w:tc>
          <w:tcPr>
            <w:tcW w:w="4110" w:type="dxa"/>
            <w:shd w:val="clear" w:color="auto" w:fill="C6EFCE"/>
            <w:hideMark/>
          </w:tcPr>
          <w:p w14:paraId="1216C530" w14:textId="77777777" w:rsidR="003C4798" w:rsidRDefault="00417595">
            <w:pPr>
              <w:pStyle w:val="P68B1DB1-Normal87"/>
              <w:spacing w:line="240" w:lineRule="auto"/>
              <w:textAlignment w:val="baseline"/>
              <w:rPr>
                <w:noProof/>
              </w:rPr>
            </w:pPr>
            <w:r>
              <w:rPr>
                <w:noProof/>
              </w:rPr>
              <w:t>2 758 738 902 EUR</w:t>
            </w:r>
          </w:p>
        </w:tc>
      </w:tr>
    </w:tbl>
    <w:p w14:paraId="1216C532" w14:textId="387248F2" w:rsidR="003C4798" w:rsidRDefault="00417595">
      <w:pPr>
        <w:pStyle w:val="P68B1DB1-Normal87"/>
        <w:spacing w:line="240" w:lineRule="auto"/>
        <w:ind w:left="-1140" w:right="10770"/>
        <w:textAlignment w:val="baseline"/>
        <w:rPr>
          <w:noProof/>
        </w:rPr>
      </w:pPr>
      <w:r>
        <w:rPr>
          <w:noProof/>
        </w:rPr>
        <w:t> </w:t>
      </w:r>
    </w:p>
    <w:p w14:paraId="13654AC7" w14:textId="77777777" w:rsidR="003C4798" w:rsidRDefault="00417595">
      <w:pPr>
        <w:pStyle w:val="P68B1DB1-Normal87"/>
        <w:rPr>
          <w:noProof/>
        </w:rPr>
      </w:pPr>
      <w:r>
        <w:rPr>
          <w:noProof/>
        </w:rPr>
        <w:br w:type="page"/>
      </w:r>
    </w:p>
    <w:p w14:paraId="478E4823" w14:textId="77777777" w:rsidR="003C4798" w:rsidRDefault="003C4798">
      <w:pPr>
        <w:spacing w:line="240" w:lineRule="auto"/>
        <w:ind w:left="-1140" w:right="10770"/>
        <w:textAlignment w:val="baseline"/>
        <w:rPr>
          <w:rFonts w:ascii="Segoe UI" w:eastAsia="Times New Roman" w:hAnsi="Segoe UI" w:cs="Segoe UI"/>
          <w:noProof/>
          <w:sz w:val="18"/>
          <w:szCs w:val="18"/>
        </w:rPr>
      </w:pPr>
    </w:p>
    <w:p w14:paraId="1216C534" w14:textId="77777777" w:rsidR="003C4798" w:rsidRDefault="00417595">
      <w:pPr>
        <w:pStyle w:val="P68B1DB1-Normal87"/>
        <w:spacing w:line="240" w:lineRule="auto"/>
        <w:textAlignment w:val="baseline"/>
        <w:rPr>
          <w:rFonts w:ascii="Segoe UI" w:hAnsi="Segoe UI" w:cs="Segoe UI"/>
          <w:noProof/>
          <w:sz w:val="18"/>
          <w:szCs w:val="18"/>
        </w:rPr>
      </w:pPr>
      <w:r>
        <w:rPr>
          <w:noProof/>
        </w:rPr>
        <w:t>2.1.2 Deuxième tranche (soutien non remboursable):</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5"/>
        <w:gridCol w:w="3564"/>
        <w:gridCol w:w="1256"/>
        <w:gridCol w:w="3534"/>
      </w:tblGrid>
      <w:tr w:rsidR="003C4798" w14:paraId="1216C539" w14:textId="77777777">
        <w:trPr>
          <w:trHeight w:val="300"/>
          <w:tblHeader/>
          <w:jc w:val="center"/>
        </w:trPr>
        <w:tc>
          <w:tcPr>
            <w:tcW w:w="1335" w:type="dxa"/>
            <w:shd w:val="clear" w:color="auto" w:fill="BDD6EE"/>
            <w:hideMark/>
          </w:tcPr>
          <w:p w14:paraId="1216C535" w14:textId="5A9C8E3B" w:rsidR="003C4798" w:rsidRDefault="00417595">
            <w:pPr>
              <w:pStyle w:val="P68B1DB1-Normal87"/>
              <w:spacing w:line="240" w:lineRule="auto"/>
              <w:jc w:val="center"/>
              <w:textAlignment w:val="baseline"/>
              <w:rPr>
                <w:noProof/>
                <w:sz w:val="24"/>
                <w:szCs w:val="24"/>
              </w:rPr>
            </w:pPr>
            <w:r>
              <w:rPr>
                <w:b/>
                <w:noProof/>
              </w:rPr>
              <w:t>Numéro séquentiel</w:t>
            </w:r>
            <w:r>
              <w:rPr>
                <w:noProof/>
              </w:rPr>
              <w:t xml:space="preserve"> </w:t>
            </w:r>
          </w:p>
        </w:tc>
        <w:tc>
          <w:tcPr>
            <w:tcW w:w="3960" w:type="dxa"/>
            <w:shd w:val="clear" w:color="auto" w:fill="BDD6EE"/>
            <w:hideMark/>
          </w:tcPr>
          <w:p w14:paraId="1216C536" w14:textId="55DABBC8" w:rsidR="003C4798" w:rsidRDefault="00417595">
            <w:pPr>
              <w:pStyle w:val="P68B1DB1-Normal87"/>
              <w:spacing w:line="240" w:lineRule="auto"/>
              <w:jc w:val="center"/>
              <w:textAlignment w:val="baseline"/>
              <w:rPr>
                <w:noProof/>
                <w:sz w:val="24"/>
                <w:szCs w:val="24"/>
              </w:rPr>
            </w:pPr>
            <w:r>
              <w:rPr>
                <w:b/>
                <w:noProof/>
              </w:rPr>
              <w:t>Mesure connexe (réforme ou investissement)</w:t>
            </w:r>
            <w:r>
              <w:rPr>
                <w:noProof/>
              </w:rPr>
              <w:t xml:space="preserve"> </w:t>
            </w:r>
          </w:p>
        </w:tc>
        <w:tc>
          <w:tcPr>
            <w:tcW w:w="1245" w:type="dxa"/>
            <w:shd w:val="clear" w:color="auto" w:fill="BDD6EE"/>
            <w:hideMark/>
          </w:tcPr>
          <w:p w14:paraId="1216C537" w14:textId="7788E953" w:rsidR="003C4798" w:rsidRDefault="00417595">
            <w:pPr>
              <w:pStyle w:val="P68B1DB1-Normal100"/>
              <w:spacing w:line="240" w:lineRule="auto"/>
              <w:ind w:left="15" w:right="15"/>
              <w:jc w:val="center"/>
              <w:textAlignment w:val="baseline"/>
              <w:rPr>
                <w:noProof/>
                <w:sz w:val="24"/>
                <w:szCs w:val="24"/>
              </w:rPr>
            </w:pPr>
            <w:r>
              <w:rPr>
                <w:noProof/>
              </w:rPr>
              <w:t>Étape/cible</w:t>
            </w:r>
          </w:p>
        </w:tc>
        <w:tc>
          <w:tcPr>
            <w:tcW w:w="3915" w:type="dxa"/>
            <w:shd w:val="clear" w:color="auto" w:fill="BDD6EE"/>
            <w:hideMark/>
          </w:tcPr>
          <w:p w14:paraId="1216C538" w14:textId="47ACF307" w:rsidR="003C4798" w:rsidRDefault="00417595">
            <w:pPr>
              <w:pStyle w:val="P68B1DB1-Normal87"/>
              <w:spacing w:line="240" w:lineRule="auto"/>
              <w:ind w:right="45"/>
              <w:jc w:val="center"/>
              <w:textAlignment w:val="baseline"/>
              <w:rPr>
                <w:noProof/>
                <w:sz w:val="24"/>
                <w:szCs w:val="24"/>
              </w:rPr>
            </w:pPr>
            <w:r>
              <w:rPr>
                <w:b/>
                <w:noProof/>
              </w:rPr>
              <w:t>Nom</w:t>
            </w:r>
            <w:r>
              <w:rPr>
                <w:noProof/>
              </w:rPr>
              <w:t xml:space="preserve"> </w:t>
            </w:r>
          </w:p>
        </w:tc>
      </w:tr>
      <w:tr w:rsidR="003C4798" w14:paraId="1216C53E" w14:textId="77777777">
        <w:trPr>
          <w:trHeight w:val="300"/>
          <w:jc w:val="center"/>
        </w:trPr>
        <w:tc>
          <w:tcPr>
            <w:tcW w:w="1335" w:type="dxa"/>
            <w:shd w:val="clear" w:color="auto" w:fill="C6EFCE"/>
            <w:hideMark/>
          </w:tcPr>
          <w:p w14:paraId="1216C53A" w14:textId="3FE5D826" w:rsidR="003C4798" w:rsidRDefault="00417595">
            <w:pPr>
              <w:pStyle w:val="P68B1DB1-Normal87"/>
              <w:spacing w:line="240" w:lineRule="auto"/>
              <w:ind w:right="45"/>
              <w:jc w:val="center"/>
              <w:textAlignment w:val="baseline"/>
              <w:rPr>
                <w:noProof/>
                <w:sz w:val="24"/>
                <w:szCs w:val="24"/>
              </w:rPr>
            </w:pPr>
            <w:r>
              <w:rPr>
                <w:noProof/>
              </w:rPr>
              <w:t xml:space="preserve">A13G </w:t>
            </w:r>
          </w:p>
        </w:tc>
        <w:tc>
          <w:tcPr>
            <w:tcW w:w="3960" w:type="dxa"/>
            <w:shd w:val="clear" w:color="auto" w:fill="C6EFCE"/>
            <w:hideMark/>
          </w:tcPr>
          <w:p w14:paraId="1216C53B" w14:textId="219EB3B4" w:rsidR="003C4798" w:rsidRDefault="00417595">
            <w:pPr>
              <w:pStyle w:val="P68B1DB1-Normal87"/>
              <w:spacing w:line="240" w:lineRule="auto"/>
              <w:textAlignment w:val="baseline"/>
              <w:rPr>
                <w:noProof/>
                <w:sz w:val="24"/>
                <w:szCs w:val="24"/>
              </w:rPr>
            </w:pPr>
            <w:r>
              <w:rPr>
                <w:noProof/>
              </w:rPr>
              <w:t>A1.3.1 Mise en œuvre de la réforme de l'aménagement du territoire</w:t>
            </w:r>
          </w:p>
        </w:tc>
        <w:tc>
          <w:tcPr>
            <w:tcW w:w="1245" w:type="dxa"/>
            <w:shd w:val="clear" w:color="auto" w:fill="C6EFCE"/>
            <w:hideMark/>
          </w:tcPr>
          <w:p w14:paraId="1216C53C" w14:textId="6060C03A"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3D" w14:textId="7BDF7EDF" w:rsidR="003C4798" w:rsidRDefault="00417595">
            <w:pPr>
              <w:pStyle w:val="P68B1DB1-Normal87"/>
              <w:spacing w:line="240" w:lineRule="auto"/>
              <w:ind w:right="30"/>
              <w:textAlignment w:val="baseline"/>
              <w:rPr>
                <w:noProof/>
                <w:sz w:val="24"/>
                <w:szCs w:val="24"/>
              </w:rPr>
            </w:pPr>
            <w:r>
              <w:rPr>
                <w:noProof/>
              </w:rPr>
              <w:t>Publication d’un document déterminant le mécanisme d’attribution et le montant indicatif de l’aide à accorder à chaque municipalité de Pologne pour la mise en œuvre de la réforme de l’aménagement du territoire</w:t>
            </w:r>
          </w:p>
        </w:tc>
      </w:tr>
      <w:tr w:rsidR="003C4798" w14:paraId="1216C543" w14:textId="77777777">
        <w:trPr>
          <w:trHeight w:val="300"/>
          <w:jc w:val="center"/>
        </w:trPr>
        <w:tc>
          <w:tcPr>
            <w:tcW w:w="1335" w:type="dxa"/>
            <w:shd w:val="clear" w:color="auto" w:fill="C6EFCE"/>
            <w:hideMark/>
          </w:tcPr>
          <w:p w14:paraId="1216C53F" w14:textId="6C11859C" w:rsidR="003C4798" w:rsidRDefault="00417595">
            <w:pPr>
              <w:pStyle w:val="P68B1DB1-Normal87"/>
              <w:spacing w:line="240" w:lineRule="auto"/>
              <w:ind w:right="45"/>
              <w:jc w:val="center"/>
              <w:textAlignment w:val="baseline"/>
              <w:rPr>
                <w:noProof/>
                <w:sz w:val="24"/>
                <w:szCs w:val="24"/>
              </w:rPr>
            </w:pPr>
            <w:r>
              <w:rPr>
                <w:noProof/>
              </w:rPr>
              <w:t xml:space="preserve">A49G </w:t>
            </w:r>
          </w:p>
        </w:tc>
        <w:tc>
          <w:tcPr>
            <w:tcW w:w="3960" w:type="dxa"/>
            <w:shd w:val="clear" w:color="auto" w:fill="C6EFCE"/>
            <w:hideMark/>
          </w:tcPr>
          <w:p w14:paraId="1216C540" w14:textId="1B803DDA" w:rsidR="003C4798" w:rsidRDefault="00417595">
            <w:pPr>
              <w:pStyle w:val="P68B1DB1-Normal87"/>
              <w:spacing w:line="240" w:lineRule="auto"/>
              <w:textAlignment w:val="baseline"/>
              <w:rPr>
                <w:noProof/>
                <w:sz w:val="24"/>
                <w:szCs w:val="24"/>
              </w:rPr>
            </w:pPr>
            <w:r>
              <w:rPr>
                <w:noProof/>
              </w:rPr>
              <w:t>A3.1.1 Investissements dans la formation professionnelle moderne, l'enseignement supérieur et l'apprentissage tout au long de la vie</w:t>
            </w:r>
          </w:p>
        </w:tc>
        <w:tc>
          <w:tcPr>
            <w:tcW w:w="1245" w:type="dxa"/>
            <w:shd w:val="clear" w:color="auto" w:fill="C6EFCE"/>
            <w:hideMark/>
          </w:tcPr>
          <w:p w14:paraId="1216C541" w14:textId="7E522C46" w:rsidR="003C4798" w:rsidRDefault="00417595">
            <w:pPr>
              <w:pStyle w:val="P68B1DB1-Normal87"/>
              <w:spacing w:line="240" w:lineRule="auto"/>
              <w:ind w:right="45"/>
              <w:textAlignment w:val="baseline"/>
              <w:rPr>
                <w:noProof/>
                <w:sz w:val="24"/>
                <w:szCs w:val="24"/>
              </w:rPr>
            </w:pPr>
            <w:r>
              <w:rPr>
                <w:noProof/>
              </w:rPr>
              <w:t>Objectif</w:t>
            </w:r>
          </w:p>
        </w:tc>
        <w:tc>
          <w:tcPr>
            <w:tcW w:w="3915" w:type="dxa"/>
            <w:shd w:val="clear" w:color="auto" w:fill="C6EFCE"/>
            <w:hideMark/>
          </w:tcPr>
          <w:p w14:paraId="1216C542" w14:textId="7B376EFF" w:rsidR="003C4798" w:rsidRDefault="00417595">
            <w:pPr>
              <w:pStyle w:val="P68B1DB1-Normal87"/>
              <w:spacing w:line="240" w:lineRule="auto"/>
              <w:textAlignment w:val="baseline"/>
              <w:rPr>
                <w:noProof/>
                <w:sz w:val="24"/>
                <w:szCs w:val="24"/>
              </w:rPr>
            </w:pPr>
            <w:r>
              <w:rPr>
                <w:noProof/>
              </w:rPr>
              <w:t>Mise en place d'équipes de coordination régionale opérationnelles chargées de coordonner la politique en matière d'enseignement et de formation professionnels et d'apprentissage tout au long de la vie</w:t>
            </w:r>
          </w:p>
        </w:tc>
      </w:tr>
      <w:tr w:rsidR="003C4798" w14:paraId="1216C548" w14:textId="77777777">
        <w:trPr>
          <w:trHeight w:val="300"/>
          <w:jc w:val="center"/>
        </w:trPr>
        <w:tc>
          <w:tcPr>
            <w:tcW w:w="1335" w:type="dxa"/>
            <w:shd w:val="clear" w:color="auto" w:fill="C6EFCE"/>
            <w:hideMark/>
          </w:tcPr>
          <w:p w14:paraId="1216C544" w14:textId="4882261B" w:rsidR="003C4798" w:rsidRDefault="00417595">
            <w:pPr>
              <w:pStyle w:val="P68B1DB1-Normal87"/>
              <w:spacing w:line="240" w:lineRule="auto"/>
              <w:ind w:right="45"/>
              <w:jc w:val="center"/>
              <w:textAlignment w:val="baseline"/>
              <w:rPr>
                <w:noProof/>
                <w:sz w:val="24"/>
                <w:szCs w:val="24"/>
              </w:rPr>
            </w:pPr>
            <w:r>
              <w:rPr>
                <w:noProof/>
              </w:rPr>
              <w:t xml:space="preserve">A53G </w:t>
            </w:r>
          </w:p>
        </w:tc>
        <w:tc>
          <w:tcPr>
            <w:tcW w:w="3960" w:type="dxa"/>
            <w:shd w:val="clear" w:color="auto" w:fill="C6EFCE"/>
            <w:hideMark/>
          </w:tcPr>
          <w:p w14:paraId="1216C545" w14:textId="77777777" w:rsidR="003C4798" w:rsidRDefault="00417595">
            <w:pPr>
              <w:pStyle w:val="P68B1DB1-Normal87"/>
              <w:spacing w:line="240" w:lineRule="auto"/>
              <w:textAlignment w:val="baseline"/>
              <w:rPr>
                <w:noProof/>
                <w:sz w:val="24"/>
                <w:szCs w:val="24"/>
              </w:rPr>
            </w:pPr>
            <w:r>
              <w:rPr>
                <w:noProof/>
              </w:rPr>
              <w:t>A4.1 Réformes structurelles des institutions du marché du travail</w:t>
            </w:r>
          </w:p>
        </w:tc>
        <w:tc>
          <w:tcPr>
            <w:tcW w:w="1245" w:type="dxa"/>
            <w:shd w:val="clear" w:color="auto" w:fill="C6EFCE"/>
            <w:hideMark/>
          </w:tcPr>
          <w:p w14:paraId="1216C546" w14:textId="26895A19"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47" w14:textId="18AA275F" w:rsidR="003C4798" w:rsidRDefault="00417595">
            <w:pPr>
              <w:pStyle w:val="P68B1DB1-Normal87"/>
              <w:spacing w:line="240" w:lineRule="auto"/>
              <w:textAlignment w:val="baseline"/>
              <w:rPr>
                <w:noProof/>
                <w:sz w:val="24"/>
                <w:szCs w:val="24"/>
              </w:rPr>
            </w:pPr>
            <w:r>
              <w:rPr>
                <w:noProof/>
              </w:rPr>
              <w:t>Mener un processus de consultation des partenaires sociaux sur le potentiel des conventions collectives et mener une étude approfondie sur le rôle potentiel d'un contrat de travail unique pour apporter une nouvelle flexibilité et sécurité sur le marché du travail polonais</w:t>
            </w:r>
          </w:p>
        </w:tc>
      </w:tr>
      <w:tr w:rsidR="003C4798" w14:paraId="1216C54D" w14:textId="77777777">
        <w:trPr>
          <w:trHeight w:val="300"/>
          <w:jc w:val="center"/>
        </w:trPr>
        <w:tc>
          <w:tcPr>
            <w:tcW w:w="1335" w:type="dxa"/>
            <w:shd w:val="clear" w:color="auto" w:fill="C6EFCE"/>
            <w:hideMark/>
          </w:tcPr>
          <w:p w14:paraId="1216C549" w14:textId="355478AB" w:rsidR="003C4798" w:rsidRDefault="00417595">
            <w:pPr>
              <w:pStyle w:val="P68B1DB1-Normal87"/>
              <w:spacing w:line="240" w:lineRule="auto"/>
              <w:ind w:right="45"/>
              <w:jc w:val="center"/>
              <w:textAlignment w:val="baseline"/>
              <w:rPr>
                <w:noProof/>
                <w:sz w:val="24"/>
                <w:szCs w:val="24"/>
              </w:rPr>
            </w:pPr>
            <w:r>
              <w:rPr>
                <w:noProof/>
              </w:rPr>
              <w:t xml:space="preserve">A65G </w:t>
            </w:r>
          </w:p>
        </w:tc>
        <w:tc>
          <w:tcPr>
            <w:tcW w:w="3960" w:type="dxa"/>
            <w:shd w:val="clear" w:color="auto" w:fill="C6EFCE"/>
            <w:hideMark/>
          </w:tcPr>
          <w:p w14:paraId="1216C54A" w14:textId="4B807E75" w:rsidR="003C4798" w:rsidRDefault="00417595">
            <w:pPr>
              <w:pStyle w:val="P68B1DB1-Normal87"/>
              <w:spacing w:line="240" w:lineRule="auto"/>
              <w:textAlignment w:val="baseline"/>
              <w:rPr>
                <w:noProof/>
                <w:sz w:val="24"/>
                <w:szCs w:val="24"/>
              </w:rPr>
            </w:pPr>
            <w:r>
              <w:rPr>
                <w:noProof/>
              </w:rPr>
              <w:t>A4.4 Assouplir les formes d'emploi et introduire le travail à distance</w:t>
            </w:r>
          </w:p>
        </w:tc>
        <w:tc>
          <w:tcPr>
            <w:tcW w:w="1245" w:type="dxa"/>
            <w:shd w:val="clear" w:color="auto" w:fill="C6EFCE"/>
            <w:hideMark/>
          </w:tcPr>
          <w:p w14:paraId="1216C54B" w14:textId="63BB611C"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4C" w14:textId="481333D6" w:rsidR="003C4798" w:rsidRDefault="00417595">
            <w:pPr>
              <w:pStyle w:val="P68B1DB1-Normal87"/>
              <w:spacing w:line="240" w:lineRule="auto"/>
              <w:textAlignment w:val="baseline"/>
              <w:rPr>
                <w:noProof/>
                <w:sz w:val="24"/>
                <w:szCs w:val="24"/>
              </w:rPr>
            </w:pPr>
            <w:r>
              <w:rPr>
                <w:noProof/>
              </w:rPr>
              <w:t>Entrée en vigueur de la loi modifiant le code du travail introduisant l’institution permanente du travail à distance dans les dispositions du code du travail et les formes flexibles d’aménagement du temps de travail</w:t>
            </w:r>
          </w:p>
        </w:tc>
      </w:tr>
      <w:tr w:rsidR="003C4798" w14:paraId="1216C552" w14:textId="77777777">
        <w:trPr>
          <w:trHeight w:val="300"/>
          <w:jc w:val="center"/>
        </w:trPr>
        <w:tc>
          <w:tcPr>
            <w:tcW w:w="1335" w:type="dxa"/>
            <w:shd w:val="clear" w:color="auto" w:fill="C6EFCE"/>
            <w:hideMark/>
          </w:tcPr>
          <w:p w14:paraId="1216C54E" w14:textId="34DAF445" w:rsidR="003C4798" w:rsidRDefault="00417595">
            <w:pPr>
              <w:pStyle w:val="P68B1DB1-Normal87"/>
              <w:spacing w:line="240" w:lineRule="auto"/>
              <w:ind w:right="45"/>
              <w:jc w:val="center"/>
              <w:textAlignment w:val="baseline"/>
              <w:rPr>
                <w:noProof/>
                <w:sz w:val="24"/>
                <w:szCs w:val="24"/>
              </w:rPr>
            </w:pPr>
            <w:r>
              <w:rPr>
                <w:noProof/>
              </w:rPr>
              <w:t xml:space="preserve">A67G </w:t>
            </w:r>
          </w:p>
        </w:tc>
        <w:tc>
          <w:tcPr>
            <w:tcW w:w="3960" w:type="dxa"/>
            <w:shd w:val="clear" w:color="auto" w:fill="C6EFCE"/>
            <w:hideMark/>
          </w:tcPr>
          <w:p w14:paraId="1216C54F" w14:textId="0187A2E3" w:rsidR="003C4798" w:rsidRDefault="00417595">
            <w:pPr>
              <w:pStyle w:val="P68B1DB1-Normal87"/>
              <w:spacing w:line="240" w:lineRule="auto"/>
              <w:textAlignment w:val="baseline"/>
              <w:rPr>
                <w:noProof/>
                <w:sz w:val="24"/>
                <w:szCs w:val="24"/>
              </w:rPr>
            </w:pPr>
            <w:r>
              <w:rPr>
                <w:noProof/>
              </w:rPr>
              <w:t>A4.5 Prolonger les carrières et promouvoir le travail au-delà de l'âge légal de la retraite</w:t>
            </w:r>
          </w:p>
        </w:tc>
        <w:tc>
          <w:tcPr>
            <w:tcW w:w="1245" w:type="dxa"/>
            <w:shd w:val="clear" w:color="auto" w:fill="C6EFCE"/>
            <w:hideMark/>
          </w:tcPr>
          <w:p w14:paraId="1216C550" w14:textId="46A930A1"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51" w14:textId="23B87847" w:rsidR="003C4798" w:rsidRDefault="00417595">
            <w:pPr>
              <w:pStyle w:val="P68B1DB1-Normal87"/>
              <w:spacing w:line="240" w:lineRule="auto"/>
              <w:textAlignment w:val="baseline"/>
              <w:rPr>
                <w:noProof/>
                <w:sz w:val="24"/>
                <w:szCs w:val="24"/>
              </w:rPr>
            </w:pPr>
            <w:r>
              <w:rPr>
                <w:noProof/>
              </w:rPr>
              <w:t>Entrée en vigueur de la loi modifiant la loi relative à l’impôt sur le revenu des personnes physiques mettant en œuvre à partir de 2023 une réduction de l’impôt sur le revenu des personnes physiques pour celles qui ont atteint l’âge de la retraite mais continuent à travailler</w:t>
            </w:r>
          </w:p>
        </w:tc>
      </w:tr>
      <w:tr w:rsidR="003C4798" w14:paraId="1216C557" w14:textId="77777777">
        <w:trPr>
          <w:trHeight w:val="300"/>
          <w:jc w:val="center"/>
        </w:trPr>
        <w:tc>
          <w:tcPr>
            <w:tcW w:w="1335" w:type="dxa"/>
            <w:shd w:val="clear" w:color="auto" w:fill="C6EFCE"/>
            <w:hideMark/>
          </w:tcPr>
          <w:p w14:paraId="1216C553" w14:textId="1227BB2E" w:rsidR="003C4798" w:rsidRDefault="00417595">
            <w:pPr>
              <w:pStyle w:val="P68B1DB1-Normal87"/>
              <w:spacing w:line="240" w:lineRule="auto"/>
              <w:ind w:right="45"/>
              <w:jc w:val="center"/>
              <w:textAlignment w:val="baseline"/>
              <w:rPr>
                <w:noProof/>
                <w:sz w:val="24"/>
                <w:szCs w:val="24"/>
              </w:rPr>
            </w:pPr>
            <w:r>
              <w:rPr>
                <w:noProof/>
              </w:rPr>
              <w:t xml:space="preserve">B4G </w:t>
            </w:r>
          </w:p>
        </w:tc>
        <w:tc>
          <w:tcPr>
            <w:tcW w:w="3960" w:type="dxa"/>
            <w:shd w:val="clear" w:color="auto" w:fill="C6EFCE"/>
            <w:hideMark/>
          </w:tcPr>
          <w:p w14:paraId="1216C554" w14:textId="18FEC992" w:rsidR="003C4798" w:rsidRDefault="00417595">
            <w:pPr>
              <w:pStyle w:val="P68B1DB1-Normal87"/>
              <w:spacing w:line="240" w:lineRule="auto"/>
              <w:textAlignment w:val="baseline"/>
              <w:rPr>
                <w:noProof/>
                <w:sz w:val="24"/>
                <w:szCs w:val="24"/>
              </w:rPr>
            </w:pPr>
            <w:r>
              <w:rPr>
                <w:noProof/>
              </w:rPr>
              <w:t>B1.1 Air pur et efficacité énergétique</w:t>
            </w:r>
          </w:p>
        </w:tc>
        <w:tc>
          <w:tcPr>
            <w:tcW w:w="1245" w:type="dxa"/>
            <w:shd w:val="clear" w:color="auto" w:fill="C6EFCE"/>
            <w:hideMark/>
          </w:tcPr>
          <w:p w14:paraId="1216C555" w14:textId="0CCA4441"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56" w14:textId="76EB05F8" w:rsidR="003C4798" w:rsidRDefault="00417595">
            <w:pPr>
              <w:pStyle w:val="P68B1DB1-Normal87"/>
              <w:spacing w:line="240" w:lineRule="auto"/>
              <w:ind w:right="30"/>
              <w:textAlignment w:val="baseline"/>
              <w:rPr>
                <w:noProof/>
                <w:sz w:val="24"/>
                <w:szCs w:val="24"/>
              </w:rPr>
            </w:pPr>
            <w:r>
              <w:rPr>
                <w:noProof/>
              </w:rPr>
              <w:t>Entrée en vigueur d’une modification du règlement par le ministre du climat et de l’environnement sur les normes de qualité pour les combustibles solides</w:t>
            </w:r>
          </w:p>
        </w:tc>
      </w:tr>
      <w:tr w:rsidR="003C4798" w14:paraId="1216C55C" w14:textId="77777777">
        <w:trPr>
          <w:trHeight w:val="300"/>
          <w:jc w:val="center"/>
        </w:trPr>
        <w:tc>
          <w:tcPr>
            <w:tcW w:w="1335" w:type="dxa"/>
            <w:shd w:val="clear" w:color="auto" w:fill="C6EFCE"/>
            <w:hideMark/>
          </w:tcPr>
          <w:p w14:paraId="1216C558" w14:textId="1F0D78A7" w:rsidR="003C4798" w:rsidRDefault="00417595">
            <w:pPr>
              <w:pStyle w:val="P68B1DB1-Normal87"/>
              <w:spacing w:line="240" w:lineRule="auto"/>
              <w:ind w:right="45"/>
              <w:jc w:val="center"/>
              <w:textAlignment w:val="baseline"/>
              <w:rPr>
                <w:noProof/>
                <w:sz w:val="24"/>
                <w:szCs w:val="24"/>
              </w:rPr>
            </w:pPr>
            <w:r>
              <w:rPr>
                <w:noProof/>
              </w:rPr>
              <w:t xml:space="preserve">C3G </w:t>
            </w:r>
          </w:p>
        </w:tc>
        <w:tc>
          <w:tcPr>
            <w:tcW w:w="3960" w:type="dxa"/>
            <w:shd w:val="clear" w:color="auto" w:fill="C6EFCE"/>
            <w:hideMark/>
          </w:tcPr>
          <w:p w14:paraId="1216C559" w14:textId="094E3974" w:rsidR="003C4798" w:rsidRDefault="00417595">
            <w:pPr>
              <w:pStyle w:val="P68B1DB1-Normal87"/>
              <w:spacing w:line="240" w:lineRule="auto"/>
              <w:textAlignment w:val="baseline"/>
              <w:rPr>
                <w:noProof/>
                <w:sz w:val="24"/>
                <w:szCs w:val="24"/>
              </w:rPr>
            </w:pPr>
            <w:r>
              <w:rPr>
                <w:noProof/>
              </w:rPr>
              <w:t>C1.1 Faciliter le développement de l'infrastructure de réseau pour assurer l'accès universel à l'internet à haut débit</w:t>
            </w:r>
          </w:p>
        </w:tc>
        <w:tc>
          <w:tcPr>
            <w:tcW w:w="1245" w:type="dxa"/>
            <w:shd w:val="clear" w:color="auto" w:fill="C6EFCE"/>
            <w:hideMark/>
          </w:tcPr>
          <w:p w14:paraId="1216C55A" w14:textId="6D591011"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5B" w14:textId="3150F48E" w:rsidR="003C4798" w:rsidRDefault="00417595">
            <w:pPr>
              <w:pStyle w:val="P68B1DB1-Normal87"/>
              <w:spacing w:line="240" w:lineRule="auto"/>
              <w:textAlignment w:val="baseline"/>
              <w:rPr>
                <w:noProof/>
                <w:sz w:val="24"/>
                <w:szCs w:val="24"/>
              </w:rPr>
            </w:pPr>
            <w:r>
              <w:rPr>
                <w:noProof/>
              </w:rPr>
              <w:t>Modification du règlement sur le point d'information unique</w:t>
            </w:r>
          </w:p>
        </w:tc>
      </w:tr>
      <w:tr w:rsidR="003C4798" w14:paraId="1216C561" w14:textId="77777777">
        <w:trPr>
          <w:trHeight w:val="300"/>
          <w:jc w:val="center"/>
        </w:trPr>
        <w:tc>
          <w:tcPr>
            <w:tcW w:w="1335" w:type="dxa"/>
            <w:shd w:val="clear" w:color="auto" w:fill="C6EFCE"/>
            <w:hideMark/>
          </w:tcPr>
          <w:p w14:paraId="1216C55D" w14:textId="5BC234D4" w:rsidR="003C4798" w:rsidRDefault="00417595">
            <w:pPr>
              <w:pStyle w:val="P68B1DB1-Normal87"/>
              <w:spacing w:line="240" w:lineRule="auto"/>
              <w:ind w:right="45"/>
              <w:jc w:val="center"/>
              <w:textAlignment w:val="baseline"/>
              <w:rPr>
                <w:noProof/>
                <w:sz w:val="24"/>
                <w:szCs w:val="24"/>
              </w:rPr>
            </w:pPr>
            <w:r>
              <w:rPr>
                <w:noProof/>
              </w:rPr>
              <w:t xml:space="preserve">C9G </w:t>
            </w:r>
          </w:p>
        </w:tc>
        <w:tc>
          <w:tcPr>
            <w:tcW w:w="3960" w:type="dxa"/>
            <w:shd w:val="clear" w:color="auto" w:fill="C6EFCE"/>
            <w:hideMark/>
          </w:tcPr>
          <w:p w14:paraId="1216C55E" w14:textId="1CC694FC" w:rsidR="003C4798" w:rsidRDefault="00417595">
            <w:pPr>
              <w:pStyle w:val="P68B1DB1-Normal87"/>
              <w:spacing w:line="240" w:lineRule="auto"/>
              <w:textAlignment w:val="baseline"/>
              <w:rPr>
                <w:noProof/>
                <w:sz w:val="24"/>
                <w:szCs w:val="24"/>
              </w:rPr>
            </w:pPr>
            <w:r>
              <w:rPr>
                <w:noProof/>
              </w:rPr>
              <w:t>C2.1 Développer les applications numériques dans la sphère publique, l'économie et la société</w:t>
            </w:r>
          </w:p>
        </w:tc>
        <w:tc>
          <w:tcPr>
            <w:tcW w:w="1245" w:type="dxa"/>
            <w:shd w:val="clear" w:color="auto" w:fill="C6EFCE"/>
            <w:hideMark/>
          </w:tcPr>
          <w:p w14:paraId="1216C55F" w14:textId="16B65EA1"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60" w14:textId="09C2B000" w:rsidR="003C4798" w:rsidRDefault="00417595">
            <w:pPr>
              <w:pStyle w:val="P68B1DB1-Normal87"/>
              <w:spacing w:line="240" w:lineRule="auto"/>
              <w:textAlignment w:val="baseline"/>
              <w:rPr>
                <w:noProof/>
                <w:sz w:val="24"/>
                <w:szCs w:val="24"/>
              </w:rPr>
            </w:pPr>
            <w:r>
              <w:rPr>
                <w:noProof/>
              </w:rPr>
              <w:t>Normes minimales contraignantes pour équiper toutes les écoles d’infrastructures numériques afin de permettre l’utilisation des technologies numériques dans l’apprentissage sur un pied d’égalité dans chaque école</w:t>
            </w:r>
          </w:p>
        </w:tc>
      </w:tr>
      <w:tr w:rsidR="003C4798" w14:paraId="1216C566" w14:textId="77777777">
        <w:trPr>
          <w:trHeight w:val="300"/>
          <w:jc w:val="center"/>
        </w:trPr>
        <w:tc>
          <w:tcPr>
            <w:tcW w:w="1335" w:type="dxa"/>
            <w:shd w:val="clear" w:color="auto" w:fill="C6EFCE"/>
            <w:hideMark/>
          </w:tcPr>
          <w:p w14:paraId="1216C562" w14:textId="03DD9974" w:rsidR="003C4798" w:rsidRDefault="00417595">
            <w:pPr>
              <w:pStyle w:val="P68B1DB1-Normal87"/>
              <w:spacing w:line="240" w:lineRule="auto"/>
              <w:ind w:right="45"/>
              <w:jc w:val="center"/>
              <w:textAlignment w:val="baseline"/>
              <w:rPr>
                <w:noProof/>
                <w:sz w:val="24"/>
                <w:szCs w:val="24"/>
              </w:rPr>
            </w:pPr>
            <w:r>
              <w:rPr>
                <w:noProof/>
              </w:rPr>
              <w:t xml:space="preserve">C10G </w:t>
            </w:r>
          </w:p>
        </w:tc>
        <w:tc>
          <w:tcPr>
            <w:tcW w:w="3960" w:type="dxa"/>
            <w:shd w:val="clear" w:color="auto" w:fill="C6EFCE"/>
            <w:hideMark/>
          </w:tcPr>
          <w:p w14:paraId="1216C563" w14:textId="3A5CFF9A" w:rsidR="003C4798" w:rsidRDefault="00417595">
            <w:pPr>
              <w:pStyle w:val="P68B1DB1-Normal87"/>
              <w:spacing w:line="240" w:lineRule="auto"/>
              <w:textAlignment w:val="baseline"/>
              <w:rPr>
                <w:noProof/>
                <w:sz w:val="24"/>
                <w:szCs w:val="24"/>
              </w:rPr>
            </w:pPr>
            <w:r>
              <w:rPr>
                <w:noProof/>
              </w:rPr>
              <w:t>C2.1 Développer les applications numériques dans la sphère publique, l'économie et la société</w:t>
            </w:r>
          </w:p>
        </w:tc>
        <w:tc>
          <w:tcPr>
            <w:tcW w:w="1245" w:type="dxa"/>
            <w:shd w:val="clear" w:color="auto" w:fill="C6EFCE"/>
            <w:hideMark/>
          </w:tcPr>
          <w:p w14:paraId="1216C564" w14:textId="0EB6D281"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65" w14:textId="0CE69D43" w:rsidR="003C4798" w:rsidRDefault="00417595">
            <w:pPr>
              <w:pStyle w:val="P68B1DB1-Normal87"/>
              <w:spacing w:line="240" w:lineRule="auto"/>
              <w:textAlignment w:val="baseline"/>
              <w:rPr>
                <w:noProof/>
                <w:sz w:val="24"/>
                <w:szCs w:val="24"/>
              </w:rPr>
            </w:pPr>
            <w:r>
              <w:rPr>
                <w:noProof/>
              </w:rPr>
              <w:t>Entrée en vigueur de la résolution du Conseil des ministres sur le programme de développement des compétences numériques</w:t>
            </w:r>
          </w:p>
        </w:tc>
      </w:tr>
      <w:tr w:rsidR="003C4798" w14:paraId="1216C56B" w14:textId="77777777">
        <w:trPr>
          <w:trHeight w:val="300"/>
          <w:jc w:val="center"/>
        </w:trPr>
        <w:tc>
          <w:tcPr>
            <w:tcW w:w="1335" w:type="dxa"/>
            <w:shd w:val="clear" w:color="auto" w:fill="C6EFCE"/>
            <w:hideMark/>
          </w:tcPr>
          <w:p w14:paraId="1216C567" w14:textId="2300BF98" w:rsidR="003C4798" w:rsidRDefault="00417595">
            <w:pPr>
              <w:pStyle w:val="P68B1DB1-Normal87"/>
              <w:spacing w:line="240" w:lineRule="auto"/>
              <w:ind w:right="45"/>
              <w:jc w:val="center"/>
              <w:textAlignment w:val="baseline"/>
              <w:rPr>
                <w:noProof/>
                <w:sz w:val="24"/>
                <w:szCs w:val="24"/>
              </w:rPr>
            </w:pPr>
            <w:r>
              <w:rPr>
                <w:noProof/>
              </w:rPr>
              <w:t xml:space="preserve">C16G </w:t>
            </w:r>
          </w:p>
        </w:tc>
        <w:tc>
          <w:tcPr>
            <w:tcW w:w="3960" w:type="dxa"/>
            <w:shd w:val="clear" w:color="auto" w:fill="C6EFCE"/>
            <w:hideMark/>
          </w:tcPr>
          <w:p w14:paraId="1216C568" w14:textId="3BB8C4A7" w:rsidR="003C4798" w:rsidRDefault="00417595">
            <w:pPr>
              <w:pStyle w:val="P68B1DB1-Normal87"/>
              <w:spacing w:line="240" w:lineRule="auto"/>
              <w:textAlignment w:val="baseline"/>
              <w:rPr>
                <w:noProof/>
                <w:sz w:val="24"/>
                <w:szCs w:val="24"/>
              </w:rPr>
            </w:pPr>
            <w:r>
              <w:rPr>
                <w:noProof/>
              </w:rPr>
              <w:t>C2.1.3 Compétences en ligne</w:t>
            </w:r>
          </w:p>
        </w:tc>
        <w:tc>
          <w:tcPr>
            <w:tcW w:w="1245" w:type="dxa"/>
            <w:shd w:val="clear" w:color="auto" w:fill="C6EFCE"/>
            <w:hideMark/>
          </w:tcPr>
          <w:p w14:paraId="1216C569" w14:textId="4497CD96"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6A" w14:textId="062BBBBB" w:rsidR="003C4798" w:rsidRDefault="00417595">
            <w:pPr>
              <w:pStyle w:val="P68B1DB1-Normal87"/>
              <w:spacing w:line="240" w:lineRule="auto"/>
              <w:textAlignment w:val="baseline"/>
              <w:rPr>
                <w:noProof/>
                <w:sz w:val="24"/>
                <w:szCs w:val="24"/>
              </w:rPr>
            </w:pPr>
            <w:r>
              <w:rPr>
                <w:noProof/>
              </w:rPr>
              <w:t>Création d'un Centre de Développement des Compétences Numériques (DCDC)</w:t>
            </w:r>
          </w:p>
        </w:tc>
      </w:tr>
      <w:tr w:rsidR="003C4798" w14:paraId="1216C570" w14:textId="77777777">
        <w:trPr>
          <w:trHeight w:val="300"/>
          <w:jc w:val="center"/>
        </w:trPr>
        <w:tc>
          <w:tcPr>
            <w:tcW w:w="1335" w:type="dxa"/>
            <w:shd w:val="clear" w:color="auto" w:fill="C6EFCE"/>
            <w:hideMark/>
          </w:tcPr>
          <w:p w14:paraId="1216C56C" w14:textId="4B5D1D37" w:rsidR="003C4798" w:rsidRDefault="00417595">
            <w:pPr>
              <w:pStyle w:val="P68B1DB1-Normal87"/>
              <w:spacing w:line="240" w:lineRule="auto"/>
              <w:ind w:right="45"/>
              <w:jc w:val="center"/>
              <w:textAlignment w:val="baseline"/>
              <w:rPr>
                <w:noProof/>
                <w:sz w:val="24"/>
                <w:szCs w:val="24"/>
              </w:rPr>
            </w:pPr>
            <w:r>
              <w:rPr>
                <w:noProof/>
              </w:rPr>
              <w:t xml:space="preserve">D2G </w:t>
            </w:r>
          </w:p>
        </w:tc>
        <w:tc>
          <w:tcPr>
            <w:tcW w:w="3960" w:type="dxa"/>
            <w:shd w:val="clear" w:color="auto" w:fill="C6EFCE"/>
            <w:hideMark/>
          </w:tcPr>
          <w:p w14:paraId="1216C56D" w14:textId="25334A5E" w:rsidR="003C4798" w:rsidRDefault="00417595">
            <w:pPr>
              <w:pStyle w:val="P68B1DB1-Normal87"/>
              <w:spacing w:line="240" w:lineRule="auto"/>
              <w:textAlignment w:val="baseline"/>
              <w:rPr>
                <w:noProof/>
                <w:sz w:val="24"/>
                <w:szCs w:val="24"/>
              </w:rPr>
            </w:pPr>
            <w:r>
              <w:rPr>
                <w:noProof/>
              </w:rPr>
              <w:t>D1.1 Améliorer l'efficacité, l'accessibilité et la qualité des services de santé</w:t>
            </w:r>
          </w:p>
        </w:tc>
        <w:tc>
          <w:tcPr>
            <w:tcW w:w="1245" w:type="dxa"/>
            <w:shd w:val="clear" w:color="auto" w:fill="C6EFCE"/>
            <w:hideMark/>
          </w:tcPr>
          <w:p w14:paraId="1216C56E" w14:textId="516FAEF5"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6F" w14:textId="2A35BC28" w:rsidR="003C4798" w:rsidRDefault="00417595">
            <w:pPr>
              <w:pStyle w:val="P68B1DB1-Normal87"/>
              <w:spacing w:line="240" w:lineRule="auto"/>
              <w:textAlignment w:val="baseline"/>
              <w:rPr>
                <w:noProof/>
                <w:sz w:val="24"/>
                <w:szCs w:val="24"/>
              </w:rPr>
            </w:pPr>
            <w:r>
              <w:rPr>
                <w:noProof/>
              </w:rPr>
              <w:t>Entrée en vigueur de l’ordonnance du président du Fonds national de la santé (NFZ) et des actes juridiques respectifs sur le renforcement des soins primaires et des soins coordonnés, suivie de dispositions financières (y compris des modifications des contrats), permettant une mise en œuvre à l’échelle nationale</w:t>
            </w:r>
          </w:p>
        </w:tc>
      </w:tr>
      <w:tr w:rsidR="003C4798" w14:paraId="1216C575" w14:textId="77777777">
        <w:trPr>
          <w:trHeight w:val="300"/>
          <w:jc w:val="center"/>
        </w:trPr>
        <w:tc>
          <w:tcPr>
            <w:tcW w:w="1335" w:type="dxa"/>
            <w:shd w:val="clear" w:color="auto" w:fill="C6EFCE"/>
            <w:hideMark/>
          </w:tcPr>
          <w:p w14:paraId="1216C571" w14:textId="1E799B7A" w:rsidR="003C4798" w:rsidRDefault="00417595">
            <w:pPr>
              <w:pStyle w:val="P68B1DB1-Normal87"/>
              <w:spacing w:line="240" w:lineRule="auto"/>
              <w:ind w:right="45"/>
              <w:jc w:val="center"/>
              <w:textAlignment w:val="baseline"/>
              <w:rPr>
                <w:noProof/>
                <w:sz w:val="24"/>
                <w:szCs w:val="24"/>
              </w:rPr>
            </w:pPr>
            <w:r>
              <w:rPr>
                <w:noProof/>
              </w:rPr>
              <w:t xml:space="preserve">D3G </w:t>
            </w:r>
          </w:p>
        </w:tc>
        <w:tc>
          <w:tcPr>
            <w:tcW w:w="3960" w:type="dxa"/>
            <w:shd w:val="clear" w:color="auto" w:fill="C6EFCE"/>
            <w:hideMark/>
          </w:tcPr>
          <w:p w14:paraId="1216C572" w14:textId="17474BCA" w:rsidR="003C4798" w:rsidRDefault="00417595">
            <w:pPr>
              <w:pStyle w:val="P68B1DB1-Normal87"/>
              <w:spacing w:line="240" w:lineRule="auto"/>
              <w:textAlignment w:val="baseline"/>
              <w:rPr>
                <w:noProof/>
                <w:sz w:val="24"/>
                <w:szCs w:val="24"/>
              </w:rPr>
            </w:pPr>
            <w:r>
              <w:rPr>
                <w:noProof/>
              </w:rPr>
              <w:t>D1.1 Améliorer l'efficacité, l'accessibilité et la qualité des services de santé</w:t>
            </w:r>
          </w:p>
        </w:tc>
        <w:tc>
          <w:tcPr>
            <w:tcW w:w="1245" w:type="dxa"/>
            <w:shd w:val="clear" w:color="auto" w:fill="C6EFCE"/>
            <w:hideMark/>
          </w:tcPr>
          <w:p w14:paraId="1216C573" w14:textId="3D89257B"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74" w14:textId="6A8007AC" w:rsidR="003C4798" w:rsidRDefault="00417595">
            <w:pPr>
              <w:pStyle w:val="P68B1DB1-Normal87"/>
              <w:spacing w:line="240" w:lineRule="auto"/>
              <w:textAlignment w:val="baseline"/>
              <w:rPr>
                <w:noProof/>
                <w:sz w:val="24"/>
                <w:szCs w:val="24"/>
              </w:rPr>
            </w:pPr>
            <w:r>
              <w:rPr>
                <w:noProof/>
              </w:rPr>
              <w:t>Entrée en vigueur de la loi sur la qualité des soins de santé et la sécurité des patients, ainsi que des règlements d'application nécessaires</w:t>
            </w:r>
          </w:p>
        </w:tc>
      </w:tr>
      <w:tr w:rsidR="003C4798" w14:paraId="1216C57A" w14:textId="77777777">
        <w:trPr>
          <w:trHeight w:val="300"/>
          <w:jc w:val="center"/>
        </w:trPr>
        <w:tc>
          <w:tcPr>
            <w:tcW w:w="1335" w:type="dxa"/>
            <w:shd w:val="clear" w:color="auto" w:fill="C6EFCE"/>
            <w:hideMark/>
          </w:tcPr>
          <w:p w14:paraId="1216C576" w14:textId="3545776C" w:rsidR="003C4798" w:rsidRDefault="00417595">
            <w:pPr>
              <w:pStyle w:val="P68B1DB1-Normal87"/>
              <w:spacing w:line="240" w:lineRule="auto"/>
              <w:ind w:right="45"/>
              <w:jc w:val="center"/>
              <w:textAlignment w:val="baseline"/>
              <w:rPr>
                <w:noProof/>
                <w:sz w:val="24"/>
                <w:szCs w:val="24"/>
              </w:rPr>
            </w:pPr>
            <w:r>
              <w:rPr>
                <w:noProof/>
              </w:rPr>
              <w:t xml:space="preserve">D4G </w:t>
            </w:r>
          </w:p>
        </w:tc>
        <w:tc>
          <w:tcPr>
            <w:tcW w:w="3960" w:type="dxa"/>
            <w:shd w:val="clear" w:color="auto" w:fill="C6EFCE"/>
            <w:hideMark/>
          </w:tcPr>
          <w:p w14:paraId="1216C577" w14:textId="5A5202EE" w:rsidR="003C4798" w:rsidRDefault="00417595">
            <w:pPr>
              <w:pStyle w:val="P68B1DB1-Normal87"/>
              <w:spacing w:line="240" w:lineRule="auto"/>
              <w:textAlignment w:val="baseline"/>
              <w:rPr>
                <w:noProof/>
                <w:sz w:val="24"/>
                <w:szCs w:val="24"/>
              </w:rPr>
            </w:pPr>
            <w:r>
              <w:rPr>
                <w:noProof/>
              </w:rPr>
              <w:t>D1.1 Améliorer l'efficacité, l'accessibilité et la qualité des services de santé</w:t>
            </w:r>
          </w:p>
        </w:tc>
        <w:tc>
          <w:tcPr>
            <w:tcW w:w="1245" w:type="dxa"/>
            <w:shd w:val="clear" w:color="auto" w:fill="C6EFCE"/>
            <w:hideMark/>
          </w:tcPr>
          <w:p w14:paraId="1216C578" w14:textId="1026DA16"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79" w14:textId="4CB333B7" w:rsidR="003C4798" w:rsidRDefault="00417595">
            <w:pPr>
              <w:pStyle w:val="P68B1DB1-Normal87"/>
              <w:spacing w:line="240" w:lineRule="auto"/>
              <w:textAlignment w:val="baseline"/>
              <w:rPr>
                <w:noProof/>
                <w:sz w:val="24"/>
                <w:szCs w:val="24"/>
              </w:rPr>
            </w:pPr>
            <w:r>
              <w:rPr>
                <w:noProof/>
              </w:rPr>
              <w:t>Entrée en vigueur de la loi sur le réseau national oncologique et des actes juridiques pertinents établissant les règles de fonctionnement du réseau en introduisant une nouvelle structure et un nouveau modèle de gestion des soins contre le cancer</w:t>
            </w:r>
          </w:p>
        </w:tc>
      </w:tr>
      <w:tr w:rsidR="003C4798" w14:paraId="1216C57F" w14:textId="77777777">
        <w:trPr>
          <w:trHeight w:val="300"/>
          <w:jc w:val="center"/>
        </w:trPr>
        <w:tc>
          <w:tcPr>
            <w:tcW w:w="1335" w:type="dxa"/>
            <w:shd w:val="clear" w:color="auto" w:fill="C6EFCE"/>
            <w:hideMark/>
          </w:tcPr>
          <w:p w14:paraId="1216C57B" w14:textId="0355813D" w:rsidR="003C4798" w:rsidRDefault="00417595">
            <w:pPr>
              <w:pStyle w:val="P68B1DB1-Normal87"/>
              <w:spacing w:line="240" w:lineRule="auto"/>
              <w:ind w:right="45"/>
              <w:jc w:val="center"/>
              <w:textAlignment w:val="baseline"/>
              <w:rPr>
                <w:noProof/>
                <w:sz w:val="24"/>
                <w:szCs w:val="24"/>
              </w:rPr>
            </w:pPr>
            <w:r>
              <w:rPr>
                <w:noProof/>
              </w:rPr>
              <w:t xml:space="preserve">D9G </w:t>
            </w:r>
          </w:p>
        </w:tc>
        <w:tc>
          <w:tcPr>
            <w:tcW w:w="3960" w:type="dxa"/>
            <w:shd w:val="clear" w:color="auto" w:fill="C6EFCE"/>
            <w:hideMark/>
          </w:tcPr>
          <w:p w14:paraId="1216C57C" w14:textId="06392BCD" w:rsidR="003C4798" w:rsidRDefault="00417595">
            <w:pPr>
              <w:pStyle w:val="P68B1DB1-Normal87"/>
              <w:spacing w:line="240" w:lineRule="auto"/>
              <w:textAlignment w:val="baseline"/>
              <w:rPr>
                <w:noProof/>
                <w:sz w:val="24"/>
                <w:szCs w:val="24"/>
              </w:rPr>
            </w:pPr>
            <w:r>
              <w:rPr>
                <w:noProof/>
              </w:rPr>
              <w:t>D1.1.1 Modernisation des centres de soins hautement spécialisés et des autres prestataires de soins de santé</w:t>
            </w:r>
          </w:p>
        </w:tc>
        <w:tc>
          <w:tcPr>
            <w:tcW w:w="1245" w:type="dxa"/>
            <w:shd w:val="clear" w:color="auto" w:fill="C6EFCE"/>
            <w:hideMark/>
          </w:tcPr>
          <w:p w14:paraId="1216C57D" w14:textId="533AC1BA"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7E" w14:textId="11D3D258" w:rsidR="003C4798" w:rsidRDefault="00417595">
            <w:pPr>
              <w:pStyle w:val="P68B1DB1-Normal87"/>
              <w:spacing w:line="240" w:lineRule="auto"/>
              <w:textAlignment w:val="baseline"/>
              <w:rPr>
                <w:noProof/>
                <w:sz w:val="24"/>
                <w:szCs w:val="24"/>
              </w:rPr>
            </w:pPr>
            <w:r>
              <w:rPr>
                <w:noProof/>
              </w:rPr>
              <w:t>Entrée en vigueur d’un acte juridique relatif à la liste des critères précis permettant de classer les hôpitaux dans des catégories spécifiques afin de contribuer à définir les besoins d’investissement résultant de la réforme</w:t>
            </w:r>
          </w:p>
        </w:tc>
      </w:tr>
      <w:tr w:rsidR="003C4798" w14:paraId="1216C584" w14:textId="77777777">
        <w:trPr>
          <w:trHeight w:val="300"/>
          <w:jc w:val="center"/>
        </w:trPr>
        <w:tc>
          <w:tcPr>
            <w:tcW w:w="1335" w:type="dxa"/>
            <w:shd w:val="clear" w:color="auto" w:fill="C6EFCE"/>
            <w:hideMark/>
          </w:tcPr>
          <w:p w14:paraId="1216C580" w14:textId="2117BDC1" w:rsidR="003C4798" w:rsidRDefault="00417595">
            <w:pPr>
              <w:pStyle w:val="P68B1DB1-Normal87"/>
              <w:spacing w:line="240" w:lineRule="auto"/>
              <w:ind w:right="45"/>
              <w:jc w:val="center"/>
              <w:textAlignment w:val="baseline"/>
              <w:rPr>
                <w:noProof/>
                <w:sz w:val="24"/>
                <w:szCs w:val="24"/>
              </w:rPr>
            </w:pPr>
            <w:r>
              <w:rPr>
                <w:noProof/>
              </w:rPr>
              <w:t xml:space="preserve">D25G </w:t>
            </w:r>
          </w:p>
        </w:tc>
        <w:tc>
          <w:tcPr>
            <w:tcW w:w="3960" w:type="dxa"/>
            <w:shd w:val="clear" w:color="auto" w:fill="C6EFCE"/>
            <w:hideMark/>
          </w:tcPr>
          <w:p w14:paraId="1216C581" w14:textId="310AA0D9" w:rsidR="003C4798" w:rsidRDefault="00417595">
            <w:pPr>
              <w:pStyle w:val="P68B1DB1-Normal87"/>
              <w:spacing w:line="240" w:lineRule="auto"/>
              <w:textAlignment w:val="baseline"/>
              <w:rPr>
                <w:noProof/>
                <w:sz w:val="24"/>
                <w:szCs w:val="24"/>
              </w:rPr>
            </w:pPr>
            <w:r>
              <w:rPr>
                <w:noProof/>
              </w:rPr>
              <w:t xml:space="preserve">D2.1 Créer les conditions propices à une augmentation du nombre de membres du personnel médical </w:t>
            </w:r>
          </w:p>
        </w:tc>
        <w:tc>
          <w:tcPr>
            <w:tcW w:w="1245" w:type="dxa"/>
            <w:shd w:val="clear" w:color="auto" w:fill="C6EFCE"/>
            <w:hideMark/>
          </w:tcPr>
          <w:p w14:paraId="1216C582" w14:textId="5537A827"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83" w14:textId="21D18FFE" w:rsidR="003C4798" w:rsidRDefault="00417595">
            <w:pPr>
              <w:pStyle w:val="P68B1DB1-Normal87"/>
              <w:spacing w:line="240" w:lineRule="auto"/>
              <w:textAlignment w:val="baseline"/>
              <w:rPr>
                <w:noProof/>
                <w:sz w:val="24"/>
                <w:szCs w:val="24"/>
              </w:rPr>
            </w:pPr>
            <w:r>
              <w:rPr>
                <w:noProof/>
              </w:rPr>
              <w:t>Entrée en vigueur de la loi législative sur la profession d'ambulancier paramédical et l'autonomie des ambulanciers paramédicaux, qui introduit la possibilité de créer des programmes de deuxième cycle dans le domaine de la préparation à la profession d'ambulancier paramédical</w:t>
            </w:r>
          </w:p>
        </w:tc>
      </w:tr>
      <w:tr w:rsidR="003C4798" w14:paraId="1216C589" w14:textId="77777777">
        <w:trPr>
          <w:trHeight w:val="300"/>
          <w:jc w:val="center"/>
        </w:trPr>
        <w:tc>
          <w:tcPr>
            <w:tcW w:w="1335" w:type="dxa"/>
            <w:shd w:val="clear" w:color="auto" w:fill="C6EFCE"/>
            <w:hideMark/>
          </w:tcPr>
          <w:p w14:paraId="1216C585" w14:textId="2DAE08CB" w:rsidR="003C4798" w:rsidRDefault="00417595">
            <w:pPr>
              <w:pStyle w:val="P68B1DB1-Normal87"/>
              <w:spacing w:line="240" w:lineRule="auto"/>
              <w:ind w:right="45"/>
              <w:jc w:val="center"/>
              <w:textAlignment w:val="baseline"/>
              <w:rPr>
                <w:noProof/>
                <w:sz w:val="24"/>
                <w:szCs w:val="24"/>
              </w:rPr>
            </w:pPr>
            <w:r>
              <w:rPr>
                <w:noProof/>
              </w:rPr>
              <w:t xml:space="preserve">D27G </w:t>
            </w:r>
          </w:p>
        </w:tc>
        <w:tc>
          <w:tcPr>
            <w:tcW w:w="3960" w:type="dxa"/>
            <w:shd w:val="clear" w:color="auto" w:fill="C6EFCE"/>
            <w:hideMark/>
          </w:tcPr>
          <w:p w14:paraId="1216C586" w14:textId="376F079F" w:rsidR="003C4798" w:rsidRDefault="00417595">
            <w:pPr>
              <w:pStyle w:val="P68B1DB1-Normal87"/>
              <w:spacing w:line="240" w:lineRule="auto"/>
              <w:textAlignment w:val="baseline"/>
              <w:rPr>
                <w:noProof/>
                <w:sz w:val="24"/>
                <w:szCs w:val="24"/>
              </w:rPr>
            </w:pPr>
            <w:r>
              <w:rPr>
                <w:noProof/>
              </w:rPr>
              <w:t xml:space="preserve">D2.1 Créer les conditions propices à une augmentation du nombre de membres du personnel médical </w:t>
            </w:r>
          </w:p>
        </w:tc>
        <w:tc>
          <w:tcPr>
            <w:tcW w:w="1245" w:type="dxa"/>
            <w:shd w:val="clear" w:color="auto" w:fill="C6EFCE"/>
            <w:hideMark/>
          </w:tcPr>
          <w:p w14:paraId="1216C587" w14:textId="3179664D"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88" w14:textId="7F8DB4CC" w:rsidR="003C4798" w:rsidRDefault="00417595">
            <w:pPr>
              <w:pStyle w:val="P68B1DB1-Normal87"/>
              <w:spacing w:line="240" w:lineRule="auto"/>
              <w:textAlignment w:val="baseline"/>
              <w:rPr>
                <w:noProof/>
                <w:sz w:val="24"/>
                <w:szCs w:val="24"/>
              </w:rPr>
            </w:pPr>
            <w:r>
              <w:rPr>
                <w:noProof/>
              </w:rPr>
              <w:t>Entrée en vigueur d’actes juridiques visant à améliorer l’attractivité des emplois médicaux et les conditions de travail des travailleurs médicaux</w:t>
            </w:r>
          </w:p>
        </w:tc>
      </w:tr>
      <w:tr w:rsidR="003C4798" w14:paraId="1216C58E" w14:textId="77777777">
        <w:trPr>
          <w:trHeight w:val="300"/>
          <w:jc w:val="center"/>
        </w:trPr>
        <w:tc>
          <w:tcPr>
            <w:tcW w:w="1335" w:type="dxa"/>
            <w:shd w:val="clear" w:color="auto" w:fill="C6EFCE"/>
            <w:hideMark/>
          </w:tcPr>
          <w:p w14:paraId="1216C58A" w14:textId="06FF5F2D" w:rsidR="003C4798" w:rsidRDefault="00417595">
            <w:pPr>
              <w:pStyle w:val="P68B1DB1-Normal87"/>
              <w:spacing w:line="240" w:lineRule="auto"/>
              <w:ind w:right="45"/>
              <w:jc w:val="center"/>
              <w:textAlignment w:val="baseline"/>
              <w:rPr>
                <w:noProof/>
                <w:sz w:val="24"/>
                <w:szCs w:val="24"/>
              </w:rPr>
            </w:pPr>
            <w:r>
              <w:rPr>
                <w:noProof/>
              </w:rPr>
              <w:t xml:space="preserve">D32G </w:t>
            </w:r>
          </w:p>
        </w:tc>
        <w:tc>
          <w:tcPr>
            <w:tcW w:w="3960" w:type="dxa"/>
            <w:shd w:val="clear" w:color="auto" w:fill="C6EFCE"/>
            <w:hideMark/>
          </w:tcPr>
          <w:p w14:paraId="1216C58B" w14:textId="19566EF8" w:rsidR="003C4798" w:rsidRDefault="00417595">
            <w:pPr>
              <w:pStyle w:val="P68B1DB1-Normal87"/>
              <w:spacing w:line="240" w:lineRule="auto"/>
              <w:textAlignment w:val="baseline"/>
              <w:rPr>
                <w:noProof/>
                <w:sz w:val="24"/>
                <w:szCs w:val="24"/>
              </w:rPr>
            </w:pPr>
            <w:r>
              <w:rPr>
                <w:noProof/>
              </w:rPr>
              <w:t>D3.1 Accroître l'efficacité et la qualité du système de santé en soutenant le potentiel polonais de recherche et de développement dans le domaine des sciences médicales et des sciences de la santé</w:t>
            </w:r>
          </w:p>
        </w:tc>
        <w:tc>
          <w:tcPr>
            <w:tcW w:w="1245" w:type="dxa"/>
            <w:shd w:val="clear" w:color="auto" w:fill="C6EFCE"/>
            <w:hideMark/>
          </w:tcPr>
          <w:p w14:paraId="1216C58C" w14:textId="021E0878"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8D" w14:textId="7A5DF8C8" w:rsidR="003C4798" w:rsidRDefault="00417595">
            <w:pPr>
              <w:pStyle w:val="P68B1DB1-Normal87"/>
              <w:spacing w:line="240" w:lineRule="auto"/>
              <w:textAlignment w:val="baseline"/>
              <w:rPr>
                <w:noProof/>
                <w:sz w:val="24"/>
                <w:szCs w:val="24"/>
              </w:rPr>
            </w:pPr>
            <w:r>
              <w:rPr>
                <w:noProof/>
              </w:rPr>
              <w:t>Entrée en vigueur de la loi sur les essais cliniques de médicaments à usage humain</w:t>
            </w:r>
          </w:p>
        </w:tc>
      </w:tr>
      <w:tr w:rsidR="003C4798" w14:paraId="1216C593" w14:textId="77777777">
        <w:trPr>
          <w:trHeight w:val="300"/>
          <w:jc w:val="center"/>
        </w:trPr>
        <w:tc>
          <w:tcPr>
            <w:tcW w:w="1335" w:type="dxa"/>
            <w:shd w:val="clear" w:color="auto" w:fill="C6EFCE"/>
            <w:hideMark/>
          </w:tcPr>
          <w:p w14:paraId="1216C58F" w14:textId="5C5900F1" w:rsidR="003C4798" w:rsidRDefault="00417595">
            <w:pPr>
              <w:pStyle w:val="P68B1DB1-Normal87"/>
              <w:spacing w:line="240" w:lineRule="auto"/>
              <w:ind w:right="45"/>
              <w:jc w:val="center"/>
              <w:textAlignment w:val="baseline"/>
              <w:rPr>
                <w:noProof/>
                <w:sz w:val="24"/>
                <w:szCs w:val="24"/>
              </w:rPr>
            </w:pPr>
            <w:r>
              <w:rPr>
                <w:noProof/>
              </w:rPr>
              <w:t xml:space="preserve">D33G </w:t>
            </w:r>
          </w:p>
        </w:tc>
        <w:tc>
          <w:tcPr>
            <w:tcW w:w="3960" w:type="dxa"/>
            <w:shd w:val="clear" w:color="auto" w:fill="C6EFCE"/>
            <w:hideMark/>
          </w:tcPr>
          <w:p w14:paraId="1216C590" w14:textId="7B5E9BBC" w:rsidR="003C4798" w:rsidRDefault="00417595">
            <w:pPr>
              <w:pStyle w:val="P68B1DB1-Normal87"/>
              <w:spacing w:line="240" w:lineRule="auto"/>
              <w:textAlignment w:val="baseline"/>
              <w:rPr>
                <w:noProof/>
                <w:sz w:val="24"/>
                <w:szCs w:val="24"/>
              </w:rPr>
            </w:pPr>
            <w:r>
              <w:rPr>
                <w:noProof/>
              </w:rPr>
              <w:t xml:space="preserve">D3.1 Accroître l'efficacité et la qualité du système de santé en soutenant le potentiel polonais de recherche et de développement dans le domaine des sciences médicales et des sciences de la santé </w:t>
            </w:r>
          </w:p>
        </w:tc>
        <w:tc>
          <w:tcPr>
            <w:tcW w:w="1245" w:type="dxa"/>
            <w:shd w:val="clear" w:color="auto" w:fill="C6EFCE"/>
            <w:hideMark/>
          </w:tcPr>
          <w:p w14:paraId="1216C591" w14:textId="6CD2D798" w:rsidR="003C4798" w:rsidRDefault="00417595">
            <w:pPr>
              <w:pStyle w:val="P68B1DB1-Normal87"/>
              <w:spacing w:line="240" w:lineRule="auto"/>
              <w:ind w:left="60"/>
              <w:textAlignment w:val="baseline"/>
              <w:rPr>
                <w:noProof/>
                <w:sz w:val="24"/>
                <w:szCs w:val="24"/>
              </w:rPr>
            </w:pPr>
            <w:r>
              <w:rPr>
                <w:noProof/>
              </w:rPr>
              <w:t xml:space="preserve">Étape </w:t>
            </w:r>
          </w:p>
        </w:tc>
        <w:tc>
          <w:tcPr>
            <w:tcW w:w="3915" w:type="dxa"/>
            <w:shd w:val="clear" w:color="auto" w:fill="C6EFCE"/>
            <w:hideMark/>
          </w:tcPr>
          <w:p w14:paraId="1216C592" w14:textId="23EBCF27" w:rsidR="003C4798" w:rsidRDefault="00417595">
            <w:pPr>
              <w:pStyle w:val="P68B1DB1-Normal87"/>
              <w:spacing w:line="240" w:lineRule="auto"/>
              <w:textAlignment w:val="baseline"/>
              <w:rPr>
                <w:noProof/>
                <w:sz w:val="24"/>
                <w:szCs w:val="24"/>
              </w:rPr>
            </w:pPr>
            <w:r>
              <w:rPr>
                <w:noProof/>
              </w:rPr>
              <w:t>Entrée en vigueur ou mise en œuvre des actions clés spécifiées dans le plan stratégique du gouvernement pour le développement du secteur biomédical conformément au calendrier fixé dans le plan stratégique</w:t>
            </w:r>
          </w:p>
        </w:tc>
      </w:tr>
      <w:tr w:rsidR="003C4798" w14:paraId="1216C598" w14:textId="77777777">
        <w:trPr>
          <w:trHeight w:val="300"/>
          <w:jc w:val="center"/>
        </w:trPr>
        <w:tc>
          <w:tcPr>
            <w:tcW w:w="1335" w:type="dxa"/>
            <w:shd w:val="clear" w:color="auto" w:fill="C6EFCE"/>
            <w:hideMark/>
          </w:tcPr>
          <w:p w14:paraId="1216C594" w14:textId="2AEA3108" w:rsidR="003C4798" w:rsidRDefault="00417595">
            <w:pPr>
              <w:pStyle w:val="P68B1DB1-Normal87"/>
              <w:spacing w:line="240" w:lineRule="auto"/>
              <w:ind w:right="45"/>
              <w:jc w:val="center"/>
              <w:textAlignment w:val="baseline"/>
              <w:rPr>
                <w:noProof/>
                <w:sz w:val="24"/>
                <w:szCs w:val="24"/>
              </w:rPr>
            </w:pPr>
            <w:r>
              <w:rPr>
                <w:noProof/>
              </w:rPr>
              <w:t xml:space="preserve">D34G </w:t>
            </w:r>
          </w:p>
        </w:tc>
        <w:tc>
          <w:tcPr>
            <w:tcW w:w="3960" w:type="dxa"/>
            <w:shd w:val="clear" w:color="auto" w:fill="C6EFCE"/>
            <w:hideMark/>
          </w:tcPr>
          <w:p w14:paraId="1216C595" w14:textId="60EEBEFB" w:rsidR="003C4798" w:rsidRDefault="00417595">
            <w:pPr>
              <w:pStyle w:val="P68B1DB1-Normal87"/>
              <w:spacing w:line="240" w:lineRule="auto"/>
              <w:textAlignment w:val="baseline"/>
              <w:rPr>
                <w:noProof/>
                <w:sz w:val="24"/>
                <w:szCs w:val="24"/>
              </w:rPr>
            </w:pPr>
            <w:r>
              <w:rPr>
                <w:noProof/>
              </w:rPr>
              <w:t>D3.1.1 Recherche dans le secteur biomédical et création ou développement de centres de soutien aux essais cliniques</w:t>
            </w:r>
          </w:p>
        </w:tc>
        <w:tc>
          <w:tcPr>
            <w:tcW w:w="1245" w:type="dxa"/>
            <w:shd w:val="clear" w:color="auto" w:fill="C6EFCE"/>
            <w:hideMark/>
          </w:tcPr>
          <w:p w14:paraId="1216C596" w14:textId="27A13988" w:rsidR="003C4798" w:rsidRDefault="00417595">
            <w:pPr>
              <w:pStyle w:val="P68B1DB1-Normal87"/>
              <w:spacing w:line="240" w:lineRule="auto"/>
              <w:ind w:left="60"/>
              <w:textAlignment w:val="baseline"/>
              <w:rPr>
                <w:noProof/>
                <w:sz w:val="24"/>
                <w:szCs w:val="24"/>
              </w:rPr>
            </w:pPr>
            <w:r>
              <w:rPr>
                <w:noProof/>
              </w:rPr>
              <w:t xml:space="preserve">Étape </w:t>
            </w:r>
          </w:p>
        </w:tc>
        <w:tc>
          <w:tcPr>
            <w:tcW w:w="3915" w:type="dxa"/>
            <w:shd w:val="clear" w:color="auto" w:fill="C6EFCE"/>
            <w:hideMark/>
          </w:tcPr>
          <w:p w14:paraId="1216C597" w14:textId="2876C158" w:rsidR="003C4798" w:rsidRDefault="00417595">
            <w:pPr>
              <w:pStyle w:val="P68B1DB1-Normal87"/>
              <w:spacing w:line="240" w:lineRule="auto"/>
              <w:textAlignment w:val="baseline"/>
              <w:rPr>
                <w:noProof/>
                <w:sz w:val="24"/>
                <w:szCs w:val="24"/>
              </w:rPr>
            </w:pPr>
            <w:r>
              <w:rPr>
                <w:noProof/>
              </w:rPr>
              <w:t>Mise en service d'une plateforme électronique pour le réseau polonais d'essais cliniques</w:t>
            </w:r>
          </w:p>
        </w:tc>
      </w:tr>
      <w:tr w:rsidR="003C4798" w14:paraId="1216C59D" w14:textId="77777777">
        <w:trPr>
          <w:trHeight w:val="300"/>
          <w:jc w:val="center"/>
        </w:trPr>
        <w:tc>
          <w:tcPr>
            <w:tcW w:w="1335" w:type="dxa"/>
            <w:shd w:val="clear" w:color="auto" w:fill="C6EFCE"/>
            <w:hideMark/>
          </w:tcPr>
          <w:p w14:paraId="1216C599" w14:textId="0F1A03A2" w:rsidR="003C4798" w:rsidRDefault="00417595">
            <w:pPr>
              <w:pStyle w:val="P68B1DB1-Normal87"/>
              <w:spacing w:line="240" w:lineRule="auto"/>
              <w:ind w:right="45"/>
              <w:jc w:val="center"/>
              <w:textAlignment w:val="baseline"/>
              <w:rPr>
                <w:noProof/>
                <w:sz w:val="24"/>
                <w:szCs w:val="24"/>
              </w:rPr>
            </w:pPr>
            <w:r>
              <w:rPr>
                <w:noProof/>
              </w:rPr>
              <w:t xml:space="preserve">E15G </w:t>
            </w:r>
          </w:p>
        </w:tc>
        <w:tc>
          <w:tcPr>
            <w:tcW w:w="3960" w:type="dxa"/>
            <w:shd w:val="clear" w:color="auto" w:fill="C6EFCE"/>
            <w:hideMark/>
          </w:tcPr>
          <w:p w14:paraId="1216C59A" w14:textId="424489CF" w:rsidR="003C4798" w:rsidRDefault="00417595">
            <w:pPr>
              <w:pStyle w:val="P68B1DB1-Normal87"/>
              <w:spacing w:line="240" w:lineRule="auto"/>
              <w:textAlignment w:val="baseline"/>
              <w:rPr>
                <w:noProof/>
                <w:sz w:val="24"/>
                <w:szCs w:val="24"/>
              </w:rPr>
            </w:pPr>
            <w:r>
              <w:rPr>
                <w:noProof/>
              </w:rPr>
              <w:t xml:space="preserve">E2.1 Renforcer la compétitivité du secteur ferroviaire </w:t>
            </w:r>
          </w:p>
        </w:tc>
        <w:tc>
          <w:tcPr>
            <w:tcW w:w="1245" w:type="dxa"/>
            <w:shd w:val="clear" w:color="auto" w:fill="C6EFCE"/>
            <w:hideMark/>
          </w:tcPr>
          <w:p w14:paraId="1216C59B" w14:textId="526683D3" w:rsidR="003C4798" w:rsidRDefault="00417595">
            <w:pPr>
              <w:pStyle w:val="P68B1DB1-Normal87"/>
              <w:spacing w:line="240" w:lineRule="auto"/>
              <w:ind w:left="60"/>
              <w:textAlignment w:val="baseline"/>
              <w:rPr>
                <w:noProof/>
                <w:sz w:val="24"/>
                <w:szCs w:val="24"/>
              </w:rPr>
            </w:pPr>
            <w:r>
              <w:rPr>
                <w:noProof/>
              </w:rPr>
              <w:t xml:space="preserve">Étape </w:t>
            </w:r>
          </w:p>
        </w:tc>
        <w:tc>
          <w:tcPr>
            <w:tcW w:w="3915" w:type="dxa"/>
            <w:shd w:val="clear" w:color="auto" w:fill="C6EFCE"/>
            <w:hideMark/>
          </w:tcPr>
          <w:p w14:paraId="1216C59C" w14:textId="6EE40CF4" w:rsidR="003C4798" w:rsidRDefault="00417595">
            <w:pPr>
              <w:pStyle w:val="P68B1DB1-Normal87"/>
              <w:spacing w:line="240" w:lineRule="auto"/>
              <w:textAlignment w:val="baseline"/>
              <w:rPr>
                <w:noProof/>
                <w:sz w:val="24"/>
                <w:szCs w:val="24"/>
              </w:rPr>
            </w:pPr>
            <w:r>
              <w:rPr>
                <w:noProof/>
              </w:rPr>
              <w:t>Entrée en vigueur d’un acte modifiant la loi sur le transport ferroviaire afin de garantir la résilience des opérateurs ferroviaires. Décision ministérielle sur l’établissement de priorités pour le transport intermodal et sur la suppression des goulets d’étranglement afin de renforcer la capacité des chemins de fer</w:t>
            </w:r>
          </w:p>
        </w:tc>
      </w:tr>
      <w:tr w:rsidR="003C4798" w14:paraId="1216C5A2" w14:textId="77777777">
        <w:trPr>
          <w:trHeight w:val="300"/>
          <w:jc w:val="center"/>
        </w:trPr>
        <w:tc>
          <w:tcPr>
            <w:tcW w:w="1335" w:type="dxa"/>
            <w:shd w:val="clear" w:color="auto" w:fill="C6EFCE"/>
            <w:hideMark/>
          </w:tcPr>
          <w:p w14:paraId="1216C59E" w14:textId="764C7C57" w:rsidR="003C4798" w:rsidRDefault="00417595">
            <w:pPr>
              <w:pStyle w:val="P68B1DB1-Normal87"/>
              <w:spacing w:line="240" w:lineRule="auto"/>
              <w:ind w:right="45"/>
              <w:jc w:val="center"/>
              <w:textAlignment w:val="baseline"/>
              <w:rPr>
                <w:noProof/>
                <w:sz w:val="24"/>
                <w:szCs w:val="24"/>
              </w:rPr>
            </w:pPr>
            <w:r>
              <w:rPr>
                <w:noProof/>
              </w:rPr>
              <w:t xml:space="preserve">F4G </w:t>
            </w:r>
          </w:p>
        </w:tc>
        <w:tc>
          <w:tcPr>
            <w:tcW w:w="3960" w:type="dxa"/>
            <w:shd w:val="clear" w:color="auto" w:fill="C6EFCE"/>
            <w:hideMark/>
          </w:tcPr>
          <w:p w14:paraId="1216C59F" w14:textId="2CA20E31" w:rsidR="003C4798" w:rsidRDefault="00417595">
            <w:pPr>
              <w:pStyle w:val="P68B1DB1-Normal87"/>
              <w:spacing w:line="240" w:lineRule="auto"/>
              <w:textAlignment w:val="baseline"/>
              <w:rPr>
                <w:noProof/>
                <w:sz w:val="24"/>
                <w:szCs w:val="24"/>
              </w:rPr>
            </w:pPr>
            <w:r>
              <w:rPr>
                <w:noProof/>
              </w:rPr>
              <w:t xml:space="preserve">F3.1 Améliorer le processus législatif </w:t>
            </w:r>
          </w:p>
        </w:tc>
        <w:tc>
          <w:tcPr>
            <w:tcW w:w="1245" w:type="dxa"/>
            <w:shd w:val="clear" w:color="auto" w:fill="C6EFCE"/>
            <w:hideMark/>
          </w:tcPr>
          <w:p w14:paraId="1216C5A0" w14:textId="104EC788" w:rsidR="003C4798" w:rsidRDefault="00417595">
            <w:pPr>
              <w:pStyle w:val="P68B1DB1-Normal87"/>
              <w:spacing w:line="240" w:lineRule="auto"/>
              <w:ind w:left="60"/>
              <w:textAlignment w:val="baseline"/>
              <w:rPr>
                <w:noProof/>
                <w:sz w:val="24"/>
                <w:szCs w:val="24"/>
              </w:rPr>
            </w:pPr>
            <w:r>
              <w:rPr>
                <w:noProof/>
              </w:rPr>
              <w:t xml:space="preserve">Étape </w:t>
            </w:r>
          </w:p>
        </w:tc>
        <w:tc>
          <w:tcPr>
            <w:tcW w:w="3915" w:type="dxa"/>
            <w:shd w:val="clear" w:color="auto" w:fill="C6EFCE"/>
            <w:hideMark/>
          </w:tcPr>
          <w:p w14:paraId="1216C5A1" w14:textId="3DD1F17D" w:rsidR="003C4798" w:rsidRDefault="00417595">
            <w:pPr>
              <w:pStyle w:val="P68B1DB1-Normal87"/>
              <w:spacing w:line="240" w:lineRule="auto"/>
              <w:textAlignment w:val="baseline"/>
              <w:rPr>
                <w:noProof/>
                <w:sz w:val="24"/>
                <w:szCs w:val="24"/>
              </w:rPr>
            </w:pPr>
            <w:r>
              <w:rPr>
                <w:noProof/>
              </w:rPr>
              <w:t>Entrée en vigueur des amendements au Règlement de la Diète, du Sénat et du Conseil des ministres</w:t>
            </w:r>
          </w:p>
        </w:tc>
      </w:tr>
      <w:tr w:rsidR="003C4798" w14:paraId="1216C5A7" w14:textId="77777777">
        <w:trPr>
          <w:trHeight w:val="300"/>
          <w:jc w:val="center"/>
        </w:trPr>
        <w:tc>
          <w:tcPr>
            <w:tcW w:w="1335" w:type="dxa"/>
            <w:shd w:val="clear" w:color="auto" w:fill="C6EFCE"/>
            <w:hideMark/>
          </w:tcPr>
          <w:p w14:paraId="1216C5A3" w14:textId="0A46ACAD" w:rsidR="003C4798" w:rsidRDefault="00417595">
            <w:pPr>
              <w:pStyle w:val="P68B1DB1-Normal87"/>
              <w:spacing w:line="240" w:lineRule="auto"/>
              <w:ind w:right="45"/>
              <w:jc w:val="center"/>
              <w:textAlignment w:val="baseline"/>
              <w:rPr>
                <w:noProof/>
                <w:sz w:val="24"/>
                <w:szCs w:val="24"/>
              </w:rPr>
            </w:pPr>
            <w:r>
              <w:rPr>
                <w:noProof/>
              </w:rPr>
              <w:t xml:space="preserve"> </w:t>
            </w:r>
          </w:p>
        </w:tc>
        <w:tc>
          <w:tcPr>
            <w:tcW w:w="3960" w:type="dxa"/>
            <w:shd w:val="clear" w:color="auto" w:fill="C6EFCE"/>
            <w:hideMark/>
          </w:tcPr>
          <w:p w14:paraId="1216C5A4" w14:textId="48A4D371" w:rsidR="003C4798" w:rsidRDefault="00417595">
            <w:pPr>
              <w:pStyle w:val="P68B1DB1-Normal87"/>
              <w:spacing w:line="240" w:lineRule="auto"/>
              <w:textAlignment w:val="baseline"/>
              <w:rPr>
                <w:noProof/>
                <w:sz w:val="24"/>
                <w:szCs w:val="24"/>
              </w:rPr>
            </w:pPr>
            <w:r>
              <w:rPr>
                <w:noProof/>
              </w:rPr>
              <w:t xml:space="preserve"> </w:t>
            </w:r>
          </w:p>
        </w:tc>
        <w:tc>
          <w:tcPr>
            <w:tcW w:w="1245" w:type="dxa"/>
            <w:shd w:val="clear" w:color="auto" w:fill="C6EFCE"/>
            <w:hideMark/>
          </w:tcPr>
          <w:p w14:paraId="1216C5A5" w14:textId="074E8A97" w:rsidR="003C4798" w:rsidRDefault="00417595">
            <w:pPr>
              <w:pStyle w:val="P68B1DB1-Normal87"/>
              <w:spacing w:line="240" w:lineRule="auto"/>
              <w:ind w:left="60"/>
              <w:textAlignment w:val="baseline"/>
              <w:rPr>
                <w:noProof/>
                <w:sz w:val="24"/>
                <w:szCs w:val="24"/>
              </w:rPr>
            </w:pPr>
            <w:r>
              <w:rPr>
                <w:noProof/>
              </w:rPr>
              <w:t xml:space="preserve">Montant des acomptes provisionnels </w:t>
            </w:r>
          </w:p>
        </w:tc>
        <w:tc>
          <w:tcPr>
            <w:tcW w:w="3915" w:type="dxa"/>
            <w:shd w:val="clear" w:color="auto" w:fill="C6EFCE"/>
            <w:hideMark/>
          </w:tcPr>
          <w:p w14:paraId="1216C5A6" w14:textId="77777777" w:rsidR="003C4798" w:rsidRDefault="00417595">
            <w:pPr>
              <w:spacing w:line="240" w:lineRule="auto"/>
              <w:ind w:left="60"/>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2</w:t>
            </w:r>
            <w:r>
              <w:rPr>
                <w:rFonts w:eastAsia="Times New Roman"/>
                <w:noProof/>
                <w:color w:val="006100"/>
                <w:szCs w:val="24"/>
              </w:rPr>
              <w:t> </w:t>
            </w:r>
            <w:r>
              <w:rPr>
                <w:rFonts w:ascii="Times New Roman" w:eastAsia="Times New Roman" w:hAnsi="Times New Roman" w:cs="Times New Roman"/>
                <w:noProof/>
              </w:rPr>
              <w:t>416</w:t>
            </w:r>
            <w:r>
              <w:rPr>
                <w:rFonts w:eastAsia="Times New Roman"/>
                <w:noProof/>
                <w:color w:val="006100"/>
                <w:szCs w:val="24"/>
              </w:rPr>
              <w:t> </w:t>
            </w:r>
            <w:r>
              <w:rPr>
                <w:rFonts w:ascii="Times New Roman" w:eastAsia="Times New Roman" w:hAnsi="Times New Roman" w:cs="Times New Roman"/>
                <w:noProof/>
              </w:rPr>
              <w:t>163</w:t>
            </w:r>
            <w:r>
              <w:rPr>
                <w:rFonts w:eastAsia="Times New Roman"/>
                <w:noProof/>
                <w:color w:val="006100"/>
                <w:szCs w:val="24"/>
              </w:rPr>
              <w:t> </w:t>
            </w:r>
            <w:r>
              <w:rPr>
                <w:rFonts w:ascii="Times New Roman" w:eastAsia="Times New Roman" w:hAnsi="Times New Roman" w:cs="Times New Roman"/>
                <w:noProof/>
              </w:rPr>
              <w:t>752 EUR</w:t>
            </w:r>
          </w:p>
        </w:tc>
      </w:tr>
    </w:tbl>
    <w:p w14:paraId="1216C5A8" w14:textId="77777777" w:rsidR="003C4798" w:rsidRDefault="00417595">
      <w:pPr>
        <w:pStyle w:val="P68B1DB1-Normal87"/>
        <w:spacing w:line="240" w:lineRule="auto"/>
        <w:ind w:left="-15"/>
        <w:textAlignment w:val="baseline"/>
        <w:rPr>
          <w:rFonts w:ascii="Segoe UI" w:hAnsi="Segoe UI" w:cs="Segoe UI"/>
          <w:noProof/>
          <w:sz w:val="18"/>
          <w:szCs w:val="18"/>
        </w:rPr>
      </w:pPr>
      <w:r>
        <w:rPr>
          <w:noProof/>
        </w:rPr>
        <w:t> </w:t>
      </w:r>
    </w:p>
    <w:p w14:paraId="1216C5A9" w14:textId="636972C2" w:rsidR="003C4798" w:rsidRDefault="00417595">
      <w:pPr>
        <w:pStyle w:val="P68B1DB1-Normal87"/>
        <w:spacing w:line="240" w:lineRule="auto"/>
        <w:ind w:left="-15"/>
        <w:textAlignment w:val="baseline"/>
        <w:rPr>
          <w:rFonts w:ascii="Segoe UI" w:hAnsi="Segoe UI" w:cs="Segoe UI"/>
          <w:noProof/>
          <w:sz w:val="18"/>
          <w:szCs w:val="18"/>
        </w:rPr>
      </w:pPr>
      <w:r>
        <w:rPr>
          <w:noProof/>
        </w:rPr>
        <w:t xml:space="preserve">2.1.3 Troisième tranche (soutien non remboursable): </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2"/>
        <w:gridCol w:w="3551"/>
        <w:gridCol w:w="1237"/>
        <w:gridCol w:w="3569"/>
      </w:tblGrid>
      <w:tr w:rsidR="003C4798" w14:paraId="1216C5AE" w14:textId="77777777">
        <w:trPr>
          <w:trHeight w:val="300"/>
          <w:tblHeader/>
          <w:jc w:val="center"/>
        </w:trPr>
        <w:tc>
          <w:tcPr>
            <w:tcW w:w="1335" w:type="dxa"/>
            <w:shd w:val="clear" w:color="auto" w:fill="BDD6EE"/>
            <w:hideMark/>
          </w:tcPr>
          <w:p w14:paraId="1216C5AA" w14:textId="282AA945" w:rsidR="003C4798" w:rsidRDefault="00417595">
            <w:pPr>
              <w:pStyle w:val="P68B1DB1-Normal87"/>
              <w:spacing w:line="240" w:lineRule="auto"/>
              <w:jc w:val="center"/>
              <w:textAlignment w:val="baseline"/>
              <w:rPr>
                <w:noProof/>
                <w:sz w:val="24"/>
                <w:szCs w:val="24"/>
              </w:rPr>
            </w:pPr>
            <w:r>
              <w:rPr>
                <w:b/>
                <w:noProof/>
              </w:rPr>
              <w:t>Numéro séquentiel</w:t>
            </w:r>
            <w:r>
              <w:rPr>
                <w:noProof/>
              </w:rPr>
              <w:t xml:space="preserve"> </w:t>
            </w:r>
          </w:p>
        </w:tc>
        <w:tc>
          <w:tcPr>
            <w:tcW w:w="3960" w:type="dxa"/>
            <w:shd w:val="clear" w:color="auto" w:fill="BDD6EE"/>
            <w:hideMark/>
          </w:tcPr>
          <w:p w14:paraId="1216C5AB" w14:textId="01FD0299" w:rsidR="003C4798" w:rsidRDefault="00417595">
            <w:pPr>
              <w:pStyle w:val="P68B1DB1-Normal87"/>
              <w:spacing w:line="240" w:lineRule="auto"/>
              <w:jc w:val="center"/>
              <w:textAlignment w:val="baseline"/>
              <w:rPr>
                <w:noProof/>
                <w:sz w:val="24"/>
                <w:szCs w:val="24"/>
              </w:rPr>
            </w:pPr>
            <w:r>
              <w:rPr>
                <w:b/>
                <w:noProof/>
              </w:rPr>
              <w:t>Mesure connexe (réforme ou investissement)</w:t>
            </w:r>
            <w:r>
              <w:rPr>
                <w:noProof/>
              </w:rPr>
              <w:t xml:space="preserve"> </w:t>
            </w:r>
          </w:p>
        </w:tc>
        <w:tc>
          <w:tcPr>
            <w:tcW w:w="1245" w:type="dxa"/>
            <w:shd w:val="clear" w:color="auto" w:fill="BDD6EE"/>
            <w:hideMark/>
          </w:tcPr>
          <w:p w14:paraId="1216C5AC" w14:textId="170D36E3" w:rsidR="003C4798" w:rsidRDefault="00417595">
            <w:pPr>
              <w:pStyle w:val="P68B1DB1-Normal87"/>
              <w:spacing w:line="240" w:lineRule="auto"/>
              <w:ind w:left="15" w:right="15"/>
              <w:jc w:val="center"/>
              <w:textAlignment w:val="baseline"/>
              <w:rPr>
                <w:noProof/>
                <w:sz w:val="24"/>
                <w:szCs w:val="24"/>
              </w:rPr>
            </w:pPr>
            <w:r>
              <w:rPr>
                <w:b/>
                <w:noProof/>
              </w:rPr>
              <w:t>Étape/cible</w:t>
            </w:r>
            <w:r>
              <w:rPr>
                <w:noProof/>
              </w:rPr>
              <w:t xml:space="preserve"> </w:t>
            </w:r>
          </w:p>
        </w:tc>
        <w:tc>
          <w:tcPr>
            <w:tcW w:w="3915" w:type="dxa"/>
            <w:shd w:val="clear" w:color="auto" w:fill="BDD6EE"/>
            <w:hideMark/>
          </w:tcPr>
          <w:p w14:paraId="1216C5AD" w14:textId="11680F82" w:rsidR="003C4798" w:rsidRDefault="00417595">
            <w:pPr>
              <w:pStyle w:val="P68B1DB1-Normal87"/>
              <w:spacing w:line="240" w:lineRule="auto"/>
              <w:ind w:right="45"/>
              <w:jc w:val="center"/>
              <w:textAlignment w:val="baseline"/>
              <w:rPr>
                <w:noProof/>
                <w:sz w:val="24"/>
                <w:szCs w:val="24"/>
              </w:rPr>
            </w:pPr>
            <w:r>
              <w:rPr>
                <w:b/>
                <w:noProof/>
              </w:rPr>
              <w:t>Nom</w:t>
            </w:r>
            <w:r>
              <w:rPr>
                <w:noProof/>
              </w:rPr>
              <w:t xml:space="preserve"> </w:t>
            </w:r>
          </w:p>
        </w:tc>
      </w:tr>
      <w:tr w:rsidR="003C4798" w14:paraId="1216C5B3" w14:textId="77777777">
        <w:trPr>
          <w:trHeight w:val="300"/>
          <w:jc w:val="center"/>
        </w:trPr>
        <w:tc>
          <w:tcPr>
            <w:tcW w:w="1335" w:type="dxa"/>
            <w:shd w:val="clear" w:color="auto" w:fill="C6EFCE"/>
            <w:hideMark/>
          </w:tcPr>
          <w:p w14:paraId="1216C5AF" w14:textId="6A5F547A" w:rsidR="003C4798" w:rsidRDefault="00417595">
            <w:pPr>
              <w:pStyle w:val="P68B1DB1-Normal87"/>
              <w:spacing w:line="240" w:lineRule="auto"/>
              <w:ind w:right="45"/>
              <w:jc w:val="center"/>
              <w:textAlignment w:val="baseline"/>
              <w:rPr>
                <w:noProof/>
                <w:sz w:val="24"/>
                <w:szCs w:val="24"/>
              </w:rPr>
            </w:pPr>
            <w:r>
              <w:rPr>
                <w:noProof/>
              </w:rPr>
              <w:t xml:space="preserve">A12G </w:t>
            </w:r>
          </w:p>
        </w:tc>
        <w:tc>
          <w:tcPr>
            <w:tcW w:w="3960" w:type="dxa"/>
            <w:shd w:val="clear" w:color="auto" w:fill="C6EFCE"/>
            <w:hideMark/>
          </w:tcPr>
          <w:p w14:paraId="1216C5B0" w14:textId="2805F0A7" w:rsidR="003C4798" w:rsidRDefault="00417595">
            <w:pPr>
              <w:pStyle w:val="P68B1DB1-Normal87"/>
              <w:spacing w:line="240" w:lineRule="auto"/>
              <w:textAlignment w:val="baseline"/>
              <w:rPr>
                <w:noProof/>
                <w:sz w:val="24"/>
                <w:szCs w:val="24"/>
              </w:rPr>
            </w:pPr>
            <w:r>
              <w:rPr>
                <w:noProof/>
              </w:rPr>
              <w:t xml:space="preserve">A1.3 Réforme de l'aménagement du territoire </w:t>
            </w:r>
          </w:p>
        </w:tc>
        <w:tc>
          <w:tcPr>
            <w:tcW w:w="1245" w:type="dxa"/>
            <w:shd w:val="clear" w:color="auto" w:fill="C6EFCE"/>
            <w:hideMark/>
          </w:tcPr>
          <w:p w14:paraId="1216C5B1" w14:textId="74420C32"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B2" w14:textId="7DBB7F8E" w:rsidR="003C4798" w:rsidRDefault="00417595">
            <w:pPr>
              <w:pStyle w:val="P68B1DB1-Normal87"/>
              <w:spacing w:line="240" w:lineRule="auto"/>
              <w:textAlignment w:val="baseline"/>
              <w:rPr>
                <w:noProof/>
                <w:sz w:val="24"/>
                <w:szCs w:val="24"/>
              </w:rPr>
            </w:pPr>
            <w:r>
              <w:rPr>
                <w:noProof/>
              </w:rPr>
              <w:t>Entrée en vigueur d'une nouvelle loi sur l'aménagement du territoire</w:t>
            </w:r>
          </w:p>
        </w:tc>
      </w:tr>
      <w:tr w:rsidR="003C4798" w14:paraId="1216C5B8" w14:textId="77777777">
        <w:trPr>
          <w:trHeight w:val="300"/>
          <w:jc w:val="center"/>
        </w:trPr>
        <w:tc>
          <w:tcPr>
            <w:tcW w:w="1335" w:type="dxa"/>
            <w:shd w:val="clear" w:color="auto" w:fill="C6EFCE"/>
            <w:hideMark/>
          </w:tcPr>
          <w:p w14:paraId="1216C5B4" w14:textId="7310E5D1" w:rsidR="003C4798" w:rsidRDefault="00417595">
            <w:pPr>
              <w:pStyle w:val="P68B1DB1-Normal87"/>
              <w:spacing w:line="240" w:lineRule="auto"/>
              <w:ind w:right="45"/>
              <w:jc w:val="center"/>
              <w:textAlignment w:val="baseline"/>
              <w:rPr>
                <w:noProof/>
                <w:sz w:val="24"/>
                <w:szCs w:val="24"/>
              </w:rPr>
            </w:pPr>
            <w:r>
              <w:rPr>
                <w:noProof/>
              </w:rPr>
              <w:t xml:space="preserve">A33G </w:t>
            </w:r>
          </w:p>
        </w:tc>
        <w:tc>
          <w:tcPr>
            <w:tcW w:w="3960" w:type="dxa"/>
            <w:shd w:val="clear" w:color="auto" w:fill="C6EFCE"/>
            <w:hideMark/>
          </w:tcPr>
          <w:p w14:paraId="1216C5B5" w14:textId="38F48E99" w:rsidR="003C4798" w:rsidRDefault="00417595">
            <w:pPr>
              <w:pStyle w:val="P68B1DB1-Normal87"/>
              <w:spacing w:line="240" w:lineRule="auto"/>
              <w:textAlignment w:val="baseline"/>
              <w:rPr>
                <w:noProof/>
                <w:sz w:val="24"/>
                <w:szCs w:val="24"/>
              </w:rPr>
            </w:pPr>
            <w:r>
              <w:rPr>
                <w:noProof/>
              </w:rPr>
              <w:t xml:space="preserve">A2.3 Fournir une base institutionnelle et juridique pour le développement des véhicules aériens sans pilote (UAV) </w:t>
            </w:r>
          </w:p>
        </w:tc>
        <w:tc>
          <w:tcPr>
            <w:tcW w:w="1245" w:type="dxa"/>
            <w:shd w:val="clear" w:color="auto" w:fill="C6EFCE"/>
            <w:hideMark/>
          </w:tcPr>
          <w:p w14:paraId="1216C5B6" w14:textId="1D197249"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B7" w14:textId="3A2A2433" w:rsidR="003C4798" w:rsidRDefault="00417595">
            <w:pPr>
              <w:pStyle w:val="P68B1DB1-Normal87"/>
              <w:spacing w:line="240" w:lineRule="auto"/>
              <w:textAlignment w:val="baseline"/>
              <w:rPr>
                <w:noProof/>
                <w:sz w:val="24"/>
                <w:szCs w:val="24"/>
              </w:rPr>
            </w:pPr>
            <w:r>
              <w:rPr>
                <w:noProof/>
              </w:rPr>
              <w:t>Entrée en vigueur d’une loi modifiant la loi sur l’Agence polonaise des services de navigation aérienne</w:t>
            </w:r>
          </w:p>
        </w:tc>
      </w:tr>
      <w:tr w:rsidR="003C4798" w14:paraId="1216C5BD" w14:textId="77777777">
        <w:trPr>
          <w:trHeight w:val="300"/>
          <w:jc w:val="center"/>
        </w:trPr>
        <w:tc>
          <w:tcPr>
            <w:tcW w:w="1335" w:type="dxa"/>
            <w:shd w:val="clear" w:color="auto" w:fill="C6EFCE"/>
            <w:hideMark/>
          </w:tcPr>
          <w:p w14:paraId="1216C5B9" w14:textId="710E4556" w:rsidR="003C4798" w:rsidRDefault="00417595">
            <w:pPr>
              <w:pStyle w:val="P68B1DB1-Normal87"/>
              <w:spacing w:line="240" w:lineRule="auto"/>
              <w:ind w:right="45"/>
              <w:jc w:val="center"/>
              <w:textAlignment w:val="baseline"/>
              <w:rPr>
                <w:noProof/>
                <w:sz w:val="24"/>
                <w:szCs w:val="24"/>
              </w:rPr>
            </w:pPr>
            <w:r>
              <w:rPr>
                <w:noProof/>
              </w:rPr>
              <w:t xml:space="preserve">B2G </w:t>
            </w:r>
          </w:p>
        </w:tc>
        <w:tc>
          <w:tcPr>
            <w:tcW w:w="3960" w:type="dxa"/>
            <w:shd w:val="clear" w:color="auto" w:fill="C6EFCE"/>
            <w:hideMark/>
          </w:tcPr>
          <w:p w14:paraId="1216C5BA" w14:textId="0EEA3E61" w:rsidR="003C4798" w:rsidRDefault="00417595">
            <w:pPr>
              <w:pStyle w:val="P68B1DB1-Normal87"/>
              <w:spacing w:line="240" w:lineRule="auto"/>
              <w:textAlignment w:val="baseline"/>
              <w:rPr>
                <w:noProof/>
                <w:sz w:val="24"/>
                <w:szCs w:val="24"/>
              </w:rPr>
            </w:pPr>
            <w:r>
              <w:rPr>
                <w:noProof/>
              </w:rPr>
              <w:t xml:space="preserve">B1.1 Air pur et efficacité énergétique </w:t>
            </w:r>
          </w:p>
        </w:tc>
        <w:tc>
          <w:tcPr>
            <w:tcW w:w="1245" w:type="dxa"/>
            <w:shd w:val="clear" w:color="auto" w:fill="C6EFCE"/>
            <w:hideMark/>
          </w:tcPr>
          <w:p w14:paraId="1216C5BB" w14:textId="64F96B6C" w:rsidR="003C4798" w:rsidRDefault="00417595">
            <w:pPr>
              <w:pStyle w:val="P68B1DB1-Normal87"/>
              <w:spacing w:line="240" w:lineRule="auto"/>
              <w:ind w:left="60"/>
              <w:textAlignment w:val="baseline"/>
              <w:rPr>
                <w:noProof/>
                <w:sz w:val="24"/>
                <w:szCs w:val="24"/>
              </w:rPr>
            </w:pPr>
            <w:r>
              <w:rPr>
                <w:noProof/>
              </w:rPr>
              <w:t xml:space="preserve">Étape </w:t>
            </w:r>
          </w:p>
        </w:tc>
        <w:tc>
          <w:tcPr>
            <w:tcW w:w="3915" w:type="dxa"/>
            <w:shd w:val="clear" w:color="auto" w:fill="C6EFCE"/>
            <w:hideMark/>
          </w:tcPr>
          <w:p w14:paraId="1216C5BC" w14:textId="04BD52F7" w:rsidR="003C4798" w:rsidRDefault="00417595">
            <w:pPr>
              <w:pStyle w:val="P68B1DB1-Normal87"/>
              <w:spacing w:line="240" w:lineRule="auto"/>
              <w:textAlignment w:val="baseline"/>
              <w:rPr>
                <w:noProof/>
                <w:sz w:val="24"/>
                <w:szCs w:val="24"/>
              </w:rPr>
            </w:pPr>
            <w:r>
              <w:rPr>
                <w:noProof/>
              </w:rPr>
              <w:t xml:space="preserve">Mise à jour du programme prioritaire «Air pur» </w:t>
            </w:r>
          </w:p>
        </w:tc>
      </w:tr>
      <w:tr w:rsidR="003C4798" w14:paraId="1216C5C2" w14:textId="77777777">
        <w:trPr>
          <w:trHeight w:val="300"/>
          <w:jc w:val="center"/>
        </w:trPr>
        <w:tc>
          <w:tcPr>
            <w:tcW w:w="1335" w:type="dxa"/>
            <w:shd w:val="clear" w:color="auto" w:fill="C6EFCE"/>
            <w:hideMark/>
          </w:tcPr>
          <w:p w14:paraId="1216C5BE" w14:textId="0B46AB5E" w:rsidR="003C4798" w:rsidRDefault="00417595">
            <w:pPr>
              <w:pStyle w:val="P68B1DB1-Normal87"/>
              <w:spacing w:line="240" w:lineRule="auto"/>
              <w:ind w:right="45"/>
              <w:jc w:val="center"/>
              <w:textAlignment w:val="baseline"/>
              <w:rPr>
                <w:noProof/>
                <w:sz w:val="24"/>
                <w:szCs w:val="24"/>
              </w:rPr>
            </w:pPr>
            <w:r>
              <w:rPr>
                <w:noProof/>
              </w:rPr>
              <w:t xml:space="preserve">C2G </w:t>
            </w:r>
          </w:p>
        </w:tc>
        <w:tc>
          <w:tcPr>
            <w:tcW w:w="3960" w:type="dxa"/>
            <w:shd w:val="clear" w:color="auto" w:fill="C6EFCE"/>
            <w:hideMark/>
          </w:tcPr>
          <w:p w14:paraId="1216C5BF" w14:textId="08ECD9C0" w:rsidR="003C4798" w:rsidRDefault="00417595">
            <w:pPr>
              <w:pStyle w:val="P68B1DB1-Normal87"/>
              <w:spacing w:line="240" w:lineRule="auto"/>
              <w:textAlignment w:val="baseline"/>
              <w:rPr>
                <w:noProof/>
                <w:sz w:val="24"/>
                <w:szCs w:val="24"/>
              </w:rPr>
            </w:pPr>
            <w:r>
              <w:rPr>
                <w:noProof/>
              </w:rPr>
              <w:t xml:space="preserve">C1.1 Faciliter le développement de l'infrastructure de réseau pour assurer l'accès universel à l'internet à haut débit </w:t>
            </w:r>
          </w:p>
        </w:tc>
        <w:tc>
          <w:tcPr>
            <w:tcW w:w="1245" w:type="dxa"/>
            <w:shd w:val="clear" w:color="auto" w:fill="C6EFCE"/>
            <w:hideMark/>
          </w:tcPr>
          <w:p w14:paraId="1216C5C0" w14:textId="24DAC46A"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C1" w14:textId="77ADDFDC" w:rsidR="003C4798" w:rsidRDefault="00417595">
            <w:pPr>
              <w:pStyle w:val="P68B1DB1-Normal87"/>
              <w:spacing w:line="240" w:lineRule="auto"/>
              <w:textAlignment w:val="baseline"/>
              <w:rPr>
                <w:noProof/>
                <w:sz w:val="24"/>
                <w:szCs w:val="24"/>
              </w:rPr>
            </w:pPr>
            <w:r>
              <w:rPr>
                <w:noProof/>
              </w:rPr>
              <w:t>Modification du règlement du ministre de la numérisation sur l'inventaire annuel des infrastructures et services de télécommunications</w:t>
            </w:r>
          </w:p>
        </w:tc>
      </w:tr>
      <w:tr w:rsidR="003C4798" w14:paraId="1216C5C7" w14:textId="77777777">
        <w:trPr>
          <w:trHeight w:val="300"/>
          <w:jc w:val="center"/>
        </w:trPr>
        <w:tc>
          <w:tcPr>
            <w:tcW w:w="1335" w:type="dxa"/>
            <w:shd w:val="clear" w:color="auto" w:fill="C6EFCE"/>
            <w:hideMark/>
          </w:tcPr>
          <w:p w14:paraId="1216C5C3" w14:textId="5D5BB935" w:rsidR="003C4798" w:rsidRDefault="00417595">
            <w:pPr>
              <w:pStyle w:val="P68B1DB1-Normal87"/>
              <w:spacing w:line="240" w:lineRule="auto"/>
              <w:ind w:right="45"/>
              <w:jc w:val="center"/>
              <w:textAlignment w:val="baseline"/>
              <w:rPr>
                <w:noProof/>
                <w:sz w:val="24"/>
                <w:szCs w:val="24"/>
              </w:rPr>
            </w:pPr>
            <w:r>
              <w:rPr>
                <w:noProof/>
              </w:rPr>
              <w:t xml:space="preserve">D7G </w:t>
            </w:r>
          </w:p>
        </w:tc>
        <w:tc>
          <w:tcPr>
            <w:tcW w:w="3960" w:type="dxa"/>
            <w:shd w:val="clear" w:color="auto" w:fill="C6EFCE"/>
            <w:hideMark/>
          </w:tcPr>
          <w:p w14:paraId="1216C5C4" w14:textId="0024487A" w:rsidR="003C4798" w:rsidRDefault="00417595">
            <w:pPr>
              <w:pStyle w:val="P68B1DB1-Normal87"/>
              <w:spacing w:line="240" w:lineRule="auto"/>
              <w:textAlignment w:val="baseline"/>
              <w:rPr>
                <w:noProof/>
                <w:sz w:val="24"/>
                <w:szCs w:val="24"/>
              </w:rPr>
            </w:pPr>
            <w:r>
              <w:rPr>
                <w:noProof/>
              </w:rPr>
              <w:t>D1.1 Améliorer l'efficacité, l'accessibilité et la qualité des services de santé</w:t>
            </w:r>
          </w:p>
        </w:tc>
        <w:tc>
          <w:tcPr>
            <w:tcW w:w="1245" w:type="dxa"/>
            <w:shd w:val="clear" w:color="auto" w:fill="C6EFCE"/>
            <w:hideMark/>
          </w:tcPr>
          <w:p w14:paraId="1216C5C5" w14:textId="02BBF7F6"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C6" w14:textId="6471F474" w:rsidR="003C4798" w:rsidRDefault="00417595">
            <w:pPr>
              <w:pStyle w:val="P68B1DB1-Normal87"/>
              <w:spacing w:line="240" w:lineRule="auto"/>
              <w:textAlignment w:val="baseline"/>
              <w:rPr>
                <w:noProof/>
                <w:sz w:val="24"/>
                <w:szCs w:val="24"/>
              </w:rPr>
            </w:pPr>
            <w:r>
              <w:rPr>
                <w:noProof/>
              </w:rPr>
              <w:t>Entrée en vigueur du règlement relatif à la liste des centres de surveillance des voïvodies pour le réseau oncologique</w:t>
            </w:r>
          </w:p>
        </w:tc>
      </w:tr>
      <w:tr w:rsidR="003C4798" w14:paraId="1216C5CC" w14:textId="77777777">
        <w:trPr>
          <w:trHeight w:val="300"/>
          <w:jc w:val="center"/>
        </w:trPr>
        <w:tc>
          <w:tcPr>
            <w:tcW w:w="1335" w:type="dxa"/>
            <w:shd w:val="clear" w:color="auto" w:fill="C6EFCE"/>
            <w:hideMark/>
          </w:tcPr>
          <w:p w14:paraId="1216C5C8" w14:textId="46919763" w:rsidR="003C4798" w:rsidRDefault="00417595">
            <w:pPr>
              <w:pStyle w:val="P68B1DB1-Normal87"/>
              <w:spacing w:line="240" w:lineRule="auto"/>
              <w:ind w:right="45"/>
              <w:jc w:val="center"/>
              <w:textAlignment w:val="baseline"/>
              <w:rPr>
                <w:noProof/>
                <w:sz w:val="24"/>
                <w:szCs w:val="24"/>
              </w:rPr>
            </w:pPr>
            <w:r>
              <w:rPr>
                <w:noProof/>
              </w:rPr>
              <w:t xml:space="preserve">E2G </w:t>
            </w:r>
          </w:p>
        </w:tc>
        <w:tc>
          <w:tcPr>
            <w:tcW w:w="3960" w:type="dxa"/>
            <w:shd w:val="clear" w:color="auto" w:fill="C6EFCE"/>
            <w:hideMark/>
          </w:tcPr>
          <w:p w14:paraId="1216C5C9" w14:textId="55D3D52A" w:rsidR="003C4798" w:rsidRDefault="00417595">
            <w:pPr>
              <w:pStyle w:val="P68B1DB1-Normal87"/>
              <w:spacing w:line="240" w:lineRule="auto"/>
              <w:textAlignment w:val="baseline"/>
              <w:rPr>
                <w:noProof/>
                <w:sz w:val="24"/>
                <w:szCs w:val="24"/>
              </w:rPr>
            </w:pPr>
            <w:r>
              <w:rPr>
                <w:noProof/>
              </w:rPr>
              <w:t xml:space="preserve">E1.1 Augmentation de l ' utilisation de moyens de transport respectueux de l ' environnement </w:t>
            </w:r>
          </w:p>
        </w:tc>
        <w:tc>
          <w:tcPr>
            <w:tcW w:w="1245" w:type="dxa"/>
            <w:shd w:val="clear" w:color="auto" w:fill="C6EFCE"/>
            <w:hideMark/>
          </w:tcPr>
          <w:p w14:paraId="1216C5CA" w14:textId="2A1A0B63" w:rsidR="003C4798" w:rsidRDefault="00417595">
            <w:pPr>
              <w:pStyle w:val="P68B1DB1-Normal87"/>
              <w:spacing w:line="240" w:lineRule="auto"/>
              <w:ind w:left="60"/>
              <w:textAlignment w:val="baseline"/>
              <w:rPr>
                <w:noProof/>
                <w:sz w:val="24"/>
                <w:szCs w:val="24"/>
              </w:rPr>
            </w:pPr>
            <w:r>
              <w:rPr>
                <w:noProof/>
              </w:rPr>
              <w:t>Étape</w:t>
            </w:r>
          </w:p>
        </w:tc>
        <w:tc>
          <w:tcPr>
            <w:tcW w:w="3915" w:type="dxa"/>
            <w:shd w:val="clear" w:color="auto" w:fill="C6EFCE"/>
            <w:hideMark/>
          </w:tcPr>
          <w:p w14:paraId="1216C5CB" w14:textId="0B761D20" w:rsidR="003C4798" w:rsidRDefault="00417595">
            <w:pPr>
              <w:pStyle w:val="P68B1DB1-Normal87"/>
              <w:spacing w:line="240" w:lineRule="auto"/>
              <w:textAlignment w:val="baseline"/>
              <w:rPr>
                <w:noProof/>
                <w:sz w:val="24"/>
                <w:szCs w:val="24"/>
              </w:rPr>
            </w:pPr>
            <w:r>
              <w:rPr>
                <w:noProof/>
              </w:rPr>
              <w:t>Mesures visant à soutenir l’élaboration de plans de mobilité urbaine durable (PMUD) et l’adoption d’incitations à la mise en œuvre des PMUD fournissant un soutien technique et financier à toutes les zones urbaines fonctionnelles par le ministère des infrastructures</w:t>
            </w:r>
          </w:p>
        </w:tc>
      </w:tr>
      <w:tr w:rsidR="003C4798" w14:paraId="1216C5D1" w14:textId="77777777">
        <w:trPr>
          <w:trHeight w:val="300"/>
          <w:jc w:val="center"/>
        </w:trPr>
        <w:tc>
          <w:tcPr>
            <w:tcW w:w="1335" w:type="dxa"/>
            <w:shd w:val="clear" w:color="auto" w:fill="C6EFCE"/>
            <w:hideMark/>
          </w:tcPr>
          <w:p w14:paraId="1216C5CD" w14:textId="2A1F75FF" w:rsidR="003C4798" w:rsidRDefault="00417595">
            <w:pPr>
              <w:pStyle w:val="P68B1DB1-Normal87"/>
              <w:spacing w:line="240" w:lineRule="auto"/>
              <w:textAlignment w:val="baseline"/>
              <w:rPr>
                <w:noProof/>
                <w:sz w:val="24"/>
                <w:szCs w:val="24"/>
              </w:rPr>
            </w:pPr>
            <w:r>
              <w:rPr>
                <w:noProof/>
              </w:rPr>
              <w:t xml:space="preserve"> </w:t>
            </w:r>
          </w:p>
        </w:tc>
        <w:tc>
          <w:tcPr>
            <w:tcW w:w="3960" w:type="dxa"/>
            <w:shd w:val="clear" w:color="auto" w:fill="C6EFCE"/>
            <w:hideMark/>
          </w:tcPr>
          <w:p w14:paraId="1216C5CE" w14:textId="22EA0300" w:rsidR="003C4798" w:rsidRDefault="00417595">
            <w:pPr>
              <w:pStyle w:val="P68B1DB1-Normal87"/>
              <w:spacing w:line="240" w:lineRule="auto"/>
              <w:textAlignment w:val="baseline"/>
              <w:rPr>
                <w:noProof/>
                <w:sz w:val="24"/>
                <w:szCs w:val="24"/>
              </w:rPr>
            </w:pPr>
            <w:r>
              <w:rPr>
                <w:noProof/>
              </w:rPr>
              <w:t xml:space="preserve"> </w:t>
            </w:r>
          </w:p>
        </w:tc>
        <w:tc>
          <w:tcPr>
            <w:tcW w:w="1245" w:type="dxa"/>
            <w:shd w:val="clear" w:color="auto" w:fill="C6EFCE"/>
            <w:hideMark/>
          </w:tcPr>
          <w:p w14:paraId="1216C5CF" w14:textId="410A04E6" w:rsidR="003C4798" w:rsidRDefault="00417595">
            <w:pPr>
              <w:pStyle w:val="P68B1DB1-Normal87"/>
              <w:spacing w:line="240" w:lineRule="auto"/>
              <w:textAlignment w:val="baseline"/>
              <w:rPr>
                <w:noProof/>
                <w:sz w:val="24"/>
                <w:szCs w:val="24"/>
              </w:rPr>
            </w:pPr>
            <w:r>
              <w:rPr>
                <w:noProof/>
              </w:rPr>
              <w:t xml:space="preserve">Montant des acomptes provisionnels </w:t>
            </w:r>
          </w:p>
        </w:tc>
        <w:tc>
          <w:tcPr>
            <w:tcW w:w="3915" w:type="dxa"/>
            <w:shd w:val="clear" w:color="auto" w:fill="C6EFCE"/>
            <w:hideMark/>
          </w:tcPr>
          <w:p w14:paraId="1216C5D0" w14:textId="4A473252" w:rsidR="003C4798" w:rsidRDefault="00417595">
            <w:pPr>
              <w:pStyle w:val="P68B1DB1-Normal87"/>
              <w:spacing w:line="240" w:lineRule="auto"/>
              <w:textAlignment w:val="baseline"/>
              <w:rPr>
                <w:noProof/>
                <w:sz w:val="24"/>
                <w:szCs w:val="24"/>
              </w:rPr>
            </w:pPr>
            <w:r>
              <w:rPr>
                <w:noProof/>
              </w:rPr>
              <w:t>1 725 649 300 EUR</w:t>
            </w:r>
          </w:p>
        </w:tc>
      </w:tr>
    </w:tbl>
    <w:p w14:paraId="1216C5D2" w14:textId="77777777" w:rsidR="003C4798" w:rsidRDefault="003C4798">
      <w:pPr>
        <w:spacing w:line="240" w:lineRule="auto"/>
        <w:textAlignment w:val="baseline"/>
        <w:rPr>
          <w:rFonts w:ascii="Segoe UI" w:eastAsia="Times New Roman" w:hAnsi="Segoe UI" w:cs="Segoe UI"/>
          <w:noProof/>
          <w:sz w:val="18"/>
          <w:szCs w:val="18"/>
        </w:rPr>
      </w:pPr>
    </w:p>
    <w:p w14:paraId="1216C5D3" w14:textId="77777777" w:rsidR="003C4798" w:rsidRDefault="00417595">
      <w:pPr>
        <w:pStyle w:val="P68B1DB1-Normal87"/>
        <w:spacing w:line="240" w:lineRule="auto"/>
        <w:ind w:left="-15"/>
        <w:textAlignment w:val="baseline"/>
        <w:rPr>
          <w:rFonts w:ascii="Segoe UI" w:hAnsi="Segoe UI" w:cs="Segoe UI"/>
          <w:noProof/>
          <w:sz w:val="18"/>
          <w:szCs w:val="18"/>
        </w:rPr>
      </w:pPr>
      <w:r>
        <w:rPr>
          <w:noProof/>
        </w:rPr>
        <w:t>2.1.4 Quatrième tranche (soutien non remboursable):</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3544"/>
        <w:gridCol w:w="1276"/>
        <w:gridCol w:w="3535"/>
      </w:tblGrid>
      <w:tr w:rsidR="003C4798" w14:paraId="1216C5D8" w14:textId="77777777">
        <w:trPr>
          <w:trHeight w:val="300"/>
          <w:tblHeader/>
        </w:trPr>
        <w:tc>
          <w:tcPr>
            <w:tcW w:w="1268" w:type="dxa"/>
            <w:shd w:val="clear" w:color="auto" w:fill="BDD6EE"/>
            <w:hideMark/>
          </w:tcPr>
          <w:p w14:paraId="1216C5D4" w14:textId="77777777" w:rsidR="003C4798" w:rsidRDefault="00417595">
            <w:pPr>
              <w:pStyle w:val="P68B1DB1-Normal100"/>
              <w:spacing w:line="240" w:lineRule="auto"/>
              <w:jc w:val="center"/>
              <w:textAlignment w:val="baseline"/>
              <w:rPr>
                <w:noProof/>
                <w:sz w:val="24"/>
                <w:szCs w:val="24"/>
              </w:rPr>
            </w:pPr>
            <w:r>
              <w:rPr>
                <w:noProof/>
              </w:rPr>
              <w:t>Numéro séquentiel</w:t>
            </w:r>
          </w:p>
        </w:tc>
        <w:tc>
          <w:tcPr>
            <w:tcW w:w="3544" w:type="dxa"/>
            <w:shd w:val="clear" w:color="auto" w:fill="BDD6EE"/>
            <w:hideMark/>
          </w:tcPr>
          <w:p w14:paraId="1216C5D5" w14:textId="7470F65C" w:rsidR="003C4798" w:rsidRDefault="00417595">
            <w:pPr>
              <w:pStyle w:val="P68B1DB1-Normal87"/>
              <w:spacing w:line="240" w:lineRule="auto"/>
              <w:jc w:val="center"/>
              <w:textAlignment w:val="baseline"/>
              <w:rPr>
                <w:noProof/>
                <w:sz w:val="24"/>
                <w:szCs w:val="24"/>
              </w:rPr>
            </w:pPr>
            <w:r>
              <w:rPr>
                <w:b/>
                <w:noProof/>
              </w:rPr>
              <w:t>Mesure connexe (réforme ou investissement)</w:t>
            </w:r>
            <w:r>
              <w:rPr>
                <w:noProof/>
              </w:rPr>
              <w:t xml:space="preserve"> </w:t>
            </w:r>
          </w:p>
        </w:tc>
        <w:tc>
          <w:tcPr>
            <w:tcW w:w="1276" w:type="dxa"/>
            <w:shd w:val="clear" w:color="auto" w:fill="BDD6EE"/>
            <w:hideMark/>
          </w:tcPr>
          <w:p w14:paraId="1216C5D6" w14:textId="474D562B" w:rsidR="003C4798" w:rsidRDefault="00417595">
            <w:pPr>
              <w:pStyle w:val="P68B1DB1-Normal87"/>
              <w:spacing w:line="240" w:lineRule="auto"/>
              <w:ind w:left="15" w:right="15"/>
              <w:jc w:val="center"/>
              <w:textAlignment w:val="baseline"/>
              <w:rPr>
                <w:noProof/>
                <w:sz w:val="24"/>
                <w:szCs w:val="24"/>
              </w:rPr>
            </w:pPr>
            <w:r>
              <w:rPr>
                <w:b/>
                <w:noProof/>
              </w:rPr>
              <w:t>Étape/cible</w:t>
            </w:r>
            <w:r>
              <w:rPr>
                <w:noProof/>
              </w:rPr>
              <w:t xml:space="preserve"> </w:t>
            </w:r>
          </w:p>
        </w:tc>
        <w:tc>
          <w:tcPr>
            <w:tcW w:w="3535" w:type="dxa"/>
            <w:shd w:val="clear" w:color="auto" w:fill="BDD6EE"/>
            <w:hideMark/>
          </w:tcPr>
          <w:p w14:paraId="1216C5D7" w14:textId="0D6D9A8D" w:rsidR="003C4798" w:rsidRDefault="00417595">
            <w:pPr>
              <w:pStyle w:val="P68B1DB1-Normal87"/>
              <w:spacing w:line="240" w:lineRule="auto"/>
              <w:ind w:right="45"/>
              <w:jc w:val="center"/>
              <w:textAlignment w:val="baseline"/>
              <w:rPr>
                <w:noProof/>
                <w:sz w:val="24"/>
                <w:szCs w:val="24"/>
              </w:rPr>
            </w:pPr>
            <w:r>
              <w:rPr>
                <w:b/>
                <w:noProof/>
              </w:rPr>
              <w:t>Nom</w:t>
            </w:r>
            <w:r>
              <w:rPr>
                <w:noProof/>
              </w:rPr>
              <w:t xml:space="preserve"> </w:t>
            </w:r>
          </w:p>
        </w:tc>
      </w:tr>
      <w:tr w:rsidR="003C4798" w14:paraId="1216C5DD" w14:textId="77777777">
        <w:trPr>
          <w:trHeight w:val="300"/>
        </w:trPr>
        <w:tc>
          <w:tcPr>
            <w:tcW w:w="1268" w:type="dxa"/>
            <w:shd w:val="clear" w:color="auto" w:fill="C6EFCE"/>
            <w:hideMark/>
          </w:tcPr>
          <w:p w14:paraId="1216C5D9" w14:textId="56DA9C02" w:rsidR="003C4798" w:rsidRDefault="00417595">
            <w:pPr>
              <w:pStyle w:val="P68B1DB1-Normal87"/>
              <w:spacing w:line="240" w:lineRule="auto"/>
              <w:ind w:right="45"/>
              <w:jc w:val="center"/>
              <w:textAlignment w:val="baseline"/>
              <w:rPr>
                <w:noProof/>
                <w:sz w:val="24"/>
                <w:szCs w:val="24"/>
              </w:rPr>
            </w:pPr>
            <w:r>
              <w:rPr>
                <w:noProof/>
              </w:rPr>
              <w:t xml:space="preserve">A25G </w:t>
            </w:r>
          </w:p>
        </w:tc>
        <w:tc>
          <w:tcPr>
            <w:tcW w:w="3544" w:type="dxa"/>
            <w:shd w:val="clear" w:color="auto" w:fill="C6EFCE"/>
            <w:hideMark/>
          </w:tcPr>
          <w:p w14:paraId="1216C5DA" w14:textId="77777777" w:rsidR="003C4798" w:rsidRDefault="00417595">
            <w:pPr>
              <w:pStyle w:val="P68B1DB1-Normal87"/>
              <w:spacing w:line="240" w:lineRule="auto"/>
              <w:textAlignment w:val="baseline"/>
              <w:rPr>
                <w:noProof/>
              </w:rPr>
            </w:pPr>
            <w:r>
              <w:rPr>
                <w:noProof/>
              </w:rPr>
              <w:t xml:space="preserve">A1.4.1 Modernisation des infrastructures ou des équipements dans le secteur agricole </w:t>
            </w:r>
          </w:p>
        </w:tc>
        <w:tc>
          <w:tcPr>
            <w:tcW w:w="1276" w:type="dxa"/>
            <w:shd w:val="clear" w:color="auto" w:fill="C6EFCE"/>
            <w:hideMark/>
          </w:tcPr>
          <w:p w14:paraId="1216C5DB" w14:textId="4D481E5B" w:rsidR="003C4798" w:rsidRDefault="00417595">
            <w:pPr>
              <w:pStyle w:val="P68B1DB1-Normal87"/>
              <w:spacing w:line="240" w:lineRule="auto"/>
              <w:ind w:right="45"/>
              <w:jc w:val="center"/>
              <w:textAlignment w:val="baseline"/>
              <w:rPr>
                <w:noProof/>
                <w:sz w:val="24"/>
                <w:szCs w:val="24"/>
              </w:rPr>
            </w:pPr>
            <w:r>
              <w:rPr>
                <w:noProof/>
              </w:rPr>
              <w:t>Objectif</w:t>
            </w:r>
          </w:p>
        </w:tc>
        <w:tc>
          <w:tcPr>
            <w:tcW w:w="3535" w:type="dxa"/>
            <w:shd w:val="clear" w:color="auto" w:fill="C6EFCE"/>
            <w:hideMark/>
          </w:tcPr>
          <w:p w14:paraId="1216C5DC" w14:textId="77777777" w:rsidR="003C4798" w:rsidRDefault="00417595">
            <w:pPr>
              <w:pStyle w:val="P68B1DB1-Normal87"/>
              <w:spacing w:line="240" w:lineRule="auto"/>
              <w:textAlignment w:val="baseline"/>
              <w:rPr>
                <w:noProof/>
                <w:sz w:val="24"/>
                <w:szCs w:val="24"/>
              </w:rPr>
            </w:pPr>
            <w:r>
              <w:rPr>
                <w:noProof/>
              </w:rPr>
              <w:t>Agriculteurs ayant reçu des fonds pour mener à bien des projets de remplacement de matériaux nocifs pour l'environnement et la santé dans les bâtiments utilisés pour la production agricole</w:t>
            </w:r>
          </w:p>
        </w:tc>
      </w:tr>
      <w:tr w:rsidR="003C4798" w14:paraId="1216C5E2" w14:textId="77777777">
        <w:trPr>
          <w:trHeight w:val="300"/>
        </w:trPr>
        <w:tc>
          <w:tcPr>
            <w:tcW w:w="1268" w:type="dxa"/>
            <w:shd w:val="clear" w:color="auto" w:fill="C6EFCE"/>
            <w:hideMark/>
          </w:tcPr>
          <w:p w14:paraId="1216C5DE" w14:textId="5A9C8B74" w:rsidR="003C4798" w:rsidRDefault="00417595">
            <w:pPr>
              <w:pStyle w:val="P68B1DB1-Normal87"/>
              <w:spacing w:line="240" w:lineRule="auto"/>
              <w:ind w:right="45"/>
              <w:jc w:val="center"/>
              <w:textAlignment w:val="baseline"/>
              <w:rPr>
                <w:noProof/>
                <w:sz w:val="24"/>
                <w:szCs w:val="24"/>
              </w:rPr>
            </w:pPr>
            <w:r>
              <w:rPr>
                <w:noProof/>
              </w:rPr>
              <w:t xml:space="preserve">A41G </w:t>
            </w:r>
          </w:p>
        </w:tc>
        <w:tc>
          <w:tcPr>
            <w:tcW w:w="3544" w:type="dxa"/>
            <w:shd w:val="clear" w:color="auto" w:fill="C6EFCE"/>
            <w:hideMark/>
          </w:tcPr>
          <w:p w14:paraId="1216C5DF" w14:textId="624F14A0" w:rsidR="003C4798" w:rsidRDefault="00417595">
            <w:pPr>
              <w:pStyle w:val="P68B1DB1-Normal87"/>
              <w:spacing w:line="240" w:lineRule="auto"/>
              <w:textAlignment w:val="baseline"/>
              <w:rPr>
                <w:noProof/>
                <w:sz w:val="24"/>
                <w:szCs w:val="24"/>
              </w:rPr>
            </w:pPr>
            <w:r>
              <w:rPr>
                <w:noProof/>
              </w:rPr>
              <w:t xml:space="preserve">A3.1 Main-d'œuvre pour l'économie moderne: améliorer la mise en adéquation des compétences et des qualifications avec le marché du travail </w:t>
            </w:r>
          </w:p>
        </w:tc>
        <w:tc>
          <w:tcPr>
            <w:tcW w:w="1276" w:type="dxa"/>
            <w:shd w:val="clear" w:color="auto" w:fill="C6EFCE"/>
            <w:hideMark/>
          </w:tcPr>
          <w:p w14:paraId="1216C5E0" w14:textId="62C158B5" w:rsidR="003C4798" w:rsidRDefault="00417595">
            <w:pPr>
              <w:pStyle w:val="P68B1DB1-Normal87"/>
              <w:spacing w:line="240" w:lineRule="auto"/>
              <w:ind w:left="60"/>
              <w:textAlignment w:val="baseline"/>
              <w:rPr>
                <w:noProof/>
                <w:sz w:val="24"/>
                <w:szCs w:val="24"/>
              </w:rPr>
            </w:pPr>
            <w:r>
              <w:rPr>
                <w:noProof/>
              </w:rPr>
              <w:t>Étape</w:t>
            </w:r>
          </w:p>
        </w:tc>
        <w:tc>
          <w:tcPr>
            <w:tcW w:w="3535" w:type="dxa"/>
            <w:shd w:val="clear" w:color="auto" w:fill="C6EFCE"/>
            <w:hideMark/>
          </w:tcPr>
          <w:p w14:paraId="1216C5E1" w14:textId="2E74F4D1" w:rsidR="003C4798" w:rsidRDefault="00417595">
            <w:pPr>
              <w:pStyle w:val="P68B1DB1-Normal87"/>
              <w:spacing w:line="240" w:lineRule="auto"/>
              <w:textAlignment w:val="baseline"/>
              <w:rPr>
                <w:noProof/>
                <w:sz w:val="24"/>
                <w:szCs w:val="24"/>
              </w:rPr>
            </w:pPr>
            <w:r>
              <w:rPr>
                <w:noProof/>
              </w:rPr>
              <w:t>Entrée en vigueur des actes juridiques (y compris l’acte modifiant la loi sur l’éducation) établissant le cadre juridique du réseau de centres sectoriels de compétences</w:t>
            </w:r>
          </w:p>
        </w:tc>
      </w:tr>
      <w:tr w:rsidR="003C4798" w14:paraId="1216C5E7" w14:textId="77777777">
        <w:trPr>
          <w:trHeight w:val="300"/>
        </w:trPr>
        <w:tc>
          <w:tcPr>
            <w:tcW w:w="1268" w:type="dxa"/>
            <w:shd w:val="clear" w:color="auto" w:fill="C6EFCE"/>
            <w:hideMark/>
          </w:tcPr>
          <w:p w14:paraId="1216C5E3" w14:textId="25D6C575" w:rsidR="003C4798" w:rsidRDefault="00417595">
            <w:pPr>
              <w:pStyle w:val="P68B1DB1-Normal87"/>
              <w:spacing w:line="240" w:lineRule="auto"/>
              <w:ind w:right="45"/>
              <w:jc w:val="center"/>
              <w:textAlignment w:val="baseline"/>
              <w:rPr>
                <w:noProof/>
                <w:sz w:val="24"/>
                <w:szCs w:val="24"/>
              </w:rPr>
            </w:pPr>
            <w:r>
              <w:rPr>
                <w:noProof/>
              </w:rPr>
              <w:t xml:space="preserve">A42G </w:t>
            </w:r>
          </w:p>
        </w:tc>
        <w:tc>
          <w:tcPr>
            <w:tcW w:w="3544" w:type="dxa"/>
            <w:shd w:val="clear" w:color="auto" w:fill="C6EFCE"/>
            <w:hideMark/>
          </w:tcPr>
          <w:p w14:paraId="1216C5E4" w14:textId="32606697" w:rsidR="003C4798" w:rsidRDefault="00417595">
            <w:pPr>
              <w:pStyle w:val="P68B1DB1-Normal87"/>
              <w:spacing w:line="240" w:lineRule="auto"/>
              <w:textAlignment w:val="baseline"/>
              <w:rPr>
                <w:noProof/>
              </w:rPr>
            </w:pPr>
            <w:r>
              <w:rPr>
                <w:noProof/>
              </w:rPr>
              <w:t>A3.1 Main-d'œuvre pour l'économie moderne: améliorer la mise en adéquation des compétences et des qualifications avec le marché du travail</w:t>
            </w:r>
          </w:p>
        </w:tc>
        <w:tc>
          <w:tcPr>
            <w:tcW w:w="1276" w:type="dxa"/>
            <w:shd w:val="clear" w:color="auto" w:fill="C6EFCE"/>
            <w:hideMark/>
          </w:tcPr>
          <w:p w14:paraId="1216C5E5" w14:textId="694E2C49" w:rsidR="003C4798" w:rsidRDefault="00417595">
            <w:pPr>
              <w:pStyle w:val="P68B1DB1-Normal87"/>
              <w:spacing w:line="240" w:lineRule="auto"/>
              <w:ind w:left="60"/>
              <w:textAlignment w:val="baseline"/>
              <w:rPr>
                <w:noProof/>
                <w:sz w:val="24"/>
                <w:szCs w:val="24"/>
              </w:rPr>
            </w:pPr>
            <w:r>
              <w:rPr>
                <w:noProof/>
              </w:rPr>
              <w:t>Étape</w:t>
            </w:r>
          </w:p>
        </w:tc>
        <w:tc>
          <w:tcPr>
            <w:tcW w:w="3535" w:type="dxa"/>
            <w:shd w:val="clear" w:color="auto" w:fill="C6EFCE"/>
            <w:hideMark/>
          </w:tcPr>
          <w:p w14:paraId="1216C5E6" w14:textId="57E0C054" w:rsidR="003C4798" w:rsidRDefault="00417595">
            <w:pPr>
              <w:pStyle w:val="P68B1DB1-Normal87"/>
              <w:spacing w:line="240" w:lineRule="auto"/>
              <w:textAlignment w:val="baseline"/>
              <w:rPr>
                <w:noProof/>
                <w:sz w:val="24"/>
                <w:szCs w:val="24"/>
              </w:rPr>
            </w:pPr>
            <w:r>
              <w:rPr>
                <w:noProof/>
              </w:rPr>
              <w:t>Entrée en vigueur des actes juridiques (y compris la loi modifiant la loi sur les enseignants) permettant la mise en œuvre de la formation professionnelle des enseignants dans les centres sectoriels de compétences</w:t>
            </w:r>
          </w:p>
        </w:tc>
      </w:tr>
      <w:tr w:rsidR="003C4798" w14:paraId="1216C5EC" w14:textId="77777777">
        <w:trPr>
          <w:trHeight w:val="300"/>
        </w:trPr>
        <w:tc>
          <w:tcPr>
            <w:tcW w:w="1268" w:type="dxa"/>
            <w:shd w:val="clear" w:color="auto" w:fill="C6EFCE"/>
            <w:hideMark/>
          </w:tcPr>
          <w:p w14:paraId="1216C5E8" w14:textId="44BF9D54" w:rsidR="003C4798" w:rsidRDefault="00417595">
            <w:pPr>
              <w:pStyle w:val="P68B1DB1-Normal87"/>
              <w:spacing w:line="240" w:lineRule="auto"/>
              <w:ind w:right="45"/>
              <w:jc w:val="center"/>
              <w:textAlignment w:val="baseline"/>
              <w:rPr>
                <w:noProof/>
                <w:sz w:val="24"/>
                <w:szCs w:val="24"/>
              </w:rPr>
            </w:pPr>
            <w:r>
              <w:rPr>
                <w:noProof/>
              </w:rPr>
              <w:t xml:space="preserve">A50G </w:t>
            </w:r>
          </w:p>
        </w:tc>
        <w:tc>
          <w:tcPr>
            <w:tcW w:w="3544" w:type="dxa"/>
            <w:shd w:val="clear" w:color="auto" w:fill="C6EFCE"/>
            <w:hideMark/>
          </w:tcPr>
          <w:p w14:paraId="1216C5E9" w14:textId="7FBAD26F" w:rsidR="003C4798" w:rsidRDefault="00417595">
            <w:pPr>
              <w:pStyle w:val="P68B1DB1-Normal87"/>
              <w:spacing w:line="240" w:lineRule="auto"/>
              <w:textAlignment w:val="baseline"/>
              <w:rPr>
                <w:noProof/>
                <w:sz w:val="24"/>
                <w:szCs w:val="24"/>
              </w:rPr>
            </w:pPr>
            <w:r>
              <w:rPr>
                <w:noProof/>
              </w:rPr>
              <w:t>A3.1.1 Investissements dans la formation professionnelle moderne, l'enseignement supérieur et l'apprentissage tout au long de la vie</w:t>
            </w:r>
          </w:p>
        </w:tc>
        <w:tc>
          <w:tcPr>
            <w:tcW w:w="1276" w:type="dxa"/>
            <w:shd w:val="clear" w:color="auto" w:fill="C6EFCE"/>
            <w:hideMark/>
          </w:tcPr>
          <w:p w14:paraId="1216C5EA" w14:textId="7705E0A8" w:rsidR="003C4798" w:rsidRDefault="00417595">
            <w:pPr>
              <w:pStyle w:val="P68B1DB1-Normal87"/>
              <w:spacing w:line="240" w:lineRule="auto"/>
              <w:ind w:right="45"/>
              <w:jc w:val="center"/>
              <w:textAlignment w:val="baseline"/>
              <w:rPr>
                <w:noProof/>
                <w:sz w:val="24"/>
                <w:szCs w:val="24"/>
              </w:rPr>
            </w:pPr>
            <w:r>
              <w:rPr>
                <w:noProof/>
              </w:rPr>
              <w:t>Objectif</w:t>
            </w:r>
          </w:p>
        </w:tc>
        <w:tc>
          <w:tcPr>
            <w:tcW w:w="3535" w:type="dxa"/>
            <w:shd w:val="clear" w:color="auto" w:fill="C6EFCE"/>
            <w:hideMark/>
          </w:tcPr>
          <w:p w14:paraId="1216C5EB" w14:textId="643F3E84" w:rsidR="003C4798" w:rsidRDefault="00417595">
            <w:pPr>
              <w:pStyle w:val="P68B1DB1-Normal87"/>
              <w:spacing w:line="240" w:lineRule="auto"/>
              <w:textAlignment w:val="baseline"/>
              <w:rPr>
                <w:noProof/>
                <w:sz w:val="24"/>
                <w:szCs w:val="24"/>
              </w:rPr>
            </w:pPr>
            <w:r>
              <w:rPr>
                <w:noProof/>
              </w:rPr>
              <w:t>Élaboration de programmes opérationnels de mise en œuvre de la stratégie intégrée en matière de compétences au niveau régional par les équipes de coordination régionale établies pour l’enseignement et la formation professionnels et l’apprentissage tout au long de la vie</w:t>
            </w:r>
          </w:p>
        </w:tc>
      </w:tr>
      <w:tr w:rsidR="003C4798" w14:paraId="1216C5F1" w14:textId="77777777">
        <w:trPr>
          <w:trHeight w:val="300"/>
        </w:trPr>
        <w:tc>
          <w:tcPr>
            <w:tcW w:w="1268" w:type="dxa"/>
            <w:shd w:val="clear" w:color="auto" w:fill="C6EFCE"/>
            <w:hideMark/>
          </w:tcPr>
          <w:p w14:paraId="1216C5ED" w14:textId="36319A91" w:rsidR="003C4798" w:rsidRDefault="00417595">
            <w:pPr>
              <w:pStyle w:val="P68B1DB1-Normal87"/>
              <w:spacing w:line="240" w:lineRule="auto"/>
              <w:ind w:right="45"/>
              <w:jc w:val="center"/>
              <w:textAlignment w:val="baseline"/>
              <w:rPr>
                <w:noProof/>
                <w:sz w:val="24"/>
                <w:szCs w:val="24"/>
              </w:rPr>
            </w:pPr>
            <w:r>
              <w:rPr>
                <w:noProof/>
              </w:rPr>
              <w:t xml:space="preserve">A69G </w:t>
            </w:r>
          </w:p>
        </w:tc>
        <w:tc>
          <w:tcPr>
            <w:tcW w:w="3544" w:type="dxa"/>
            <w:shd w:val="clear" w:color="auto" w:fill="C6EFCE"/>
            <w:hideMark/>
          </w:tcPr>
          <w:p w14:paraId="1216C5EE" w14:textId="3D27F837" w:rsidR="003C4798" w:rsidRDefault="00417595">
            <w:pPr>
              <w:pStyle w:val="P68B1DB1-Normal87"/>
              <w:spacing w:line="240" w:lineRule="auto"/>
              <w:textAlignment w:val="baseline"/>
              <w:rPr>
                <w:noProof/>
                <w:sz w:val="24"/>
                <w:szCs w:val="24"/>
              </w:rPr>
            </w:pPr>
            <w:r>
              <w:rPr>
                <w:noProof/>
              </w:rPr>
              <w:t>A4.6 Accroître la participation de certains groupes au marché du travail en développant les soins de longue durée</w:t>
            </w:r>
          </w:p>
        </w:tc>
        <w:tc>
          <w:tcPr>
            <w:tcW w:w="1276" w:type="dxa"/>
            <w:shd w:val="clear" w:color="auto" w:fill="C6EFCE"/>
            <w:hideMark/>
          </w:tcPr>
          <w:p w14:paraId="1216C5EF" w14:textId="37887BB4" w:rsidR="003C4798" w:rsidRDefault="00417595">
            <w:pPr>
              <w:pStyle w:val="P68B1DB1-Normal87"/>
              <w:spacing w:line="240" w:lineRule="auto"/>
              <w:ind w:left="60"/>
              <w:textAlignment w:val="baseline"/>
              <w:rPr>
                <w:noProof/>
                <w:sz w:val="24"/>
                <w:szCs w:val="24"/>
              </w:rPr>
            </w:pPr>
            <w:r>
              <w:rPr>
                <w:noProof/>
              </w:rPr>
              <w:t>Étape</w:t>
            </w:r>
          </w:p>
        </w:tc>
        <w:tc>
          <w:tcPr>
            <w:tcW w:w="3535" w:type="dxa"/>
            <w:shd w:val="clear" w:color="auto" w:fill="C6EFCE"/>
            <w:hideMark/>
          </w:tcPr>
          <w:p w14:paraId="1216C5F0" w14:textId="09FE66CF" w:rsidR="003C4798" w:rsidRDefault="00417595">
            <w:pPr>
              <w:pStyle w:val="P68B1DB1-Normal87"/>
              <w:spacing w:line="240" w:lineRule="auto"/>
              <w:textAlignment w:val="baseline"/>
              <w:rPr>
                <w:noProof/>
                <w:sz w:val="24"/>
                <w:szCs w:val="24"/>
              </w:rPr>
            </w:pPr>
            <w:r>
              <w:rPr>
                <w:noProof/>
              </w:rPr>
              <w:t>Examen stratégique des soins de longue durée en Pologne en vue de définir les priorités en matière de réformes</w:t>
            </w:r>
          </w:p>
        </w:tc>
      </w:tr>
      <w:tr w:rsidR="003C4798" w14:paraId="1216C5F6" w14:textId="77777777">
        <w:trPr>
          <w:trHeight w:val="300"/>
        </w:trPr>
        <w:tc>
          <w:tcPr>
            <w:tcW w:w="1268" w:type="dxa"/>
            <w:shd w:val="clear" w:color="auto" w:fill="C6EFCE"/>
            <w:hideMark/>
          </w:tcPr>
          <w:p w14:paraId="1216C5F2" w14:textId="7292D112" w:rsidR="003C4798" w:rsidRDefault="00417595">
            <w:pPr>
              <w:pStyle w:val="P68B1DB1-Normal87"/>
              <w:spacing w:line="240" w:lineRule="auto"/>
              <w:ind w:right="45"/>
              <w:jc w:val="center"/>
              <w:textAlignment w:val="baseline"/>
              <w:rPr>
                <w:noProof/>
                <w:sz w:val="24"/>
                <w:szCs w:val="24"/>
              </w:rPr>
            </w:pPr>
            <w:r>
              <w:rPr>
                <w:noProof/>
              </w:rPr>
              <w:t xml:space="preserve">B5G </w:t>
            </w:r>
          </w:p>
        </w:tc>
        <w:tc>
          <w:tcPr>
            <w:tcW w:w="3544" w:type="dxa"/>
            <w:shd w:val="clear" w:color="auto" w:fill="C6EFCE"/>
            <w:hideMark/>
          </w:tcPr>
          <w:p w14:paraId="1216C5F3" w14:textId="416A349D" w:rsidR="003C4798" w:rsidRDefault="00417595">
            <w:pPr>
              <w:pStyle w:val="P68B1DB1-Normal87"/>
              <w:spacing w:line="240" w:lineRule="auto"/>
              <w:textAlignment w:val="baseline"/>
              <w:rPr>
                <w:noProof/>
                <w:sz w:val="24"/>
                <w:szCs w:val="24"/>
              </w:rPr>
            </w:pPr>
            <w:r>
              <w:rPr>
                <w:noProof/>
              </w:rPr>
              <w:t>B1.1 Air pur et efficacité énergétique</w:t>
            </w:r>
          </w:p>
        </w:tc>
        <w:tc>
          <w:tcPr>
            <w:tcW w:w="1276" w:type="dxa"/>
            <w:shd w:val="clear" w:color="auto" w:fill="C6EFCE"/>
            <w:hideMark/>
          </w:tcPr>
          <w:p w14:paraId="1216C5F4" w14:textId="227154B0" w:rsidR="003C4798" w:rsidRDefault="00417595">
            <w:pPr>
              <w:pStyle w:val="P68B1DB1-Normal87"/>
              <w:spacing w:line="240" w:lineRule="auto"/>
              <w:ind w:left="60"/>
              <w:textAlignment w:val="baseline"/>
              <w:rPr>
                <w:noProof/>
                <w:sz w:val="24"/>
                <w:szCs w:val="24"/>
              </w:rPr>
            </w:pPr>
            <w:r>
              <w:rPr>
                <w:noProof/>
              </w:rPr>
              <w:t>Étape</w:t>
            </w:r>
          </w:p>
        </w:tc>
        <w:tc>
          <w:tcPr>
            <w:tcW w:w="3535" w:type="dxa"/>
            <w:shd w:val="clear" w:color="auto" w:fill="C6EFCE"/>
            <w:hideMark/>
          </w:tcPr>
          <w:p w14:paraId="1216C5F5" w14:textId="70CA9BC2" w:rsidR="003C4798" w:rsidRDefault="00417595">
            <w:pPr>
              <w:pStyle w:val="P68B1DB1-Normal87"/>
              <w:spacing w:line="240" w:lineRule="auto"/>
              <w:textAlignment w:val="baseline"/>
              <w:rPr>
                <w:noProof/>
                <w:sz w:val="24"/>
                <w:szCs w:val="24"/>
              </w:rPr>
            </w:pPr>
            <w:r>
              <w:rPr>
                <w:noProof/>
              </w:rPr>
              <w:t>Entrée en vigueur du règlement établissant des normes de qualité pour les combustibles solides issus de la biomasse</w:t>
            </w:r>
          </w:p>
        </w:tc>
      </w:tr>
      <w:tr w:rsidR="003C4798" w14:paraId="1216C5FB" w14:textId="77777777">
        <w:trPr>
          <w:trHeight w:val="300"/>
        </w:trPr>
        <w:tc>
          <w:tcPr>
            <w:tcW w:w="1268" w:type="dxa"/>
            <w:shd w:val="clear" w:color="auto" w:fill="C6EFCE"/>
            <w:hideMark/>
          </w:tcPr>
          <w:p w14:paraId="1216C5F7" w14:textId="398AD281" w:rsidR="003C4798" w:rsidRDefault="00417595">
            <w:pPr>
              <w:pStyle w:val="P68B1DB1-Normal87"/>
              <w:spacing w:line="240" w:lineRule="auto"/>
              <w:ind w:right="45"/>
              <w:jc w:val="center"/>
              <w:textAlignment w:val="baseline"/>
              <w:rPr>
                <w:noProof/>
                <w:sz w:val="24"/>
                <w:szCs w:val="24"/>
              </w:rPr>
            </w:pPr>
            <w:r>
              <w:rPr>
                <w:noProof/>
              </w:rPr>
              <w:t xml:space="preserve">B8G </w:t>
            </w:r>
          </w:p>
        </w:tc>
        <w:tc>
          <w:tcPr>
            <w:tcW w:w="3544" w:type="dxa"/>
            <w:shd w:val="clear" w:color="auto" w:fill="C6EFCE"/>
            <w:hideMark/>
          </w:tcPr>
          <w:p w14:paraId="1216C5F8" w14:textId="7CB8AEC1" w:rsidR="003C4798" w:rsidRDefault="00417595">
            <w:pPr>
              <w:pStyle w:val="P68B1DB1-Normal87"/>
              <w:spacing w:line="240" w:lineRule="auto"/>
              <w:textAlignment w:val="baseline"/>
              <w:rPr>
                <w:noProof/>
                <w:sz w:val="24"/>
                <w:szCs w:val="24"/>
              </w:rPr>
            </w:pPr>
            <w:r>
              <w:rPr>
                <w:noProof/>
              </w:rPr>
              <w:t>B1.1.2 Remplacement des sources de chaleur et amélioration de l'efficacité énergétique dans les bâtiments résidentiels unifamiliaux</w:t>
            </w:r>
          </w:p>
        </w:tc>
        <w:tc>
          <w:tcPr>
            <w:tcW w:w="1276" w:type="dxa"/>
            <w:shd w:val="clear" w:color="auto" w:fill="C6EFCE"/>
            <w:hideMark/>
          </w:tcPr>
          <w:p w14:paraId="1216C5F9" w14:textId="54152C6E" w:rsidR="003C4798" w:rsidRDefault="00417595">
            <w:pPr>
              <w:pStyle w:val="P68B1DB1-Normal87"/>
              <w:spacing w:line="240" w:lineRule="auto"/>
              <w:ind w:left="60"/>
              <w:textAlignment w:val="baseline"/>
              <w:rPr>
                <w:noProof/>
                <w:sz w:val="24"/>
                <w:szCs w:val="24"/>
              </w:rPr>
            </w:pPr>
            <w:r>
              <w:rPr>
                <w:noProof/>
              </w:rPr>
              <w:t>Objectif</w:t>
            </w:r>
          </w:p>
        </w:tc>
        <w:tc>
          <w:tcPr>
            <w:tcW w:w="3535" w:type="dxa"/>
            <w:shd w:val="clear" w:color="auto" w:fill="C6EFCE"/>
            <w:hideMark/>
          </w:tcPr>
          <w:p w14:paraId="1216C5FA" w14:textId="27C647AE" w:rsidR="003C4798" w:rsidRDefault="00417595">
            <w:pPr>
              <w:pStyle w:val="P68B1DB1-Normal87"/>
              <w:spacing w:line="240" w:lineRule="auto"/>
              <w:textAlignment w:val="baseline"/>
              <w:rPr>
                <w:noProof/>
                <w:sz w:val="24"/>
                <w:szCs w:val="24"/>
              </w:rPr>
            </w:pPr>
            <w:r>
              <w:rPr>
                <w:noProof/>
              </w:rPr>
              <w:t>T1 - Remplacement de la source de chaleur dans les immeubles unifamiliaux</w:t>
            </w:r>
          </w:p>
        </w:tc>
      </w:tr>
      <w:tr w:rsidR="003C4798" w14:paraId="1216C600" w14:textId="77777777">
        <w:trPr>
          <w:trHeight w:val="300"/>
        </w:trPr>
        <w:tc>
          <w:tcPr>
            <w:tcW w:w="1268" w:type="dxa"/>
            <w:shd w:val="clear" w:color="auto" w:fill="C6EFCE"/>
            <w:hideMark/>
          </w:tcPr>
          <w:p w14:paraId="1216C5FC" w14:textId="27F8702A" w:rsidR="003C4798" w:rsidRDefault="00417595">
            <w:pPr>
              <w:pStyle w:val="P68B1DB1-Normal87"/>
              <w:spacing w:line="240" w:lineRule="auto"/>
              <w:ind w:right="45"/>
              <w:jc w:val="center"/>
              <w:textAlignment w:val="baseline"/>
              <w:rPr>
                <w:noProof/>
                <w:sz w:val="24"/>
                <w:szCs w:val="24"/>
              </w:rPr>
            </w:pPr>
            <w:r>
              <w:rPr>
                <w:noProof/>
              </w:rPr>
              <w:t xml:space="preserve">B10G </w:t>
            </w:r>
          </w:p>
        </w:tc>
        <w:tc>
          <w:tcPr>
            <w:tcW w:w="3544" w:type="dxa"/>
            <w:shd w:val="clear" w:color="auto" w:fill="C6EFCE"/>
            <w:hideMark/>
          </w:tcPr>
          <w:p w14:paraId="1216C5FD" w14:textId="6D6CBB63" w:rsidR="003C4798" w:rsidRDefault="00417595">
            <w:pPr>
              <w:pStyle w:val="P68B1DB1-Normal87"/>
              <w:spacing w:line="240" w:lineRule="auto"/>
              <w:textAlignment w:val="baseline"/>
              <w:rPr>
                <w:noProof/>
                <w:sz w:val="24"/>
                <w:szCs w:val="24"/>
              </w:rPr>
            </w:pPr>
            <w:r>
              <w:rPr>
                <w:noProof/>
              </w:rPr>
              <w:t>B1.1.2 Remplacement de la source de chaleur et amélioration de l'efficacité énergétique dans les bâtiments résidentiels unifamiliaux</w:t>
            </w:r>
          </w:p>
        </w:tc>
        <w:tc>
          <w:tcPr>
            <w:tcW w:w="1276" w:type="dxa"/>
            <w:shd w:val="clear" w:color="auto" w:fill="C6EFCE"/>
            <w:hideMark/>
          </w:tcPr>
          <w:p w14:paraId="1216C5FE" w14:textId="4B565DCA" w:rsidR="003C4798" w:rsidRDefault="00417595">
            <w:pPr>
              <w:pStyle w:val="P68B1DB1-Normal87"/>
              <w:spacing w:line="240" w:lineRule="auto"/>
              <w:ind w:left="60"/>
              <w:textAlignment w:val="baseline"/>
              <w:rPr>
                <w:noProof/>
                <w:sz w:val="24"/>
                <w:szCs w:val="24"/>
              </w:rPr>
            </w:pPr>
            <w:r>
              <w:rPr>
                <w:noProof/>
              </w:rPr>
              <w:t>Objectif</w:t>
            </w:r>
          </w:p>
        </w:tc>
        <w:tc>
          <w:tcPr>
            <w:tcW w:w="3535" w:type="dxa"/>
            <w:shd w:val="clear" w:color="auto" w:fill="C6EFCE"/>
            <w:hideMark/>
          </w:tcPr>
          <w:p w14:paraId="1216C5FF" w14:textId="492A0E20" w:rsidR="003C4798" w:rsidRDefault="00417595">
            <w:pPr>
              <w:pStyle w:val="P68B1DB1-Normal87"/>
              <w:spacing w:line="240" w:lineRule="auto"/>
              <w:textAlignment w:val="baseline"/>
              <w:rPr>
                <w:noProof/>
                <w:sz w:val="24"/>
                <w:szCs w:val="24"/>
              </w:rPr>
            </w:pPr>
            <w:r>
              <w:rPr>
                <w:noProof/>
              </w:rPr>
              <w:t>T1 - Thermomodernisation et installation de sources d'énergie renouvelables dans les bâtiments résidentiels unifamiliaux</w:t>
            </w:r>
          </w:p>
        </w:tc>
      </w:tr>
      <w:tr w:rsidR="003C4798" w14:paraId="1216C605" w14:textId="77777777">
        <w:trPr>
          <w:trHeight w:val="300"/>
        </w:trPr>
        <w:tc>
          <w:tcPr>
            <w:tcW w:w="1268" w:type="dxa"/>
            <w:shd w:val="clear" w:color="auto" w:fill="C6EFCE"/>
            <w:hideMark/>
          </w:tcPr>
          <w:p w14:paraId="1216C601" w14:textId="77749AF9" w:rsidR="003C4798" w:rsidRDefault="00417595">
            <w:pPr>
              <w:pStyle w:val="P68B1DB1-Normal87"/>
              <w:spacing w:line="240" w:lineRule="auto"/>
              <w:ind w:right="45"/>
              <w:jc w:val="center"/>
              <w:textAlignment w:val="baseline"/>
              <w:rPr>
                <w:noProof/>
                <w:sz w:val="24"/>
                <w:szCs w:val="24"/>
              </w:rPr>
            </w:pPr>
            <w:r>
              <w:rPr>
                <w:noProof/>
              </w:rPr>
              <w:t xml:space="preserve">B17G </w:t>
            </w:r>
          </w:p>
        </w:tc>
        <w:tc>
          <w:tcPr>
            <w:tcW w:w="3544" w:type="dxa"/>
            <w:shd w:val="clear" w:color="auto" w:fill="C6EFCE"/>
            <w:hideMark/>
          </w:tcPr>
          <w:p w14:paraId="1216C602" w14:textId="397DEB4C" w:rsidR="003C4798" w:rsidRDefault="00417595">
            <w:pPr>
              <w:pStyle w:val="P68B1DB1-Normal87"/>
              <w:spacing w:line="240" w:lineRule="auto"/>
              <w:textAlignment w:val="baseline"/>
              <w:rPr>
                <w:noProof/>
                <w:sz w:val="24"/>
                <w:szCs w:val="24"/>
              </w:rPr>
            </w:pPr>
            <w:r>
              <w:rPr>
                <w:noProof/>
              </w:rPr>
              <w:t xml:space="preserve">B2.1 Améliorer les conditions de développement des technologies de l’hydrogène et d’autres gaz décarbonés </w:t>
            </w:r>
          </w:p>
        </w:tc>
        <w:tc>
          <w:tcPr>
            <w:tcW w:w="1276" w:type="dxa"/>
            <w:shd w:val="clear" w:color="auto" w:fill="C6EFCE"/>
            <w:hideMark/>
          </w:tcPr>
          <w:p w14:paraId="1216C603" w14:textId="4B58E274" w:rsidR="003C4798" w:rsidRDefault="00417595">
            <w:pPr>
              <w:pStyle w:val="P68B1DB1-Normal87"/>
              <w:spacing w:line="240" w:lineRule="auto"/>
              <w:ind w:left="60"/>
              <w:textAlignment w:val="baseline"/>
              <w:rPr>
                <w:noProof/>
                <w:sz w:val="24"/>
                <w:szCs w:val="24"/>
              </w:rPr>
            </w:pPr>
            <w:r>
              <w:rPr>
                <w:noProof/>
              </w:rPr>
              <w:t>Étape</w:t>
            </w:r>
          </w:p>
        </w:tc>
        <w:tc>
          <w:tcPr>
            <w:tcW w:w="3535" w:type="dxa"/>
            <w:shd w:val="clear" w:color="auto" w:fill="C6EFCE"/>
            <w:hideMark/>
          </w:tcPr>
          <w:p w14:paraId="1216C604" w14:textId="2BF44E57" w:rsidR="003C4798" w:rsidRDefault="00417595">
            <w:pPr>
              <w:pStyle w:val="P68B1DB1-Normal87"/>
              <w:spacing w:line="240" w:lineRule="auto"/>
              <w:textAlignment w:val="baseline"/>
              <w:rPr>
                <w:noProof/>
                <w:sz w:val="24"/>
                <w:szCs w:val="24"/>
              </w:rPr>
            </w:pPr>
            <w:r>
              <w:rPr>
                <w:noProof/>
              </w:rPr>
              <w:t>Entrée en vigueur de la loi fixant des règles pour l’hydrogène</w:t>
            </w:r>
          </w:p>
        </w:tc>
      </w:tr>
      <w:tr w:rsidR="003C4798" w14:paraId="1216C60A" w14:textId="77777777">
        <w:trPr>
          <w:trHeight w:val="300"/>
        </w:trPr>
        <w:tc>
          <w:tcPr>
            <w:tcW w:w="1268" w:type="dxa"/>
            <w:shd w:val="clear" w:color="auto" w:fill="C6EFCE"/>
            <w:hideMark/>
          </w:tcPr>
          <w:p w14:paraId="1216C606" w14:textId="77777777" w:rsidR="003C4798" w:rsidRDefault="00417595">
            <w:pPr>
              <w:pStyle w:val="P68B1DB1-Normal87"/>
              <w:spacing w:line="240" w:lineRule="auto"/>
              <w:ind w:right="45"/>
              <w:jc w:val="center"/>
              <w:textAlignment w:val="baseline"/>
              <w:rPr>
                <w:noProof/>
                <w:sz w:val="24"/>
                <w:szCs w:val="24"/>
              </w:rPr>
            </w:pPr>
            <w:r>
              <w:rPr>
                <w:noProof/>
              </w:rPr>
              <w:t>B42G </w:t>
            </w:r>
          </w:p>
        </w:tc>
        <w:tc>
          <w:tcPr>
            <w:tcW w:w="3544" w:type="dxa"/>
            <w:shd w:val="clear" w:color="auto" w:fill="C6EFCE"/>
            <w:hideMark/>
          </w:tcPr>
          <w:p w14:paraId="1216C607" w14:textId="7230ADFA" w:rsidR="003C4798" w:rsidRDefault="00417595">
            <w:pPr>
              <w:pStyle w:val="P68B1DB1-Normal87"/>
              <w:spacing w:line="240" w:lineRule="auto"/>
              <w:textAlignment w:val="baseline"/>
              <w:rPr>
                <w:noProof/>
                <w:sz w:val="24"/>
                <w:szCs w:val="24"/>
              </w:rPr>
            </w:pPr>
            <w:r>
              <w:rPr>
                <w:noProof/>
              </w:rPr>
              <w:t>B1.1.5 Amélioration de l'efficacité énergétique dans les immeubles résidentiels comprenant plusieurs appartements</w:t>
            </w:r>
          </w:p>
        </w:tc>
        <w:tc>
          <w:tcPr>
            <w:tcW w:w="1276" w:type="dxa"/>
            <w:shd w:val="clear" w:color="auto" w:fill="C6EFCE"/>
            <w:hideMark/>
          </w:tcPr>
          <w:p w14:paraId="1216C608" w14:textId="566E1D0C" w:rsidR="003C4798" w:rsidRDefault="00417595">
            <w:pPr>
              <w:pStyle w:val="P68B1DB1-Normal87"/>
              <w:spacing w:line="240" w:lineRule="auto"/>
              <w:ind w:left="60"/>
              <w:textAlignment w:val="baseline"/>
              <w:rPr>
                <w:noProof/>
                <w:sz w:val="24"/>
                <w:szCs w:val="24"/>
              </w:rPr>
            </w:pPr>
            <w:r>
              <w:rPr>
                <w:noProof/>
              </w:rPr>
              <w:t>Objectif</w:t>
            </w:r>
          </w:p>
        </w:tc>
        <w:tc>
          <w:tcPr>
            <w:tcW w:w="3535" w:type="dxa"/>
            <w:shd w:val="clear" w:color="auto" w:fill="C6EFCE"/>
            <w:hideMark/>
          </w:tcPr>
          <w:p w14:paraId="1216C609" w14:textId="66980CD1" w:rsidR="003C4798" w:rsidRDefault="00417595">
            <w:pPr>
              <w:pStyle w:val="P68B1DB1-Normal87"/>
              <w:spacing w:line="240" w:lineRule="auto"/>
              <w:textAlignment w:val="baseline"/>
              <w:rPr>
                <w:noProof/>
                <w:sz w:val="24"/>
                <w:szCs w:val="24"/>
              </w:rPr>
            </w:pPr>
            <w:r>
              <w:rPr>
                <w:noProof/>
              </w:rPr>
              <w:t>T1 – Installations d’énergie renouvelable et thermomodernisations dans les immeubles comprenant plusieurs appartements</w:t>
            </w:r>
          </w:p>
        </w:tc>
      </w:tr>
      <w:tr w:rsidR="003C4798" w14:paraId="1216C60F" w14:textId="77777777">
        <w:trPr>
          <w:trHeight w:val="300"/>
        </w:trPr>
        <w:tc>
          <w:tcPr>
            <w:tcW w:w="1268" w:type="dxa"/>
            <w:shd w:val="clear" w:color="auto" w:fill="C6EFCE"/>
            <w:hideMark/>
          </w:tcPr>
          <w:p w14:paraId="1216C60B" w14:textId="5599E16F" w:rsidR="003C4798" w:rsidRDefault="00417595">
            <w:pPr>
              <w:pStyle w:val="P68B1DB1-Normal87"/>
              <w:spacing w:line="240" w:lineRule="auto"/>
              <w:ind w:right="45"/>
              <w:jc w:val="center"/>
              <w:textAlignment w:val="baseline"/>
              <w:rPr>
                <w:noProof/>
                <w:sz w:val="24"/>
                <w:szCs w:val="24"/>
              </w:rPr>
            </w:pPr>
            <w:r>
              <w:rPr>
                <w:noProof/>
              </w:rPr>
              <w:t xml:space="preserve">C27G </w:t>
            </w:r>
          </w:p>
        </w:tc>
        <w:tc>
          <w:tcPr>
            <w:tcW w:w="3544" w:type="dxa"/>
            <w:shd w:val="clear" w:color="auto" w:fill="C6EFCE"/>
            <w:hideMark/>
          </w:tcPr>
          <w:p w14:paraId="1216C60C" w14:textId="21ADCE01" w:rsidR="003C4798" w:rsidRDefault="00417595">
            <w:pPr>
              <w:pStyle w:val="P68B1DB1-Normal87"/>
              <w:spacing w:line="240" w:lineRule="auto"/>
              <w:textAlignment w:val="baseline"/>
              <w:rPr>
                <w:noProof/>
                <w:sz w:val="24"/>
                <w:szCs w:val="24"/>
              </w:rPr>
            </w:pPr>
            <w:r>
              <w:rPr>
                <w:noProof/>
              </w:rPr>
              <w:t>C3.1.1 Cybersécurité – CyberPL, infrastructure de traitement des données et optimisation de l’infrastructure des services répressifs</w:t>
            </w:r>
          </w:p>
        </w:tc>
        <w:tc>
          <w:tcPr>
            <w:tcW w:w="1276" w:type="dxa"/>
            <w:shd w:val="clear" w:color="auto" w:fill="C6EFCE"/>
            <w:hideMark/>
          </w:tcPr>
          <w:p w14:paraId="1216C60D" w14:textId="6C21EE44" w:rsidR="003C4798" w:rsidRDefault="00417595">
            <w:pPr>
              <w:pStyle w:val="P68B1DB1-Normal87"/>
              <w:spacing w:line="240" w:lineRule="auto"/>
              <w:ind w:left="60"/>
              <w:textAlignment w:val="baseline"/>
              <w:rPr>
                <w:noProof/>
                <w:sz w:val="24"/>
                <w:szCs w:val="24"/>
              </w:rPr>
            </w:pPr>
            <w:r>
              <w:rPr>
                <w:noProof/>
              </w:rPr>
              <w:t xml:space="preserve">Étape </w:t>
            </w:r>
          </w:p>
        </w:tc>
        <w:tc>
          <w:tcPr>
            <w:tcW w:w="3535" w:type="dxa"/>
            <w:shd w:val="clear" w:color="auto" w:fill="C6EFCE"/>
            <w:hideMark/>
          </w:tcPr>
          <w:p w14:paraId="1216C60E" w14:textId="508F39EB" w:rsidR="003C4798" w:rsidRDefault="00417595">
            <w:pPr>
              <w:pStyle w:val="P68B1DB1-Normal87"/>
              <w:spacing w:line="240" w:lineRule="auto"/>
              <w:textAlignment w:val="baseline"/>
              <w:rPr>
                <w:noProof/>
                <w:sz w:val="24"/>
                <w:szCs w:val="24"/>
              </w:rPr>
            </w:pPr>
            <w:r>
              <w:rPr>
                <w:noProof/>
              </w:rPr>
              <w:t>Projet important d'intérêt européen commun (PIIEC): Sélection des projets Next Generation Cloud et signature des contrats</w:t>
            </w:r>
          </w:p>
        </w:tc>
      </w:tr>
      <w:tr w:rsidR="003C4798" w14:paraId="1216C614" w14:textId="77777777">
        <w:trPr>
          <w:trHeight w:val="300"/>
        </w:trPr>
        <w:tc>
          <w:tcPr>
            <w:tcW w:w="1268" w:type="dxa"/>
            <w:shd w:val="clear" w:color="auto" w:fill="C6EFCE"/>
            <w:hideMark/>
          </w:tcPr>
          <w:p w14:paraId="1216C610" w14:textId="77777777" w:rsidR="003C4798" w:rsidRDefault="00417595">
            <w:pPr>
              <w:pStyle w:val="P68B1DB1-Normal87"/>
              <w:spacing w:line="240" w:lineRule="auto"/>
              <w:ind w:right="45"/>
              <w:jc w:val="center"/>
              <w:textAlignment w:val="baseline"/>
              <w:rPr>
                <w:noProof/>
                <w:sz w:val="24"/>
                <w:szCs w:val="24"/>
              </w:rPr>
            </w:pPr>
            <w:r>
              <w:rPr>
                <w:noProof/>
              </w:rPr>
              <w:t>D10aG </w:t>
            </w:r>
          </w:p>
        </w:tc>
        <w:tc>
          <w:tcPr>
            <w:tcW w:w="3544" w:type="dxa"/>
            <w:shd w:val="clear" w:color="auto" w:fill="C6EFCE"/>
            <w:hideMark/>
          </w:tcPr>
          <w:p w14:paraId="1216C611" w14:textId="23C4C9D7" w:rsidR="003C4798" w:rsidRDefault="00417595">
            <w:pPr>
              <w:pStyle w:val="P68B1DB1-Normal87"/>
              <w:spacing w:line="240" w:lineRule="auto"/>
              <w:textAlignment w:val="baseline"/>
              <w:rPr>
                <w:noProof/>
                <w:sz w:val="24"/>
                <w:szCs w:val="24"/>
              </w:rPr>
            </w:pPr>
            <w:r>
              <w:rPr>
                <w:noProof/>
              </w:rPr>
              <w:t>D1.1.1 Modernisation des centres de soins hautement spécialisés et des autres prestataires de soins de santé</w:t>
            </w:r>
          </w:p>
        </w:tc>
        <w:tc>
          <w:tcPr>
            <w:tcW w:w="1276" w:type="dxa"/>
            <w:shd w:val="clear" w:color="auto" w:fill="C6EFCE"/>
            <w:hideMark/>
          </w:tcPr>
          <w:p w14:paraId="1216C612" w14:textId="4F800FE7" w:rsidR="003C4798" w:rsidRDefault="00417595">
            <w:pPr>
              <w:pStyle w:val="P68B1DB1-Normal87"/>
              <w:spacing w:line="240" w:lineRule="auto"/>
              <w:ind w:left="60"/>
              <w:textAlignment w:val="baseline"/>
              <w:rPr>
                <w:noProof/>
                <w:sz w:val="24"/>
                <w:szCs w:val="24"/>
              </w:rPr>
            </w:pPr>
            <w:r>
              <w:rPr>
                <w:noProof/>
              </w:rPr>
              <w:t>Étape</w:t>
            </w:r>
          </w:p>
        </w:tc>
        <w:tc>
          <w:tcPr>
            <w:tcW w:w="3535" w:type="dxa"/>
            <w:shd w:val="clear" w:color="auto" w:fill="C6EFCE"/>
            <w:hideMark/>
          </w:tcPr>
          <w:p w14:paraId="1216C613" w14:textId="7EEEDFBD" w:rsidR="003C4798" w:rsidRDefault="00417595">
            <w:pPr>
              <w:pStyle w:val="P68B1DB1-Normal87"/>
              <w:spacing w:line="240" w:lineRule="auto"/>
              <w:textAlignment w:val="baseline"/>
              <w:rPr>
                <w:noProof/>
                <w:sz w:val="24"/>
                <w:szCs w:val="24"/>
              </w:rPr>
            </w:pPr>
            <w:r>
              <w:rPr>
                <w:noProof/>
              </w:rPr>
              <w:t>Premier appel à propositions pour les hôpitaux (dans le cadre du réseau national oncologique) et les centres de soins ambulatoires spécialisés (AOS) coopérant avec eux</w:t>
            </w:r>
          </w:p>
        </w:tc>
      </w:tr>
      <w:tr w:rsidR="003C4798" w14:paraId="1216C619" w14:textId="77777777">
        <w:trPr>
          <w:trHeight w:val="300"/>
        </w:trPr>
        <w:tc>
          <w:tcPr>
            <w:tcW w:w="1268" w:type="dxa"/>
            <w:shd w:val="clear" w:color="auto" w:fill="C6EFCE"/>
            <w:hideMark/>
          </w:tcPr>
          <w:p w14:paraId="1216C615" w14:textId="1F55AA84" w:rsidR="003C4798" w:rsidRDefault="00417595">
            <w:pPr>
              <w:pStyle w:val="P68B1DB1-Normal87"/>
              <w:spacing w:line="240" w:lineRule="auto"/>
              <w:ind w:right="45"/>
              <w:jc w:val="center"/>
              <w:textAlignment w:val="baseline"/>
              <w:rPr>
                <w:noProof/>
                <w:sz w:val="24"/>
                <w:szCs w:val="24"/>
              </w:rPr>
            </w:pPr>
            <w:r>
              <w:rPr>
                <w:noProof/>
              </w:rPr>
              <w:t xml:space="preserve">E24G </w:t>
            </w:r>
          </w:p>
        </w:tc>
        <w:tc>
          <w:tcPr>
            <w:tcW w:w="3544" w:type="dxa"/>
            <w:shd w:val="clear" w:color="auto" w:fill="C6EFCE"/>
            <w:hideMark/>
          </w:tcPr>
          <w:p w14:paraId="1216C616" w14:textId="7AAACBB1" w:rsidR="003C4798" w:rsidRDefault="00417595">
            <w:pPr>
              <w:pStyle w:val="P68B1DB1-Normal87"/>
              <w:spacing w:line="240" w:lineRule="auto"/>
              <w:textAlignment w:val="baseline"/>
              <w:rPr>
                <w:noProof/>
                <w:sz w:val="24"/>
                <w:szCs w:val="24"/>
              </w:rPr>
            </w:pPr>
            <w:r>
              <w:rPr>
                <w:noProof/>
              </w:rPr>
              <w:t xml:space="preserve">E2.2.1 Investissements dans la sécurité des transports </w:t>
            </w:r>
          </w:p>
        </w:tc>
        <w:tc>
          <w:tcPr>
            <w:tcW w:w="1276" w:type="dxa"/>
            <w:shd w:val="clear" w:color="auto" w:fill="C6EFCE"/>
            <w:hideMark/>
          </w:tcPr>
          <w:p w14:paraId="1216C617" w14:textId="35356225" w:rsidR="003C4798" w:rsidRDefault="00417595">
            <w:pPr>
              <w:pStyle w:val="P68B1DB1-Normal87"/>
              <w:spacing w:line="240" w:lineRule="auto"/>
              <w:ind w:left="60"/>
              <w:textAlignment w:val="baseline"/>
              <w:rPr>
                <w:noProof/>
                <w:sz w:val="24"/>
                <w:szCs w:val="24"/>
              </w:rPr>
            </w:pPr>
            <w:r>
              <w:rPr>
                <w:noProof/>
              </w:rPr>
              <w:t xml:space="preserve">Objectif </w:t>
            </w:r>
          </w:p>
        </w:tc>
        <w:tc>
          <w:tcPr>
            <w:tcW w:w="3535" w:type="dxa"/>
            <w:shd w:val="clear" w:color="auto" w:fill="C6EFCE"/>
            <w:hideMark/>
          </w:tcPr>
          <w:p w14:paraId="1216C618" w14:textId="2D0A5929" w:rsidR="003C4798" w:rsidRDefault="00417595">
            <w:pPr>
              <w:pStyle w:val="P68B1DB1-Normal87"/>
              <w:spacing w:line="240" w:lineRule="auto"/>
              <w:textAlignment w:val="baseline"/>
              <w:rPr>
                <w:noProof/>
                <w:sz w:val="24"/>
                <w:szCs w:val="24"/>
              </w:rPr>
            </w:pPr>
            <w:r>
              <w:rPr>
                <w:noProof/>
              </w:rPr>
              <w:t>Construction de contournements et amélioration des points névralgiques de la sécurité routière</w:t>
            </w:r>
          </w:p>
        </w:tc>
      </w:tr>
      <w:tr w:rsidR="003C4798" w14:paraId="1216C61E" w14:textId="77777777">
        <w:trPr>
          <w:trHeight w:val="300"/>
        </w:trPr>
        <w:tc>
          <w:tcPr>
            <w:tcW w:w="1268" w:type="dxa"/>
            <w:shd w:val="clear" w:color="auto" w:fill="C6EFCE"/>
            <w:hideMark/>
          </w:tcPr>
          <w:p w14:paraId="1216C61A" w14:textId="63F6436B" w:rsidR="003C4798" w:rsidRDefault="00417595">
            <w:pPr>
              <w:pStyle w:val="P68B1DB1-Normal87"/>
              <w:spacing w:line="240" w:lineRule="auto"/>
              <w:ind w:right="45"/>
              <w:jc w:val="center"/>
              <w:textAlignment w:val="baseline"/>
              <w:rPr>
                <w:noProof/>
                <w:sz w:val="24"/>
                <w:szCs w:val="24"/>
              </w:rPr>
            </w:pPr>
            <w:r>
              <w:rPr>
                <w:noProof/>
              </w:rPr>
              <w:t xml:space="preserve">F3G </w:t>
            </w:r>
          </w:p>
        </w:tc>
        <w:tc>
          <w:tcPr>
            <w:tcW w:w="3544" w:type="dxa"/>
            <w:shd w:val="clear" w:color="auto" w:fill="C6EFCE"/>
            <w:hideMark/>
          </w:tcPr>
          <w:p w14:paraId="1216C61B" w14:textId="1761B311" w:rsidR="003C4798" w:rsidRDefault="00417595">
            <w:pPr>
              <w:pStyle w:val="P68B1DB1-Normal87"/>
              <w:spacing w:line="240" w:lineRule="auto"/>
              <w:textAlignment w:val="baseline"/>
              <w:rPr>
                <w:noProof/>
                <w:sz w:val="24"/>
                <w:szCs w:val="24"/>
              </w:rPr>
            </w:pPr>
            <w:r>
              <w:rPr>
                <w:noProof/>
              </w:rPr>
              <w:t>F2.1 Remédier à la situation des juges affectés par les décisions de la Chambre disciplinaire dans les affaires disciplinaires et les affaires d ' immunité judiciaire</w:t>
            </w:r>
          </w:p>
        </w:tc>
        <w:tc>
          <w:tcPr>
            <w:tcW w:w="1276" w:type="dxa"/>
            <w:shd w:val="clear" w:color="auto" w:fill="C6EFCE"/>
            <w:hideMark/>
          </w:tcPr>
          <w:p w14:paraId="1216C61C" w14:textId="2678E7FE" w:rsidR="003C4798" w:rsidRDefault="00417595">
            <w:pPr>
              <w:pStyle w:val="P68B1DB1-Normal87"/>
              <w:spacing w:line="240" w:lineRule="auto"/>
              <w:ind w:left="60"/>
              <w:textAlignment w:val="baseline"/>
              <w:rPr>
                <w:noProof/>
                <w:sz w:val="24"/>
                <w:szCs w:val="24"/>
              </w:rPr>
            </w:pPr>
            <w:r>
              <w:rPr>
                <w:noProof/>
              </w:rPr>
              <w:t xml:space="preserve">Étape </w:t>
            </w:r>
          </w:p>
        </w:tc>
        <w:tc>
          <w:tcPr>
            <w:tcW w:w="3535" w:type="dxa"/>
            <w:shd w:val="clear" w:color="auto" w:fill="C6EFCE"/>
            <w:hideMark/>
          </w:tcPr>
          <w:p w14:paraId="1216C61D" w14:textId="010B4B59" w:rsidR="003C4798" w:rsidRDefault="00417595">
            <w:pPr>
              <w:pStyle w:val="P68B1DB1-Normal87"/>
              <w:spacing w:line="240" w:lineRule="auto"/>
              <w:textAlignment w:val="baseline"/>
              <w:rPr>
                <w:noProof/>
                <w:sz w:val="24"/>
                <w:szCs w:val="24"/>
              </w:rPr>
            </w:pPr>
            <w:r>
              <w:rPr>
                <w:noProof/>
              </w:rPr>
              <w:t>Réforme visant à remédier à la situation des juges affectés par les décisions de la chambre disciplinaire de la Cour suprême dans les affaires disciplinaires et les affaires d’immunité judiciaire</w:t>
            </w:r>
          </w:p>
        </w:tc>
      </w:tr>
      <w:tr w:rsidR="003C4798" w14:paraId="1216C623" w14:textId="77777777">
        <w:trPr>
          <w:trHeight w:val="300"/>
        </w:trPr>
        <w:tc>
          <w:tcPr>
            <w:tcW w:w="1268" w:type="dxa"/>
            <w:shd w:val="clear" w:color="auto" w:fill="C6EFCE"/>
            <w:hideMark/>
          </w:tcPr>
          <w:p w14:paraId="1216C61F" w14:textId="04B030B6" w:rsidR="003C4798" w:rsidRDefault="00417595">
            <w:pPr>
              <w:pStyle w:val="P68B1DB1-Normal87"/>
              <w:spacing w:line="240" w:lineRule="auto"/>
              <w:ind w:right="45"/>
              <w:jc w:val="center"/>
              <w:textAlignment w:val="baseline"/>
              <w:rPr>
                <w:noProof/>
                <w:sz w:val="24"/>
                <w:szCs w:val="24"/>
              </w:rPr>
            </w:pPr>
            <w:r>
              <w:rPr>
                <w:noProof/>
              </w:rPr>
              <w:t xml:space="preserve">G2G </w:t>
            </w:r>
          </w:p>
        </w:tc>
        <w:tc>
          <w:tcPr>
            <w:tcW w:w="3544" w:type="dxa"/>
            <w:shd w:val="clear" w:color="auto" w:fill="C6EFCE"/>
            <w:hideMark/>
          </w:tcPr>
          <w:p w14:paraId="1216C620" w14:textId="6B00C3BA" w:rsidR="003C4798" w:rsidRDefault="00417595">
            <w:pPr>
              <w:pStyle w:val="P68B1DB1-Normal87"/>
              <w:spacing w:line="240" w:lineRule="auto"/>
              <w:textAlignment w:val="baseline"/>
              <w:rPr>
                <w:noProof/>
                <w:sz w:val="24"/>
                <w:szCs w:val="24"/>
              </w:rPr>
            </w:pPr>
            <w:r>
              <w:rPr>
                <w:noProof/>
              </w:rPr>
              <w:t>G1.1.2 Installations de sources d’énergie renouvelables mises en œuvre par les communautés énergétiques</w:t>
            </w:r>
          </w:p>
        </w:tc>
        <w:tc>
          <w:tcPr>
            <w:tcW w:w="1276" w:type="dxa"/>
            <w:shd w:val="clear" w:color="auto" w:fill="C6EFCE"/>
            <w:hideMark/>
          </w:tcPr>
          <w:p w14:paraId="1216C621" w14:textId="1A1F520B" w:rsidR="003C4798" w:rsidRDefault="00417595">
            <w:pPr>
              <w:pStyle w:val="P68B1DB1-Normal87"/>
              <w:spacing w:line="240" w:lineRule="auto"/>
              <w:ind w:left="60"/>
              <w:textAlignment w:val="baseline"/>
              <w:rPr>
                <w:noProof/>
                <w:sz w:val="24"/>
                <w:szCs w:val="24"/>
              </w:rPr>
            </w:pPr>
            <w:r>
              <w:rPr>
                <w:noProof/>
              </w:rPr>
              <w:t>Étape</w:t>
            </w:r>
          </w:p>
        </w:tc>
        <w:tc>
          <w:tcPr>
            <w:tcW w:w="3535" w:type="dxa"/>
            <w:shd w:val="clear" w:color="auto" w:fill="C6EFCE"/>
            <w:hideMark/>
          </w:tcPr>
          <w:p w14:paraId="1216C622" w14:textId="29563374" w:rsidR="003C4798" w:rsidRDefault="00417595">
            <w:pPr>
              <w:pStyle w:val="P68B1DB1-Normal87"/>
              <w:spacing w:line="240" w:lineRule="auto"/>
              <w:textAlignment w:val="baseline"/>
              <w:rPr>
                <w:noProof/>
                <w:sz w:val="24"/>
                <w:szCs w:val="24"/>
              </w:rPr>
            </w:pPr>
            <w:r>
              <w:rPr>
                <w:noProof/>
              </w:rPr>
              <w:t>Appel au programme d'aide à l'investissement</w:t>
            </w:r>
          </w:p>
        </w:tc>
      </w:tr>
      <w:tr w:rsidR="003C4798" w14:paraId="1216C628" w14:textId="77777777">
        <w:trPr>
          <w:trHeight w:val="300"/>
        </w:trPr>
        <w:tc>
          <w:tcPr>
            <w:tcW w:w="1268" w:type="dxa"/>
            <w:shd w:val="clear" w:color="auto" w:fill="C6EFCE"/>
            <w:hideMark/>
          </w:tcPr>
          <w:p w14:paraId="1216C624" w14:textId="350D7C0D" w:rsidR="003C4798" w:rsidRDefault="00417595">
            <w:pPr>
              <w:pStyle w:val="P68B1DB1-Normal87"/>
              <w:spacing w:line="240" w:lineRule="auto"/>
              <w:ind w:right="45"/>
              <w:jc w:val="center"/>
              <w:textAlignment w:val="baseline"/>
              <w:rPr>
                <w:noProof/>
                <w:sz w:val="24"/>
                <w:szCs w:val="24"/>
              </w:rPr>
            </w:pPr>
            <w:r>
              <w:rPr>
                <w:noProof/>
              </w:rPr>
              <w:t xml:space="preserve">G13G </w:t>
            </w:r>
          </w:p>
        </w:tc>
        <w:tc>
          <w:tcPr>
            <w:tcW w:w="3544" w:type="dxa"/>
            <w:shd w:val="clear" w:color="auto" w:fill="C6EFCE"/>
            <w:hideMark/>
          </w:tcPr>
          <w:p w14:paraId="1216C625" w14:textId="62F43060" w:rsidR="003C4798" w:rsidRDefault="00417595">
            <w:pPr>
              <w:pStyle w:val="P68B1DB1-Normal87"/>
              <w:spacing w:line="240" w:lineRule="auto"/>
              <w:textAlignment w:val="baseline"/>
              <w:rPr>
                <w:noProof/>
                <w:sz w:val="24"/>
                <w:szCs w:val="24"/>
              </w:rPr>
            </w:pPr>
            <w:r>
              <w:rPr>
                <w:noProof/>
              </w:rPr>
              <w:t>G1.2.2 Suppression des obstacles à l'intégration des sources d'énergie renouvelables dans les réseaux électriques</w:t>
            </w:r>
          </w:p>
        </w:tc>
        <w:tc>
          <w:tcPr>
            <w:tcW w:w="1276" w:type="dxa"/>
            <w:shd w:val="clear" w:color="auto" w:fill="C6EFCE"/>
            <w:hideMark/>
          </w:tcPr>
          <w:p w14:paraId="1216C626" w14:textId="3E9B32AF" w:rsidR="003C4798" w:rsidRDefault="00417595">
            <w:pPr>
              <w:pStyle w:val="P68B1DB1-Normal87"/>
              <w:spacing w:line="240" w:lineRule="auto"/>
              <w:ind w:left="60"/>
              <w:textAlignment w:val="baseline"/>
              <w:rPr>
                <w:noProof/>
                <w:sz w:val="24"/>
                <w:szCs w:val="24"/>
              </w:rPr>
            </w:pPr>
            <w:r>
              <w:rPr>
                <w:noProof/>
              </w:rPr>
              <w:t>Étape</w:t>
            </w:r>
          </w:p>
        </w:tc>
        <w:tc>
          <w:tcPr>
            <w:tcW w:w="3535" w:type="dxa"/>
            <w:shd w:val="clear" w:color="auto" w:fill="C6EFCE"/>
            <w:hideMark/>
          </w:tcPr>
          <w:p w14:paraId="1216C627" w14:textId="4CF0B3AF" w:rsidR="003C4798" w:rsidRDefault="00417595">
            <w:pPr>
              <w:pStyle w:val="P68B1DB1-Normal87"/>
              <w:spacing w:line="240" w:lineRule="auto"/>
              <w:textAlignment w:val="baseline"/>
              <w:rPr>
                <w:noProof/>
                <w:sz w:val="24"/>
                <w:szCs w:val="24"/>
              </w:rPr>
            </w:pPr>
            <w:r>
              <w:rPr>
                <w:noProof/>
              </w:rPr>
              <w:t>Entrée en vigueur du cadre juridique permettant la mise en commun des câbles</w:t>
            </w:r>
          </w:p>
        </w:tc>
      </w:tr>
      <w:tr w:rsidR="003C4798" w14:paraId="1216C62D" w14:textId="77777777">
        <w:trPr>
          <w:trHeight w:val="300"/>
        </w:trPr>
        <w:tc>
          <w:tcPr>
            <w:tcW w:w="1268" w:type="dxa"/>
            <w:shd w:val="clear" w:color="auto" w:fill="C6EFCE"/>
            <w:hideMark/>
          </w:tcPr>
          <w:p w14:paraId="1216C629" w14:textId="29522813" w:rsidR="003C4798" w:rsidRDefault="00417595">
            <w:pPr>
              <w:pStyle w:val="P68B1DB1-Normal87"/>
              <w:spacing w:line="240" w:lineRule="auto"/>
              <w:ind w:right="45"/>
              <w:jc w:val="center"/>
              <w:textAlignment w:val="baseline"/>
              <w:rPr>
                <w:noProof/>
                <w:sz w:val="24"/>
                <w:szCs w:val="24"/>
              </w:rPr>
            </w:pPr>
            <w:r>
              <w:rPr>
                <w:noProof/>
              </w:rPr>
              <w:t xml:space="preserve"> </w:t>
            </w:r>
          </w:p>
        </w:tc>
        <w:tc>
          <w:tcPr>
            <w:tcW w:w="3544" w:type="dxa"/>
            <w:shd w:val="clear" w:color="auto" w:fill="C6EFCE"/>
            <w:hideMark/>
          </w:tcPr>
          <w:p w14:paraId="1216C62A" w14:textId="32AEDB17" w:rsidR="003C4798" w:rsidRDefault="00417595">
            <w:pPr>
              <w:pStyle w:val="P68B1DB1-Normal87"/>
              <w:spacing w:line="240" w:lineRule="auto"/>
              <w:textAlignment w:val="baseline"/>
              <w:rPr>
                <w:noProof/>
                <w:sz w:val="24"/>
                <w:szCs w:val="24"/>
              </w:rPr>
            </w:pPr>
            <w:r>
              <w:rPr>
                <w:noProof/>
              </w:rPr>
              <w:t xml:space="preserve"> </w:t>
            </w:r>
          </w:p>
        </w:tc>
        <w:tc>
          <w:tcPr>
            <w:tcW w:w="1276" w:type="dxa"/>
            <w:shd w:val="clear" w:color="auto" w:fill="C6EFCE"/>
            <w:hideMark/>
          </w:tcPr>
          <w:p w14:paraId="1216C62B" w14:textId="1ED731AA" w:rsidR="003C4798" w:rsidRDefault="00417595">
            <w:pPr>
              <w:pStyle w:val="P68B1DB1-Normal87"/>
              <w:spacing w:line="240" w:lineRule="auto"/>
              <w:ind w:left="60"/>
              <w:textAlignment w:val="baseline"/>
              <w:rPr>
                <w:noProof/>
                <w:sz w:val="24"/>
                <w:szCs w:val="24"/>
              </w:rPr>
            </w:pPr>
            <w:r>
              <w:rPr>
                <w:noProof/>
              </w:rPr>
              <w:t xml:space="preserve">Montant des acomptes provisionnels </w:t>
            </w:r>
          </w:p>
        </w:tc>
        <w:tc>
          <w:tcPr>
            <w:tcW w:w="3535" w:type="dxa"/>
            <w:shd w:val="clear" w:color="auto" w:fill="C6EFCE"/>
            <w:hideMark/>
          </w:tcPr>
          <w:p w14:paraId="1216C62C" w14:textId="77777777" w:rsidR="003C4798" w:rsidRDefault="00417595">
            <w:pPr>
              <w:spacing w:line="240" w:lineRule="auto"/>
              <w:ind w:left="60"/>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1</w:t>
            </w:r>
            <w:r>
              <w:rPr>
                <w:rFonts w:eastAsia="Times New Roman"/>
                <w:noProof/>
                <w:color w:val="006100"/>
                <w:szCs w:val="24"/>
              </w:rPr>
              <w:t> </w:t>
            </w:r>
            <w:r>
              <w:rPr>
                <w:rFonts w:ascii="Times New Roman" w:eastAsia="Times New Roman" w:hAnsi="Times New Roman" w:cs="Times New Roman"/>
                <w:noProof/>
              </w:rPr>
              <w:t>124</w:t>
            </w:r>
            <w:r>
              <w:rPr>
                <w:rFonts w:eastAsia="Times New Roman"/>
                <w:noProof/>
                <w:color w:val="006100"/>
                <w:szCs w:val="24"/>
              </w:rPr>
              <w:t> </w:t>
            </w:r>
            <w:r>
              <w:rPr>
                <w:rFonts w:ascii="Times New Roman" w:eastAsia="Times New Roman" w:hAnsi="Times New Roman" w:cs="Times New Roman"/>
                <w:noProof/>
              </w:rPr>
              <w:t>575</w:t>
            </w:r>
            <w:r>
              <w:rPr>
                <w:rFonts w:eastAsia="Times New Roman"/>
                <w:noProof/>
                <w:color w:val="006100"/>
                <w:szCs w:val="24"/>
              </w:rPr>
              <w:t> </w:t>
            </w:r>
            <w:r>
              <w:rPr>
                <w:rFonts w:ascii="Times New Roman" w:eastAsia="Times New Roman" w:hAnsi="Times New Roman" w:cs="Times New Roman"/>
                <w:noProof/>
              </w:rPr>
              <w:t>104 EUR</w:t>
            </w:r>
          </w:p>
        </w:tc>
      </w:tr>
    </w:tbl>
    <w:p w14:paraId="1216C62E" w14:textId="56EDEE95" w:rsidR="003C4798" w:rsidRDefault="00417595">
      <w:pPr>
        <w:pStyle w:val="P68B1DB1-Normal87"/>
        <w:spacing w:line="240" w:lineRule="auto"/>
        <w:ind w:left="-1140" w:right="10770"/>
        <w:textAlignment w:val="baseline"/>
        <w:rPr>
          <w:noProof/>
        </w:rPr>
      </w:pPr>
      <w:r>
        <w:rPr>
          <w:noProof/>
        </w:rPr>
        <w:t> </w:t>
      </w:r>
    </w:p>
    <w:p w14:paraId="00E6AE3D" w14:textId="77777777" w:rsidR="003C4798" w:rsidRDefault="00417595">
      <w:pPr>
        <w:pStyle w:val="P68B1DB1-Normal87"/>
        <w:rPr>
          <w:noProof/>
        </w:rPr>
      </w:pPr>
      <w:r>
        <w:rPr>
          <w:noProof/>
        </w:rPr>
        <w:br w:type="page"/>
      </w:r>
    </w:p>
    <w:p w14:paraId="3C9C657B" w14:textId="77777777" w:rsidR="003C4798" w:rsidRDefault="003C4798">
      <w:pPr>
        <w:spacing w:line="240" w:lineRule="auto"/>
        <w:ind w:left="-1140" w:right="10770"/>
        <w:textAlignment w:val="baseline"/>
        <w:rPr>
          <w:rFonts w:ascii="Segoe UI" w:eastAsia="Times New Roman" w:hAnsi="Segoe UI" w:cs="Segoe UI"/>
          <w:noProof/>
          <w:sz w:val="18"/>
          <w:szCs w:val="18"/>
        </w:rPr>
      </w:pPr>
    </w:p>
    <w:p w14:paraId="1216C630" w14:textId="075CD5BC" w:rsidR="003C4798" w:rsidRDefault="00417595">
      <w:pPr>
        <w:pStyle w:val="P68B1DB1-Normal87"/>
        <w:spacing w:line="240" w:lineRule="auto"/>
        <w:textAlignment w:val="baseline"/>
        <w:rPr>
          <w:rFonts w:ascii="Segoe UI" w:hAnsi="Segoe UI" w:cs="Segoe UI"/>
          <w:noProof/>
          <w:sz w:val="18"/>
          <w:szCs w:val="18"/>
        </w:rPr>
      </w:pPr>
      <w:r>
        <w:rPr>
          <w:noProof/>
        </w:rPr>
        <w:t>2.1.5 Cinquième tranche (soutien non remboursable):</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58"/>
        <w:gridCol w:w="3371"/>
        <w:gridCol w:w="1271"/>
        <w:gridCol w:w="3723"/>
      </w:tblGrid>
      <w:tr w:rsidR="003C4798" w14:paraId="1216C635" w14:textId="77777777">
        <w:trPr>
          <w:trHeight w:val="300"/>
          <w:tblHeader/>
        </w:trPr>
        <w:tc>
          <w:tcPr>
            <w:tcW w:w="1262" w:type="dxa"/>
            <w:shd w:val="clear" w:color="auto" w:fill="BDD6EE"/>
            <w:hideMark/>
          </w:tcPr>
          <w:p w14:paraId="1216C631" w14:textId="09B63445" w:rsidR="003C4798" w:rsidRDefault="00417595">
            <w:pPr>
              <w:pStyle w:val="P68B1DB1-Normal87"/>
              <w:spacing w:line="240" w:lineRule="auto"/>
              <w:jc w:val="center"/>
              <w:textAlignment w:val="baseline"/>
              <w:rPr>
                <w:noProof/>
                <w:sz w:val="24"/>
                <w:szCs w:val="24"/>
              </w:rPr>
            </w:pPr>
            <w:r>
              <w:rPr>
                <w:b/>
                <w:noProof/>
              </w:rPr>
              <w:t>Numéro séquentiel</w:t>
            </w:r>
            <w:r>
              <w:rPr>
                <w:noProof/>
              </w:rPr>
              <w:t xml:space="preserve"> </w:t>
            </w:r>
          </w:p>
        </w:tc>
        <w:tc>
          <w:tcPr>
            <w:tcW w:w="3399" w:type="dxa"/>
            <w:shd w:val="clear" w:color="auto" w:fill="BDD6EE"/>
            <w:hideMark/>
          </w:tcPr>
          <w:p w14:paraId="1216C632" w14:textId="4DDF62A2" w:rsidR="003C4798" w:rsidRDefault="00417595">
            <w:pPr>
              <w:pStyle w:val="P68B1DB1-Normal87"/>
              <w:spacing w:line="240" w:lineRule="auto"/>
              <w:jc w:val="center"/>
              <w:textAlignment w:val="baseline"/>
              <w:rPr>
                <w:noProof/>
                <w:sz w:val="24"/>
                <w:szCs w:val="24"/>
              </w:rPr>
            </w:pPr>
            <w:r>
              <w:rPr>
                <w:b/>
                <w:noProof/>
              </w:rPr>
              <w:t>Mesure connexe (réforme ou investissement)</w:t>
            </w:r>
            <w:r>
              <w:rPr>
                <w:noProof/>
              </w:rPr>
              <w:t xml:space="preserve"> </w:t>
            </w:r>
          </w:p>
        </w:tc>
        <w:tc>
          <w:tcPr>
            <w:tcW w:w="1208" w:type="dxa"/>
            <w:shd w:val="clear" w:color="auto" w:fill="BDD6EE"/>
            <w:hideMark/>
          </w:tcPr>
          <w:p w14:paraId="1216C633" w14:textId="2A32D22E" w:rsidR="003C4798" w:rsidRDefault="00417595">
            <w:pPr>
              <w:pStyle w:val="P68B1DB1-Normal87"/>
              <w:spacing w:line="240" w:lineRule="auto"/>
              <w:ind w:left="15"/>
              <w:jc w:val="center"/>
              <w:textAlignment w:val="baseline"/>
              <w:rPr>
                <w:noProof/>
                <w:sz w:val="24"/>
                <w:szCs w:val="24"/>
              </w:rPr>
            </w:pPr>
            <w:r>
              <w:rPr>
                <w:b/>
                <w:noProof/>
              </w:rPr>
              <w:t>Étape/cible</w:t>
            </w:r>
            <w:r>
              <w:rPr>
                <w:noProof/>
              </w:rPr>
              <w:t xml:space="preserve"> </w:t>
            </w:r>
          </w:p>
        </w:tc>
        <w:tc>
          <w:tcPr>
            <w:tcW w:w="3754" w:type="dxa"/>
            <w:shd w:val="clear" w:color="auto" w:fill="BDD6EE"/>
            <w:hideMark/>
          </w:tcPr>
          <w:p w14:paraId="1216C634" w14:textId="2FFACE5E" w:rsidR="003C4798" w:rsidRDefault="00417595">
            <w:pPr>
              <w:pStyle w:val="P68B1DB1-Normal87"/>
              <w:spacing w:line="240" w:lineRule="auto"/>
              <w:jc w:val="center"/>
              <w:textAlignment w:val="baseline"/>
              <w:rPr>
                <w:noProof/>
                <w:sz w:val="24"/>
                <w:szCs w:val="24"/>
              </w:rPr>
            </w:pPr>
            <w:r>
              <w:rPr>
                <w:b/>
                <w:noProof/>
              </w:rPr>
              <w:t>Nom</w:t>
            </w:r>
            <w:r>
              <w:rPr>
                <w:noProof/>
              </w:rPr>
              <w:t xml:space="preserve"> </w:t>
            </w:r>
          </w:p>
        </w:tc>
      </w:tr>
      <w:tr w:rsidR="003C4798" w14:paraId="1216C63A" w14:textId="77777777">
        <w:trPr>
          <w:trHeight w:val="300"/>
        </w:trPr>
        <w:tc>
          <w:tcPr>
            <w:tcW w:w="1262" w:type="dxa"/>
            <w:shd w:val="clear" w:color="auto" w:fill="C6EFCE"/>
            <w:hideMark/>
          </w:tcPr>
          <w:p w14:paraId="1216C636" w14:textId="79FBDDA6" w:rsidR="003C4798" w:rsidRDefault="00417595">
            <w:pPr>
              <w:pStyle w:val="P68B1DB1-Normal87"/>
              <w:spacing w:line="240" w:lineRule="auto"/>
              <w:jc w:val="center"/>
              <w:textAlignment w:val="baseline"/>
              <w:rPr>
                <w:noProof/>
                <w:sz w:val="24"/>
                <w:szCs w:val="24"/>
              </w:rPr>
            </w:pPr>
            <w:r>
              <w:rPr>
                <w:noProof/>
              </w:rPr>
              <w:t xml:space="preserve">A14G </w:t>
            </w:r>
          </w:p>
        </w:tc>
        <w:tc>
          <w:tcPr>
            <w:tcW w:w="3399" w:type="dxa"/>
            <w:shd w:val="clear" w:color="auto" w:fill="C6EFCE"/>
            <w:hideMark/>
          </w:tcPr>
          <w:p w14:paraId="1216C637" w14:textId="4264918E" w:rsidR="003C4798" w:rsidRDefault="00417595">
            <w:pPr>
              <w:pStyle w:val="P68B1DB1-Normal87"/>
              <w:spacing w:line="240" w:lineRule="auto"/>
              <w:textAlignment w:val="baseline"/>
              <w:rPr>
                <w:noProof/>
                <w:sz w:val="24"/>
                <w:szCs w:val="24"/>
              </w:rPr>
            </w:pPr>
            <w:r>
              <w:rPr>
                <w:noProof/>
              </w:rPr>
              <w:t>A1.3.1 Mise en œuvre de la réforme de l'aménagement du territoire</w:t>
            </w:r>
          </w:p>
        </w:tc>
        <w:tc>
          <w:tcPr>
            <w:tcW w:w="1208" w:type="dxa"/>
            <w:shd w:val="clear" w:color="auto" w:fill="C6EFCE"/>
            <w:hideMark/>
          </w:tcPr>
          <w:p w14:paraId="1216C638" w14:textId="27D4D07F" w:rsidR="003C4798" w:rsidRDefault="00417595">
            <w:pPr>
              <w:pStyle w:val="P68B1DB1-Normal87"/>
              <w:spacing w:line="240" w:lineRule="auto"/>
              <w:jc w:val="center"/>
              <w:textAlignment w:val="baseline"/>
              <w:rPr>
                <w:noProof/>
                <w:sz w:val="24"/>
                <w:szCs w:val="24"/>
              </w:rPr>
            </w:pPr>
            <w:r>
              <w:rPr>
                <w:noProof/>
              </w:rPr>
              <w:t>Objectif</w:t>
            </w:r>
          </w:p>
        </w:tc>
        <w:tc>
          <w:tcPr>
            <w:tcW w:w="3754" w:type="dxa"/>
            <w:shd w:val="clear" w:color="auto" w:fill="C6EFCE"/>
            <w:hideMark/>
          </w:tcPr>
          <w:p w14:paraId="1216C639" w14:textId="0F804785" w:rsidR="003C4798" w:rsidRDefault="00417595">
            <w:pPr>
              <w:pStyle w:val="P68B1DB1-Normal87"/>
              <w:spacing w:line="240" w:lineRule="auto"/>
              <w:textAlignment w:val="baseline"/>
              <w:rPr>
                <w:noProof/>
                <w:sz w:val="24"/>
                <w:szCs w:val="24"/>
              </w:rPr>
            </w:pPr>
            <w:r>
              <w:rPr>
                <w:noProof/>
              </w:rPr>
              <w:t>Personnel des autorités locales et des planificateurs de l'espace ayant suivi un cours sur la nouvelle loi sur l'aménagement du territoire</w:t>
            </w:r>
          </w:p>
        </w:tc>
      </w:tr>
      <w:tr w:rsidR="003C4798" w14:paraId="1216C63F" w14:textId="77777777">
        <w:trPr>
          <w:trHeight w:val="300"/>
        </w:trPr>
        <w:tc>
          <w:tcPr>
            <w:tcW w:w="1262" w:type="dxa"/>
            <w:shd w:val="clear" w:color="auto" w:fill="C6EFCE"/>
            <w:hideMark/>
          </w:tcPr>
          <w:p w14:paraId="1216C63B" w14:textId="37C478C4" w:rsidR="003C4798" w:rsidRDefault="00417595">
            <w:pPr>
              <w:pStyle w:val="P68B1DB1-Normal87"/>
              <w:spacing w:line="240" w:lineRule="auto"/>
              <w:jc w:val="center"/>
              <w:textAlignment w:val="baseline"/>
              <w:rPr>
                <w:noProof/>
              </w:rPr>
            </w:pPr>
            <w:r>
              <w:rPr>
                <w:noProof/>
              </w:rPr>
              <w:t xml:space="preserve">A16G </w:t>
            </w:r>
          </w:p>
        </w:tc>
        <w:tc>
          <w:tcPr>
            <w:tcW w:w="3399" w:type="dxa"/>
            <w:shd w:val="clear" w:color="auto" w:fill="C6EFCE"/>
            <w:hideMark/>
          </w:tcPr>
          <w:p w14:paraId="1216C63C" w14:textId="2730D9E4" w:rsidR="003C4798" w:rsidRDefault="00417595">
            <w:pPr>
              <w:pStyle w:val="P68B1DB1-Normal87"/>
              <w:spacing w:line="240" w:lineRule="auto"/>
              <w:textAlignment w:val="baseline"/>
              <w:rPr>
                <w:noProof/>
              </w:rPr>
            </w:pPr>
            <w:r>
              <w:rPr>
                <w:noProof/>
              </w:rPr>
              <w:t>A1.3.1 Mise en œuvre de la réforme de l'aménagement du territoire</w:t>
            </w:r>
          </w:p>
        </w:tc>
        <w:tc>
          <w:tcPr>
            <w:tcW w:w="1208" w:type="dxa"/>
            <w:shd w:val="clear" w:color="auto" w:fill="C6EFCE"/>
            <w:hideMark/>
          </w:tcPr>
          <w:p w14:paraId="1216C63D" w14:textId="2A4F61B8" w:rsidR="003C4798" w:rsidRDefault="00417595">
            <w:pPr>
              <w:pStyle w:val="P68B1DB1-Normal87"/>
              <w:spacing w:line="240" w:lineRule="auto"/>
              <w:jc w:val="center"/>
              <w:textAlignment w:val="baseline"/>
              <w:rPr>
                <w:noProof/>
              </w:rPr>
            </w:pPr>
            <w:r>
              <w:rPr>
                <w:noProof/>
              </w:rPr>
              <w:t>Objectif</w:t>
            </w:r>
          </w:p>
        </w:tc>
        <w:tc>
          <w:tcPr>
            <w:tcW w:w="3754" w:type="dxa"/>
            <w:shd w:val="clear" w:color="auto" w:fill="C6EFCE"/>
            <w:hideMark/>
          </w:tcPr>
          <w:p w14:paraId="1216C63E" w14:textId="474471F6" w:rsidR="003C4798" w:rsidRDefault="00417595">
            <w:pPr>
              <w:pStyle w:val="P68B1DB1-Normal87"/>
              <w:spacing w:line="240" w:lineRule="auto"/>
              <w:textAlignment w:val="baseline"/>
              <w:rPr>
                <w:noProof/>
              </w:rPr>
            </w:pPr>
            <w:r>
              <w:rPr>
                <w:noProof/>
              </w:rPr>
              <w:t>Part des municipalités ayant adopté des plans généraux d’aménagement du territoire</w:t>
            </w:r>
          </w:p>
        </w:tc>
      </w:tr>
      <w:tr w:rsidR="003C4798" w14:paraId="1216C644" w14:textId="77777777">
        <w:trPr>
          <w:trHeight w:val="300"/>
        </w:trPr>
        <w:tc>
          <w:tcPr>
            <w:tcW w:w="1262" w:type="dxa"/>
            <w:shd w:val="clear" w:color="auto" w:fill="C6EFCE"/>
            <w:hideMark/>
          </w:tcPr>
          <w:p w14:paraId="1216C640" w14:textId="5F211A26" w:rsidR="003C4798" w:rsidRDefault="00417595">
            <w:pPr>
              <w:pStyle w:val="P68B1DB1-Normal87"/>
              <w:spacing w:line="240" w:lineRule="auto"/>
              <w:jc w:val="center"/>
              <w:textAlignment w:val="baseline"/>
              <w:rPr>
                <w:noProof/>
                <w:sz w:val="24"/>
                <w:szCs w:val="24"/>
              </w:rPr>
            </w:pPr>
            <w:r>
              <w:rPr>
                <w:noProof/>
              </w:rPr>
              <w:t xml:space="preserve">A30G </w:t>
            </w:r>
          </w:p>
        </w:tc>
        <w:tc>
          <w:tcPr>
            <w:tcW w:w="3399" w:type="dxa"/>
            <w:shd w:val="clear" w:color="auto" w:fill="C6EFCE"/>
            <w:hideMark/>
          </w:tcPr>
          <w:p w14:paraId="1216C641" w14:textId="1823C97C" w:rsidR="003C4798" w:rsidRDefault="00417595">
            <w:pPr>
              <w:pStyle w:val="P68B1DB1-Normal87"/>
              <w:spacing w:line="240" w:lineRule="auto"/>
              <w:textAlignment w:val="baseline"/>
              <w:rPr>
                <w:noProof/>
                <w:sz w:val="24"/>
                <w:szCs w:val="24"/>
              </w:rPr>
            </w:pPr>
            <w:r>
              <w:rPr>
                <w:noProof/>
              </w:rPr>
              <w:t>A2.2 Créer les conditions de la transition vers un modèle d'économie circulaire</w:t>
            </w:r>
          </w:p>
        </w:tc>
        <w:tc>
          <w:tcPr>
            <w:tcW w:w="1208" w:type="dxa"/>
            <w:shd w:val="clear" w:color="auto" w:fill="C6EFCE"/>
            <w:hideMark/>
          </w:tcPr>
          <w:p w14:paraId="1216C642" w14:textId="2FF562BB" w:rsidR="003C4798" w:rsidRDefault="00417595">
            <w:pPr>
              <w:pStyle w:val="P68B1DB1-Normal87"/>
              <w:spacing w:line="240" w:lineRule="auto"/>
              <w:ind w:left="60"/>
              <w:textAlignment w:val="baseline"/>
              <w:rPr>
                <w:noProof/>
                <w:sz w:val="24"/>
                <w:szCs w:val="24"/>
              </w:rPr>
            </w:pPr>
            <w:r>
              <w:rPr>
                <w:noProof/>
              </w:rPr>
              <w:t>Étape</w:t>
            </w:r>
          </w:p>
        </w:tc>
        <w:tc>
          <w:tcPr>
            <w:tcW w:w="3754" w:type="dxa"/>
            <w:shd w:val="clear" w:color="auto" w:fill="C6EFCE"/>
            <w:hideMark/>
          </w:tcPr>
          <w:p w14:paraId="1216C643" w14:textId="3D57189A" w:rsidR="003C4798" w:rsidRDefault="00417595">
            <w:pPr>
              <w:pStyle w:val="P68B1DB1-Normal87"/>
              <w:spacing w:line="240" w:lineRule="auto"/>
              <w:textAlignment w:val="baseline"/>
              <w:rPr>
                <w:noProof/>
                <w:sz w:val="24"/>
                <w:szCs w:val="24"/>
              </w:rPr>
            </w:pPr>
            <w:r>
              <w:rPr>
                <w:noProof/>
              </w:rPr>
              <w:t>Entrée en vigueur d’une nouvelle législation apportant des modifications au cadre législatif afin de permettre le commerce de matières premières secondaires</w:t>
            </w:r>
          </w:p>
        </w:tc>
      </w:tr>
      <w:tr w:rsidR="003C4798" w14:paraId="1216C649" w14:textId="77777777">
        <w:trPr>
          <w:trHeight w:val="300"/>
        </w:trPr>
        <w:tc>
          <w:tcPr>
            <w:tcW w:w="1262" w:type="dxa"/>
            <w:shd w:val="clear" w:color="auto" w:fill="C6EFCE"/>
            <w:hideMark/>
          </w:tcPr>
          <w:p w14:paraId="1216C645" w14:textId="4322D5D4" w:rsidR="003C4798" w:rsidRDefault="00417595">
            <w:pPr>
              <w:pStyle w:val="P68B1DB1-Normal87"/>
              <w:spacing w:line="240" w:lineRule="auto"/>
              <w:jc w:val="center"/>
              <w:textAlignment w:val="baseline"/>
              <w:rPr>
                <w:noProof/>
                <w:sz w:val="24"/>
                <w:szCs w:val="24"/>
              </w:rPr>
            </w:pPr>
            <w:r>
              <w:rPr>
                <w:noProof/>
              </w:rPr>
              <w:t xml:space="preserve">A44G </w:t>
            </w:r>
          </w:p>
        </w:tc>
        <w:tc>
          <w:tcPr>
            <w:tcW w:w="3399" w:type="dxa"/>
            <w:shd w:val="clear" w:color="auto" w:fill="C6EFCE"/>
            <w:hideMark/>
          </w:tcPr>
          <w:p w14:paraId="1216C646" w14:textId="2885F874" w:rsidR="003C4798" w:rsidRDefault="00417595">
            <w:pPr>
              <w:pStyle w:val="P68B1DB1-Normal87"/>
              <w:spacing w:line="240" w:lineRule="auto"/>
              <w:textAlignment w:val="baseline"/>
              <w:rPr>
                <w:noProof/>
                <w:sz w:val="24"/>
                <w:szCs w:val="24"/>
              </w:rPr>
            </w:pPr>
            <w:r>
              <w:rPr>
                <w:noProof/>
              </w:rPr>
              <w:t>A3.1.1 Investissements dans la formation professionnelle moderne, l'enseignement supérieur et l'apprentissage tout au long de la vie</w:t>
            </w:r>
          </w:p>
        </w:tc>
        <w:tc>
          <w:tcPr>
            <w:tcW w:w="1208" w:type="dxa"/>
            <w:shd w:val="clear" w:color="auto" w:fill="C6EFCE"/>
            <w:hideMark/>
          </w:tcPr>
          <w:p w14:paraId="1216C647" w14:textId="7A900C8D" w:rsidR="003C4798" w:rsidRDefault="00417595">
            <w:pPr>
              <w:pStyle w:val="P68B1DB1-Normal87"/>
              <w:spacing w:line="240" w:lineRule="auto"/>
              <w:jc w:val="center"/>
              <w:textAlignment w:val="baseline"/>
              <w:rPr>
                <w:noProof/>
                <w:sz w:val="24"/>
                <w:szCs w:val="24"/>
              </w:rPr>
            </w:pPr>
            <w:r>
              <w:rPr>
                <w:noProof/>
              </w:rPr>
              <w:t>Objectif</w:t>
            </w:r>
          </w:p>
        </w:tc>
        <w:tc>
          <w:tcPr>
            <w:tcW w:w="3754" w:type="dxa"/>
            <w:shd w:val="clear" w:color="auto" w:fill="C6EFCE"/>
            <w:hideMark/>
          </w:tcPr>
          <w:p w14:paraId="1216C648" w14:textId="51579899" w:rsidR="003C4798" w:rsidRDefault="00417595">
            <w:pPr>
              <w:pStyle w:val="P68B1DB1-Normal87"/>
              <w:spacing w:line="240" w:lineRule="auto"/>
              <w:textAlignment w:val="baseline"/>
              <w:rPr>
                <w:noProof/>
                <w:sz w:val="24"/>
                <w:szCs w:val="24"/>
              </w:rPr>
            </w:pPr>
            <w:r>
              <w:rPr>
                <w:noProof/>
              </w:rPr>
              <w:t>T1 - Mise en place d’un réseau de centres sectoriels de compétences fournissant des services de perfectionnement et de reconversion professionnels</w:t>
            </w:r>
          </w:p>
        </w:tc>
      </w:tr>
      <w:tr w:rsidR="003C4798" w14:paraId="1216C651" w14:textId="77777777">
        <w:trPr>
          <w:trHeight w:val="300"/>
        </w:trPr>
        <w:tc>
          <w:tcPr>
            <w:tcW w:w="1262" w:type="dxa"/>
            <w:shd w:val="clear" w:color="auto" w:fill="C6EFCE"/>
            <w:hideMark/>
          </w:tcPr>
          <w:p w14:paraId="1216C64A" w14:textId="6894B4FD" w:rsidR="003C4798" w:rsidRDefault="00417595">
            <w:pPr>
              <w:pStyle w:val="P68B1DB1-Normal87"/>
              <w:spacing w:line="240" w:lineRule="auto"/>
              <w:jc w:val="center"/>
              <w:textAlignment w:val="baseline"/>
              <w:rPr>
                <w:noProof/>
                <w:sz w:val="24"/>
                <w:szCs w:val="24"/>
              </w:rPr>
            </w:pPr>
            <w:r>
              <w:rPr>
                <w:noProof/>
              </w:rPr>
              <w:t xml:space="preserve">A51G </w:t>
            </w:r>
          </w:p>
        </w:tc>
        <w:tc>
          <w:tcPr>
            <w:tcW w:w="3399" w:type="dxa"/>
            <w:shd w:val="clear" w:color="auto" w:fill="C6EFCE"/>
            <w:hideMark/>
          </w:tcPr>
          <w:p w14:paraId="1216C64B" w14:textId="36994FEF" w:rsidR="003C4798" w:rsidRDefault="00417595">
            <w:pPr>
              <w:pStyle w:val="P68B1DB1-Normal87"/>
              <w:spacing w:line="240" w:lineRule="auto"/>
              <w:textAlignment w:val="baseline"/>
              <w:rPr>
                <w:noProof/>
                <w:sz w:val="24"/>
                <w:szCs w:val="24"/>
              </w:rPr>
            </w:pPr>
            <w:r>
              <w:rPr>
                <w:noProof/>
              </w:rPr>
              <w:t>A4.1 Réformes structurelles des institutions du marché du travail</w:t>
            </w:r>
          </w:p>
        </w:tc>
        <w:tc>
          <w:tcPr>
            <w:tcW w:w="1208" w:type="dxa"/>
            <w:shd w:val="clear" w:color="auto" w:fill="C6EFCE"/>
            <w:hideMark/>
          </w:tcPr>
          <w:p w14:paraId="1216C64C" w14:textId="33A275DA" w:rsidR="003C4798" w:rsidRDefault="00417595">
            <w:pPr>
              <w:pStyle w:val="P68B1DB1-Normal87"/>
              <w:spacing w:line="240" w:lineRule="auto"/>
              <w:ind w:left="60"/>
              <w:textAlignment w:val="baseline"/>
              <w:rPr>
                <w:noProof/>
                <w:sz w:val="24"/>
                <w:szCs w:val="24"/>
              </w:rPr>
            </w:pPr>
            <w:r>
              <w:rPr>
                <w:noProof/>
              </w:rPr>
              <w:t>Étape</w:t>
            </w:r>
          </w:p>
        </w:tc>
        <w:tc>
          <w:tcPr>
            <w:tcW w:w="3754" w:type="dxa"/>
            <w:shd w:val="clear" w:color="auto" w:fill="C6EFCE"/>
            <w:hideMark/>
          </w:tcPr>
          <w:p w14:paraId="1216C64D" w14:textId="329C5CD7" w:rsidR="003C4798" w:rsidRDefault="00417595">
            <w:pPr>
              <w:pStyle w:val="P68B1DB1-Normal87"/>
              <w:spacing w:line="240" w:lineRule="auto"/>
              <w:textAlignment w:val="baseline"/>
              <w:rPr>
                <w:noProof/>
              </w:rPr>
            </w:pPr>
            <w:r>
              <w:rPr>
                <w:noProof/>
              </w:rPr>
              <w:t>Entrée en vigueur de nouvelles lois sur les services publics de l'emploi, l'emploi des ressortissants de pays tiers et la conclusion électronique de certains contrats de travail:</w:t>
            </w:r>
          </w:p>
          <w:p w14:paraId="1216C64E" w14:textId="57C2A67D" w:rsidR="003C4798" w:rsidRDefault="00417595">
            <w:pPr>
              <w:pStyle w:val="P68B1DB1-Normal87"/>
              <w:numPr>
                <w:ilvl w:val="0"/>
                <w:numId w:val="37"/>
              </w:numPr>
              <w:spacing w:after="160" w:line="240" w:lineRule="auto"/>
              <w:contextualSpacing/>
              <w:textAlignment w:val="baseline"/>
              <w:rPr>
                <w:noProof/>
              </w:rPr>
            </w:pPr>
            <w:r>
              <w:rPr>
                <w:noProof/>
              </w:rPr>
              <w:t xml:space="preserve">introduire des changements dans les services publics de l'emploi et les politiques actives du marché du travail afin d'accroître la participation au marché du travail </w:t>
            </w:r>
          </w:p>
          <w:p w14:paraId="1216C64F" w14:textId="1CF2F5B5" w:rsidR="003C4798" w:rsidRDefault="00417595">
            <w:pPr>
              <w:pStyle w:val="P68B1DB1-Normal87"/>
              <w:numPr>
                <w:ilvl w:val="0"/>
                <w:numId w:val="37"/>
              </w:numPr>
              <w:spacing w:after="160" w:line="240" w:lineRule="auto"/>
              <w:contextualSpacing/>
              <w:textAlignment w:val="baseline"/>
              <w:rPr>
                <w:noProof/>
              </w:rPr>
            </w:pPr>
            <w:r>
              <w:rPr>
                <w:noProof/>
              </w:rPr>
              <w:t xml:space="preserve">abaisser les obstacles administratifs à l'emploi des étrangers </w:t>
            </w:r>
          </w:p>
          <w:p w14:paraId="1216C650" w14:textId="033E6DB2" w:rsidR="003C4798" w:rsidRDefault="00417595">
            <w:pPr>
              <w:pStyle w:val="P68B1DB1-Normal87"/>
              <w:numPr>
                <w:ilvl w:val="0"/>
                <w:numId w:val="37"/>
              </w:numPr>
              <w:spacing w:after="160" w:line="240" w:lineRule="auto"/>
              <w:contextualSpacing/>
              <w:textAlignment w:val="baseline"/>
              <w:rPr>
                <w:noProof/>
              </w:rPr>
            </w:pPr>
            <w:r>
              <w:rPr>
                <w:noProof/>
              </w:rPr>
              <w:t>simplifier le processus de conclusion de certains contrats</w:t>
            </w:r>
          </w:p>
        </w:tc>
      </w:tr>
      <w:tr w:rsidR="003C4798" w14:paraId="1216C656" w14:textId="77777777">
        <w:trPr>
          <w:trHeight w:val="300"/>
        </w:trPr>
        <w:tc>
          <w:tcPr>
            <w:tcW w:w="1262" w:type="dxa"/>
            <w:shd w:val="clear" w:color="auto" w:fill="C6EFCE"/>
            <w:hideMark/>
          </w:tcPr>
          <w:p w14:paraId="1216C652" w14:textId="2B24FCDD" w:rsidR="003C4798" w:rsidRDefault="00417595">
            <w:pPr>
              <w:pStyle w:val="P68B1DB1-Normal87"/>
              <w:spacing w:line="240" w:lineRule="auto"/>
              <w:jc w:val="center"/>
              <w:textAlignment w:val="baseline"/>
              <w:rPr>
                <w:noProof/>
                <w:sz w:val="24"/>
                <w:szCs w:val="24"/>
              </w:rPr>
            </w:pPr>
            <w:r>
              <w:rPr>
                <w:noProof/>
              </w:rPr>
              <w:t xml:space="preserve">A57G </w:t>
            </w:r>
          </w:p>
        </w:tc>
        <w:tc>
          <w:tcPr>
            <w:tcW w:w="3399" w:type="dxa"/>
            <w:shd w:val="clear" w:color="auto" w:fill="C6EFCE"/>
            <w:hideMark/>
          </w:tcPr>
          <w:p w14:paraId="1216C653" w14:textId="6EE68D08" w:rsidR="003C4798" w:rsidRDefault="00417595">
            <w:pPr>
              <w:pStyle w:val="P68B1DB1-Normal87"/>
              <w:spacing w:line="240" w:lineRule="auto"/>
              <w:textAlignment w:val="baseline"/>
              <w:rPr>
                <w:noProof/>
                <w:sz w:val="24"/>
                <w:szCs w:val="24"/>
              </w:rPr>
            </w:pPr>
            <w:r>
              <w:rPr>
                <w:noProof/>
              </w:rPr>
              <w:t>A4.2 Réforme visant à améliorer la situation des parents sur le marché du travail en améliorant l'accès à des structures d'accueil de qualité pour les enfants jusqu'à l'âge de trois ans</w:t>
            </w:r>
          </w:p>
        </w:tc>
        <w:tc>
          <w:tcPr>
            <w:tcW w:w="1208" w:type="dxa"/>
            <w:shd w:val="clear" w:color="auto" w:fill="C6EFCE"/>
            <w:hideMark/>
          </w:tcPr>
          <w:p w14:paraId="1216C654" w14:textId="4411834A" w:rsidR="003C4798" w:rsidRDefault="00417595">
            <w:pPr>
              <w:pStyle w:val="P68B1DB1-Normal87"/>
              <w:spacing w:line="240" w:lineRule="auto"/>
              <w:ind w:left="60"/>
              <w:textAlignment w:val="baseline"/>
              <w:rPr>
                <w:noProof/>
                <w:sz w:val="24"/>
                <w:szCs w:val="24"/>
              </w:rPr>
            </w:pPr>
            <w:r>
              <w:rPr>
                <w:noProof/>
              </w:rPr>
              <w:t>Étape</w:t>
            </w:r>
          </w:p>
        </w:tc>
        <w:tc>
          <w:tcPr>
            <w:tcW w:w="3754" w:type="dxa"/>
            <w:shd w:val="clear" w:color="auto" w:fill="C6EFCE"/>
            <w:hideMark/>
          </w:tcPr>
          <w:p w14:paraId="1216C655" w14:textId="0D02EB82" w:rsidR="003C4798" w:rsidRDefault="00417595">
            <w:pPr>
              <w:pStyle w:val="P68B1DB1-Normal87"/>
              <w:spacing w:line="240" w:lineRule="auto"/>
              <w:textAlignment w:val="baseline"/>
              <w:rPr>
                <w:noProof/>
                <w:sz w:val="24"/>
                <w:szCs w:val="24"/>
              </w:rPr>
            </w:pPr>
            <w:r>
              <w:rPr>
                <w:noProof/>
              </w:rPr>
              <w:t>Adoption de normes de qualité pour les services de garde d'enfants, y compris les</w:t>
            </w:r>
            <w:r>
              <w:rPr>
                <w:noProof/>
                <w:u w:val="single"/>
              </w:rPr>
              <w:t xml:space="preserve"> </w:t>
            </w:r>
            <w:r>
              <w:rPr>
                <w:noProof/>
              </w:rPr>
              <w:t>normes en matière d'éducation et d'accueil des enfants jusqu'à</w:t>
            </w:r>
            <w:r>
              <w:rPr>
                <w:noProof/>
                <w:u w:val="single"/>
              </w:rPr>
              <w:t xml:space="preserve"> </w:t>
            </w:r>
            <w:r>
              <w:rPr>
                <w:noProof/>
              </w:rPr>
              <w:t>l'âge de trois ans</w:t>
            </w:r>
          </w:p>
        </w:tc>
      </w:tr>
      <w:tr w:rsidR="003C4798" w14:paraId="1216C65B" w14:textId="77777777">
        <w:trPr>
          <w:trHeight w:val="300"/>
        </w:trPr>
        <w:tc>
          <w:tcPr>
            <w:tcW w:w="1262" w:type="dxa"/>
            <w:shd w:val="clear" w:color="auto" w:fill="C6EFCE"/>
            <w:hideMark/>
          </w:tcPr>
          <w:p w14:paraId="1216C657" w14:textId="1CB4C228" w:rsidR="003C4798" w:rsidRDefault="00417595">
            <w:pPr>
              <w:pStyle w:val="P68B1DB1-Normal87"/>
              <w:spacing w:line="240" w:lineRule="auto"/>
              <w:jc w:val="center"/>
              <w:textAlignment w:val="baseline"/>
              <w:rPr>
                <w:noProof/>
                <w:sz w:val="24"/>
                <w:szCs w:val="24"/>
              </w:rPr>
            </w:pPr>
            <w:r>
              <w:rPr>
                <w:noProof/>
              </w:rPr>
              <w:t xml:space="preserve">A58G </w:t>
            </w:r>
          </w:p>
        </w:tc>
        <w:tc>
          <w:tcPr>
            <w:tcW w:w="3399" w:type="dxa"/>
            <w:shd w:val="clear" w:color="auto" w:fill="C6EFCE"/>
            <w:hideMark/>
          </w:tcPr>
          <w:p w14:paraId="1216C658" w14:textId="149A96C0" w:rsidR="003C4798" w:rsidRDefault="00417595">
            <w:pPr>
              <w:pStyle w:val="P68B1DB1-Normal87"/>
              <w:spacing w:line="240" w:lineRule="auto"/>
              <w:textAlignment w:val="baseline"/>
              <w:rPr>
                <w:noProof/>
                <w:sz w:val="24"/>
                <w:szCs w:val="24"/>
              </w:rPr>
            </w:pPr>
            <w:r>
              <w:rPr>
                <w:noProof/>
              </w:rPr>
              <w:t>A4.2 Réforme visant à améliorer la situation des parents sur le marché du travail en améliorant l'accès à des structures d'accueil de qualité pour les enfants jusqu'à l'âge de trois ans</w:t>
            </w:r>
          </w:p>
        </w:tc>
        <w:tc>
          <w:tcPr>
            <w:tcW w:w="1208" w:type="dxa"/>
            <w:shd w:val="clear" w:color="auto" w:fill="C6EFCE"/>
            <w:hideMark/>
          </w:tcPr>
          <w:p w14:paraId="1216C659" w14:textId="1DBD50B0" w:rsidR="003C4798" w:rsidRDefault="00417595">
            <w:pPr>
              <w:pStyle w:val="P68B1DB1-Normal87"/>
              <w:spacing w:line="240" w:lineRule="auto"/>
              <w:ind w:left="60"/>
              <w:textAlignment w:val="baseline"/>
              <w:rPr>
                <w:noProof/>
                <w:sz w:val="24"/>
                <w:szCs w:val="24"/>
              </w:rPr>
            </w:pPr>
            <w:r>
              <w:rPr>
                <w:noProof/>
              </w:rPr>
              <w:t>Étape</w:t>
            </w:r>
          </w:p>
        </w:tc>
        <w:tc>
          <w:tcPr>
            <w:tcW w:w="3754" w:type="dxa"/>
            <w:shd w:val="clear" w:color="auto" w:fill="C6EFCE"/>
            <w:hideMark/>
          </w:tcPr>
          <w:p w14:paraId="1216C65A" w14:textId="02CD2F42" w:rsidR="003C4798" w:rsidRDefault="00417595">
            <w:pPr>
              <w:pStyle w:val="P68B1DB1-Normal87"/>
              <w:spacing w:line="240" w:lineRule="auto"/>
              <w:textAlignment w:val="baseline"/>
              <w:rPr>
                <w:noProof/>
                <w:sz w:val="24"/>
                <w:szCs w:val="24"/>
              </w:rPr>
            </w:pPr>
            <w:r>
              <w:rPr>
                <w:noProof/>
              </w:rPr>
              <w:t>Entrée en vigueur d'une loi modifiant la loi sur la prise en charge des enfants jusqu'à l'âge de trois ans, garantissant le financement national à long terme des services de garde d'enfants jusqu'à l'âge de trois ans</w:t>
            </w:r>
          </w:p>
        </w:tc>
      </w:tr>
      <w:tr w:rsidR="003C4798" w14:paraId="1216C660" w14:textId="77777777">
        <w:trPr>
          <w:trHeight w:val="300"/>
        </w:trPr>
        <w:tc>
          <w:tcPr>
            <w:tcW w:w="1262" w:type="dxa"/>
            <w:shd w:val="clear" w:color="auto" w:fill="C6EFCE"/>
            <w:hideMark/>
          </w:tcPr>
          <w:p w14:paraId="1216C65C" w14:textId="147F55C4" w:rsidR="003C4798" w:rsidRDefault="00417595">
            <w:pPr>
              <w:pStyle w:val="P68B1DB1-Normal87"/>
              <w:spacing w:line="240" w:lineRule="auto"/>
              <w:ind w:right="45"/>
              <w:jc w:val="center"/>
              <w:textAlignment w:val="baseline"/>
              <w:rPr>
                <w:noProof/>
                <w:sz w:val="24"/>
                <w:szCs w:val="24"/>
              </w:rPr>
            </w:pPr>
            <w:r>
              <w:rPr>
                <w:noProof/>
              </w:rPr>
              <w:t xml:space="preserve">A68G </w:t>
            </w:r>
          </w:p>
        </w:tc>
        <w:tc>
          <w:tcPr>
            <w:tcW w:w="3399" w:type="dxa"/>
            <w:shd w:val="clear" w:color="auto" w:fill="C6EFCE"/>
            <w:hideMark/>
          </w:tcPr>
          <w:p w14:paraId="1216C65D" w14:textId="0995F7D5" w:rsidR="003C4798" w:rsidRDefault="00417595">
            <w:pPr>
              <w:pStyle w:val="P68B1DB1-Normal87"/>
              <w:spacing w:line="240" w:lineRule="auto"/>
              <w:textAlignment w:val="baseline"/>
              <w:rPr>
                <w:noProof/>
                <w:sz w:val="24"/>
                <w:szCs w:val="24"/>
              </w:rPr>
            </w:pPr>
            <w:r>
              <w:rPr>
                <w:noProof/>
              </w:rPr>
              <w:t>A4.5 Prolonger les carrières et promouvoir le travail au-delà de l'âge légal de la retraite</w:t>
            </w:r>
          </w:p>
        </w:tc>
        <w:tc>
          <w:tcPr>
            <w:tcW w:w="1208" w:type="dxa"/>
            <w:shd w:val="clear" w:color="auto" w:fill="C6EFCE"/>
            <w:hideMark/>
          </w:tcPr>
          <w:p w14:paraId="1216C65E" w14:textId="595153B6" w:rsidR="003C4798" w:rsidRDefault="00417595">
            <w:pPr>
              <w:pStyle w:val="P68B1DB1-Normal87"/>
              <w:spacing w:line="240" w:lineRule="auto"/>
              <w:ind w:right="45"/>
              <w:jc w:val="center"/>
              <w:textAlignment w:val="baseline"/>
              <w:rPr>
                <w:noProof/>
                <w:sz w:val="24"/>
                <w:szCs w:val="24"/>
              </w:rPr>
            </w:pPr>
            <w:r>
              <w:rPr>
                <w:noProof/>
              </w:rPr>
              <w:t>Étape</w:t>
            </w:r>
          </w:p>
        </w:tc>
        <w:tc>
          <w:tcPr>
            <w:tcW w:w="3754" w:type="dxa"/>
            <w:shd w:val="clear" w:color="auto" w:fill="C6EFCE"/>
            <w:hideMark/>
          </w:tcPr>
          <w:p w14:paraId="1216C65F" w14:textId="200542D6" w:rsidR="003C4798" w:rsidRDefault="00417595">
            <w:pPr>
              <w:pStyle w:val="P68B1DB1-Normal87"/>
              <w:spacing w:line="240" w:lineRule="auto"/>
              <w:textAlignment w:val="baseline"/>
              <w:rPr>
                <w:noProof/>
                <w:sz w:val="24"/>
                <w:szCs w:val="24"/>
              </w:rPr>
            </w:pPr>
            <w:r>
              <w:rPr>
                <w:noProof/>
              </w:rPr>
              <w:t>Rapport d'évaluation de l'impact des mesures prises pour relever l'âge effectif de départ à la retraite</w:t>
            </w:r>
          </w:p>
        </w:tc>
      </w:tr>
      <w:tr w:rsidR="003C4798" w14:paraId="1216C665" w14:textId="77777777">
        <w:trPr>
          <w:trHeight w:val="300"/>
        </w:trPr>
        <w:tc>
          <w:tcPr>
            <w:tcW w:w="1262" w:type="dxa"/>
            <w:shd w:val="clear" w:color="auto" w:fill="C6EFCE"/>
            <w:hideMark/>
          </w:tcPr>
          <w:p w14:paraId="1216C661" w14:textId="45E7CB49" w:rsidR="003C4798" w:rsidRDefault="00417595">
            <w:pPr>
              <w:pStyle w:val="P68B1DB1-Normal87"/>
              <w:spacing w:line="240" w:lineRule="auto"/>
              <w:jc w:val="center"/>
              <w:textAlignment w:val="baseline"/>
              <w:rPr>
                <w:noProof/>
                <w:sz w:val="24"/>
                <w:szCs w:val="24"/>
              </w:rPr>
            </w:pPr>
            <w:r>
              <w:rPr>
                <w:noProof/>
              </w:rPr>
              <w:t xml:space="preserve">B21aG </w:t>
            </w:r>
          </w:p>
        </w:tc>
        <w:tc>
          <w:tcPr>
            <w:tcW w:w="3399" w:type="dxa"/>
            <w:shd w:val="clear" w:color="auto" w:fill="C6EFCE"/>
            <w:hideMark/>
          </w:tcPr>
          <w:p w14:paraId="1216C662" w14:textId="48C18A6C" w:rsidR="003C4798" w:rsidRDefault="00417595">
            <w:pPr>
              <w:pStyle w:val="P68B1DB1-Normal87"/>
              <w:spacing w:line="240" w:lineRule="auto"/>
              <w:textAlignment w:val="baseline"/>
              <w:rPr>
                <w:noProof/>
                <w:sz w:val="24"/>
                <w:szCs w:val="24"/>
              </w:rPr>
            </w:pPr>
            <w:r>
              <w:rPr>
                <w:noProof/>
              </w:rPr>
              <w:t>B2.1.1 Investissements dans l’hydrogène, la fabrication, le stockage et le transport de l’hydrogène</w:t>
            </w:r>
          </w:p>
        </w:tc>
        <w:tc>
          <w:tcPr>
            <w:tcW w:w="1208" w:type="dxa"/>
            <w:shd w:val="clear" w:color="auto" w:fill="C6EFCE"/>
            <w:hideMark/>
          </w:tcPr>
          <w:p w14:paraId="1216C663" w14:textId="77777777" w:rsidR="003C4798" w:rsidRDefault="00417595">
            <w:pPr>
              <w:pStyle w:val="P68B1DB1-Normal87"/>
              <w:spacing w:line="240" w:lineRule="auto"/>
              <w:ind w:left="15"/>
              <w:textAlignment w:val="baseline"/>
              <w:rPr>
                <w:noProof/>
                <w:sz w:val="24"/>
                <w:szCs w:val="24"/>
              </w:rPr>
            </w:pPr>
            <w:r>
              <w:rPr>
                <w:noProof/>
              </w:rPr>
              <w:t>Étape</w:t>
            </w:r>
          </w:p>
        </w:tc>
        <w:tc>
          <w:tcPr>
            <w:tcW w:w="3754" w:type="dxa"/>
            <w:shd w:val="clear" w:color="auto" w:fill="C6EFCE"/>
            <w:hideMark/>
          </w:tcPr>
          <w:p w14:paraId="1216C664" w14:textId="68066440" w:rsidR="003C4798" w:rsidRDefault="00417595">
            <w:pPr>
              <w:pStyle w:val="P68B1DB1-Normal87"/>
              <w:spacing w:line="240" w:lineRule="auto"/>
              <w:textAlignment w:val="baseline"/>
              <w:rPr>
                <w:noProof/>
                <w:sz w:val="24"/>
                <w:szCs w:val="24"/>
              </w:rPr>
            </w:pPr>
            <w:r>
              <w:rPr>
                <w:noProof/>
              </w:rPr>
              <w:t>Accord de mise en œuvre</w:t>
            </w:r>
          </w:p>
        </w:tc>
      </w:tr>
      <w:tr w:rsidR="003C4798" w14:paraId="1216C66A" w14:textId="77777777">
        <w:trPr>
          <w:trHeight w:val="300"/>
        </w:trPr>
        <w:tc>
          <w:tcPr>
            <w:tcW w:w="1262" w:type="dxa"/>
            <w:shd w:val="clear" w:color="auto" w:fill="C6EFCE"/>
            <w:hideMark/>
          </w:tcPr>
          <w:p w14:paraId="1216C666" w14:textId="522DA4E9" w:rsidR="003C4798" w:rsidRDefault="00417595">
            <w:pPr>
              <w:pStyle w:val="P68B1DB1-Normal87"/>
              <w:spacing w:line="240" w:lineRule="auto"/>
              <w:ind w:right="30"/>
              <w:jc w:val="center"/>
              <w:textAlignment w:val="baseline"/>
              <w:rPr>
                <w:noProof/>
                <w:sz w:val="24"/>
                <w:szCs w:val="24"/>
              </w:rPr>
            </w:pPr>
            <w:r>
              <w:rPr>
                <w:noProof/>
              </w:rPr>
              <w:t xml:space="preserve">D38G </w:t>
            </w:r>
          </w:p>
        </w:tc>
        <w:tc>
          <w:tcPr>
            <w:tcW w:w="3399" w:type="dxa"/>
            <w:shd w:val="clear" w:color="auto" w:fill="C6EFCE"/>
            <w:hideMark/>
          </w:tcPr>
          <w:p w14:paraId="1216C667" w14:textId="43E831F8" w:rsidR="003C4798" w:rsidRDefault="00417595">
            <w:pPr>
              <w:pStyle w:val="P68B1DB1-Normal87"/>
              <w:spacing w:line="240" w:lineRule="auto"/>
              <w:textAlignment w:val="baseline"/>
              <w:rPr>
                <w:noProof/>
                <w:sz w:val="24"/>
                <w:szCs w:val="24"/>
              </w:rPr>
            </w:pPr>
            <w:r>
              <w:rPr>
                <w:noProof/>
              </w:rPr>
              <w:t>D4.1.1 Accroître les prestations de soins de longue durée par la modernisation des entités médicales au niveau des districts</w:t>
            </w:r>
          </w:p>
        </w:tc>
        <w:tc>
          <w:tcPr>
            <w:tcW w:w="1208" w:type="dxa"/>
            <w:shd w:val="clear" w:color="auto" w:fill="C6EFCE"/>
            <w:hideMark/>
          </w:tcPr>
          <w:p w14:paraId="1216C668" w14:textId="326673BC" w:rsidR="003C4798" w:rsidRDefault="00417595">
            <w:pPr>
              <w:pStyle w:val="P68B1DB1-Normal87"/>
              <w:spacing w:line="240" w:lineRule="auto"/>
              <w:ind w:left="75"/>
              <w:textAlignment w:val="baseline"/>
              <w:rPr>
                <w:noProof/>
                <w:sz w:val="24"/>
                <w:szCs w:val="24"/>
              </w:rPr>
            </w:pPr>
            <w:r>
              <w:rPr>
                <w:noProof/>
              </w:rPr>
              <w:t>Étape</w:t>
            </w:r>
          </w:p>
        </w:tc>
        <w:tc>
          <w:tcPr>
            <w:tcW w:w="3754" w:type="dxa"/>
            <w:shd w:val="clear" w:color="auto" w:fill="C6EFCE"/>
            <w:hideMark/>
          </w:tcPr>
          <w:p w14:paraId="1216C669" w14:textId="3DD1BDAD" w:rsidR="003C4798" w:rsidRDefault="00417595">
            <w:pPr>
              <w:pStyle w:val="P68B1DB1-Normal87"/>
              <w:spacing w:line="240" w:lineRule="auto"/>
              <w:textAlignment w:val="baseline"/>
              <w:rPr>
                <w:noProof/>
                <w:sz w:val="24"/>
                <w:szCs w:val="24"/>
              </w:rPr>
            </w:pPr>
            <w:r>
              <w:rPr>
                <w:noProof/>
              </w:rPr>
              <w:t>Liste des hôpitaux de district sélectionnés pour soutenir la création de lits de longue durée et gériatriques, sur la base de critères de sélection spécifiques</w:t>
            </w:r>
          </w:p>
        </w:tc>
      </w:tr>
      <w:tr w:rsidR="003C4798" w14:paraId="1216C66F" w14:textId="77777777">
        <w:trPr>
          <w:trHeight w:val="300"/>
        </w:trPr>
        <w:tc>
          <w:tcPr>
            <w:tcW w:w="1262" w:type="dxa"/>
            <w:shd w:val="clear" w:color="auto" w:fill="C6EFCE"/>
            <w:hideMark/>
          </w:tcPr>
          <w:p w14:paraId="1216C66B" w14:textId="42A1DEA9" w:rsidR="003C4798" w:rsidRDefault="00417595">
            <w:pPr>
              <w:pStyle w:val="P68B1DB1-Normal87"/>
              <w:spacing w:line="240" w:lineRule="auto"/>
              <w:ind w:right="45"/>
              <w:jc w:val="center"/>
              <w:textAlignment w:val="baseline"/>
              <w:rPr>
                <w:noProof/>
                <w:sz w:val="24"/>
                <w:szCs w:val="24"/>
              </w:rPr>
            </w:pPr>
            <w:r>
              <w:rPr>
                <w:noProof/>
              </w:rPr>
              <w:t xml:space="preserve">E16G </w:t>
            </w:r>
          </w:p>
        </w:tc>
        <w:tc>
          <w:tcPr>
            <w:tcW w:w="3399" w:type="dxa"/>
            <w:shd w:val="clear" w:color="auto" w:fill="C6EFCE"/>
            <w:hideMark/>
          </w:tcPr>
          <w:p w14:paraId="1216C66C" w14:textId="0FE18429" w:rsidR="003C4798" w:rsidRDefault="00417595">
            <w:pPr>
              <w:pStyle w:val="P68B1DB1-Normal87"/>
              <w:spacing w:line="240" w:lineRule="auto"/>
              <w:textAlignment w:val="baseline"/>
              <w:rPr>
                <w:noProof/>
                <w:sz w:val="24"/>
                <w:szCs w:val="24"/>
              </w:rPr>
            </w:pPr>
            <w:r>
              <w:rPr>
                <w:noProof/>
              </w:rPr>
              <w:t>E2.1 Renforcer la compétitivité du secteur ferroviaire</w:t>
            </w:r>
          </w:p>
        </w:tc>
        <w:tc>
          <w:tcPr>
            <w:tcW w:w="1208" w:type="dxa"/>
            <w:shd w:val="clear" w:color="auto" w:fill="C6EFCE"/>
            <w:hideMark/>
          </w:tcPr>
          <w:p w14:paraId="1216C66D" w14:textId="1F72BDA1" w:rsidR="003C4798" w:rsidRDefault="00417595">
            <w:pPr>
              <w:pStyle w:val="P68B1DB1-Normal87"/>
              <w:spacing w:line="240" w:lineRule="auto"/>
              <w:ind w:right="45"/>
              <w:jc w:val="center"/>
              <w:textAlignment w:val="baseline"/>
              <w:rPr>
                <w:noProof/>
                <w:sz w:val="24"/>
                <w:szCs w:val="24"/>
              </w:rPr>
            </w:pPr>
            <w:r>
              <w:rPr>
                <w:noProof/>
              </w:rPr>
              <w:t>Objectif</w:t>
            </w:r>
          </w:p>
        </w:tc>
        <w:tc>
          <w:tcPr>
            <w:tcW w:w="3754" w:type="dxa"/>
            <w:shd w:val="clear" w:color="auto" w:fill="C6EFCE"/>
            <w:hideMark/>
          </w:tcPr>
          <w:p w14:paraId="1216C66E" w14:textId="5997D4FC" w:rsidR="003C4798" w:rsidRDefault="00417595">
            <w:pPr>
              <w:pStyle w:val="P68B1DB1-Normal87"/>
              <w:spacing w:line="240" w:lineRule="auto"/>
              <w:textAlignment w:val="baseline"/>
              <w:rPr>
                <w:noProof/>
                <w:sz w:val="24"/>
                <w:szCs w:val="24"/>
              </w:rPr>
            </w:pPr>
            <w:r>
              <w:rPr>
                <w:noProof/>
              </w:rPr>
              <w:t>Mise en place d'un système de péage sur les nouvelles routes</w:t>
            </w:r>
          </w:p>
        </w:tc>
      </w:tr>
      <w:tr w:rsidR="003C4798" w14:paraId="1216C674" w14:textId="77777777">
        <w:trPr>
          <w:trHeight w:val="300"/>
        </w:trPr>
        <w:tc>
          <w:tcPr>
            <w:tcW w:w="1262" w:type="dxa"/>
            <w:shd w:val="clear" w:color="auto" w:fill="C6EFCE"/>
            <w:hideMark/>
          </w:tcPr>
          <w:p w14:paraId="1216C670" w14:textId="30DB21A4" w:rsidR="003C4798" w:rsidRDefault="00417595">
            <w:pPr>
              <w:pStyle w:val="P68B1DB1-Normal87"/>
              <w:spacing w:line="240" w:lineRule="auto"/>
              <w:ind w:right="15"/>
              <w:jc w:val="center"/>
              <w:textAlignment w:val="baseline"/>
              <w:rPr>
                <w:noProof/>
                <w:sz w:val="24"/>
                <w:szCs w:val="24"/>
              </w:rPr>
            </w:pPr>
            <w:r>
              <w:rPr>
                <w:noProof/>
              </w:rPr>
              <w:t xml:space="preserve">F8G </w:t>
            </w:r>
          </w:p>
        </w:tc>
        <w:tc>
          <w:tcPr>
            <w:tcW w:w="3399" w:type="dxa"/>
            <w:shd w:val="clear" w:color="auto" w:fill="C6EFCE"/>
            <w:hideMark/>
          </w:tcPr>
          <w:p w14:paraId="1216C671" w14:textId="30D2BB50" w:rsidR="003C4798" w:rsidRDefault="00417595">
            <w:pPr>
              <w:pStyle w:val="P68B1DB1-Normal87"/>
              <w:spacing w:line="240" w:lineRule="auto"/>
              <w:textAlignment w:val="baseline"/>
              <w:rPr>
                <w:noProof/>
                <w:sz w:val="24"/>
                <w:szCs w:val="24"/>
              </w:rPr>
            </w:pPr>
            <w:r>
              <w:rPr>
                <w:noProof/>
              </w:rPr>
              <w:t>F3.1 Améliorer les conditions de mise en œuvre du PRR</w:t>
            </w:r>
          </w:p>
        </w:tc>
        <w:tc>
          <w:tcPr>
            <w:tcW w:w="1208" w:type="dxa"/>
            <w:shd w:val="clear" w:color="auto" w:fill="C6EFCE"/>
            <w:hideMark/>
          </w:tcPr>
          <w:p w14:paraId="1216C672" w14:textId="1F68B7E4" w:rsidR="003C4798" w:rsidRDefault="00417595">
            <w:pPr>
              <w:pStyle w:val="P68B1DB1-Normal87"/>
              <w:spacing w:line="240" w:lineRule="auto"/>
              <w:ind w:left="75"/>
              <w:textAlignment w:val="baseline"/>
              <w:rPr>
                <w:noProof/>
                <w:sz w:val="24"/>
                <w:szCs w:val="24"/>
              </w:rPr>
            </w:pPr>
            <w:r>
              <w:rPr>
                <w:noProof/>
              </w:rPr>
              <w:t>Étape</w:t>
            </w:r>
          </w:p>
        </w:tc>
        <w:tc>
          <w:tcPr>
            <w:tcW w:w="3754" w:type="dxa"/>
            <w:shd w:val="clear" w:color="auto" w:fill="C6EFCE"/>
            <w:hideMark/>
          </w:tcPr>
          <w:p w14:paraId="1216C673" w14:textId="77777777" w:rsidR="003C4798" w:rsidRDefault="00417595">
            <w:pPr>
              <w:pStyle w:val="P68B1DB1-Normal87"/>
              <w:spacing w:line="240" w:lineRule="auto"/>
              <w:textAlignment w:val="baseline"/>
              <w:rPr>
                <w:noProof/>
                <w:sz w:val="24"/>
                <w:szCs w:val="24"/>
              </w:rPr>
            </w:pPr>
            <w:r>
              <w:rPr>
                <w:noProof/>
              </w:rPr>
              <w:t>Une analyse de la charge de travail préparée par le ministère des Fonds de développement et de la Politique régionale</w:t>
            </w:r>
          </w:p>
        </w:tc>
      </w:tr>
      <w:tr w:rsidR="003C4798" w14:paraId="1216C679" w14:textId="77777777">
        <w:trPr>
          <w:trHeight w:val="300"/>
        </w:trPr>
        <w:tc>
          <w:tcPr>
            <w:tcW w:w="1262" w:type="dxa"/>
            <w:shd w:val="clear" w:color="auto" w:fill="C6EFCE"/>
            <w:hideMark/>
          </w:tcPr>
          <w:p w14:paraId="1216C675" w14:textId="1911F3BC" w:rsidR="003C4798" w:rsidRDefault="00417595">
            <w:pPr>
              <w:pStyle w:val="P68B1DB1-Normal87"/>
              <w:spacing w:line="240" w:lineRule="auto"/>
              <w:ind w:right="45"/>
              <w:jc w:val="center"/>
              <w:textAlignment w:val="baseline"/>
              <w:rPr>
                <w:noProof/>
                <w:sz w:val="24"/>
                <w:szCs w:val="24"/>
              </w:rPr>
            </w:pPr>
            <w:r>
              <w:rPr>
                <w:noProof/>
              </w:rPr>
              <w:t xml:space="preserve">G23G </w:t>
            </w:r>
          </w:p>
        </w:tc>
        <w:tc>
          <w:tcPr>
            <w:tcW w:w="3399" w:type="dxa"/>
            <w:shd w:val="clear" w:color="auto" w:fill="C6EFCE"/>
            <w:hideMark/>
          </w:tcPr>
          <w:p w14:paraId="1216C676" w14:textId="761D20B0" w:rsidR="003C4798" w:rsidRDefault="00417595">
            <w:pPr>
              <w:pStyle w:val="P68B1DB1-Normal87"/>
              <w:spacing w:line="240" w:lineRule="auto"/>
              <w:textAlignment w:val="baseline"/>
              <w:rPr>
                <w:noProof/>
                <w:sz w:val="24"/>
                <w:szCs w:val="24"/>
              </w:rPr>
            </w:pPr>
            <w:r>
              <w:rPr>
                <w:noProof/>
              </w:rPr>
              <w:t>G1.2.4 Construction ou modernisation de réseaux de distribution d'électricité desservant principalement les zones</w:t>
            </w:r>
            <w:r>
              <w:rPr>
                <w:noProof/>
                <w:u w:val="single"/>
              </w:rPr>
              <w:t xml:space="preserve"> </w:t>
            </w:r>
            <w:r>
              <w:rPr>
                <w:noProof/>
              </w:rPr>
              <w:t>rurales afin de permettre le raccordement de nouvelles sources d'énergie renouvelables</w:t>
            </w:r>
          </w:p>
        </w:tc>
        <w:tc>
          <w:tcPr>
            <w:tcW w:w="1208" w:type="dxa"/>
            <w:shd w:val="clear" w:color="auto" w:fill="C6EFCE"/>
            <w:hideMark/>
          </w:tcPr>
          <w:p w14:paraId="1216C677" w14:textId="0F6378C7" w:rsidR="003C4798" w:rsidRDefault="00417595">
            <w:pPr>
              <w:pStyle w:val="P68B1DB1-Normal87"/>
              <w:spacing w:line="240" w:lineRule="auto"/>
              <w:ind w:right="45"/>
              <w:jc w:val="center"/>
              <w:textAlignment w:val="baseline"/>
              <w:rPr>
                <w:noProof/>
                <w:sz w:val="24"/>
                <w:szCs w:val="24"/>
              </w:rPr>
            </w:pPr>
            <w:r>
              <w:rPr>
                <w:noProof/>
              </w:rPr>
              <w:t>Étape</w:t>
            </w:r>
          </w:p>
        </w:tc>
        <w:tc>
          <w:tcPr>
            <w:tcW w:w="3754" w:type="dxa"/>
            <w:shd w:val="clear" w:color="auto" w:fill="C6EFCE"/>
            <w:hideMark/>
          </w:tcPr>
          <w:p w14:paraId="1216C678" w14:textId="77777777" w:rsidR="003C4798" w:rsidRDefault="00417595">
            <w:pPr>
              <w:pStyle w:val="P68B1DB1-Normal87"/>
              <w:spacing w:line="240" w:lineRule="auto"/>
              <w:textAlignment w:val="baseline"/>
              <w:rPr>
                <w:noProof/>
                <w:sz w:val="24"/>
                <w:szCs w:val="24"/>
              </w:rPr>
            </w:pPr>
            <w:r>
              <w:rPr>
                <w:noProof/>
              </w:rPr>
              <w:t>Identification et définition des projets</w:t>
            </w:r>
          </w:p>
        </w:tc>
      </w:tr>
      <w:tr w:rsidR="003C4798" w14:paraId="1216C67E" w14:textId="77777777">
        <w:trPr>
          <w:trHeight w:val="300"/>
        </w:trPr>
        <w:tc>
          <w:tcPr>
            <w:tcW w:w="1262" w:type="dxa"/>
            <w:shd w:val="clear" w:color="auto" w:fill="C6EFCE"/>
            <w:hideMark/>
          </w:tcPr>
          <w:p w14:paraId="1216C67A" w14:textId="5D595A05" w:rsidR="003C4798" w:rsidRDefault="00417595">
            <w:pPr>
              <w:pStyle w:val="P68B1DB1-Normal87"/>
              <w:spacing w:line="240" w:lineRule="auto"/>
              <w:ind w:right="30"/>
              <w:jc w:val="center"/>
              <w:textAlignment w:val="baseline"/>
              <w:rPr>
                <w:noProof/>
                <w:sz w:val="24"/>
                <w:szCs w:val="24"/>
              </w:rPr>
            </w:pPr>
            <w:r>
              <w:rPr>
                <w:noProof/>
              </w:rPr>
              <w:t xml:space="preserve"> </w:t>
            </w:r>
          </w:p>
        </w:tc>
        <w:tc>
          <w:tcPr>
            <w:tcW w:w="3399" w:type="dxa"/>
            <w:shd w:val="clear" w:color="auto" w:fill="C6EFCE"/>
            <w:hideMark/>
          </w:tcPr>
          <w:p w14:paraId="1216C67B" w14:textId="5D82D0E6" w:rsidR="003C4798" w:rsidRDefault="00417595">
            <w:pPr>
              <w:pStyle w:val="P68B1DB1-Normal87"/>
              <w:spacing w:line="240" w:lineRule="auto"/>
              <w:textAlignment w:val="baseline"/>
              <w:rPr>
                <w:noProof/>
                <w:sz w:val="24"/>
                <w:szCs w:val="24"/>
              </w:rPr>
            </w:pPr>
            <w:r>
              <w:rPr>
                <w:noProof/>
              </w:rPr>
              <w:t xml:space="preserve"> </w:t>
            </w:r>
          </w:p>
        </w:tc>
        <w:tc>
          <w:tcPr>
            <w:tcW w:w="1208" w:type="dxa"/>
            <w:shd w:val="clear" w:color="auto" w:fill="C6EFCE"/>
            <w:hideMark/>
          </w:tcPr>
          <w:p w14:paraId="1216C67C" w14:textId="567BFB32" w:rsidR="003C4798" w:rsidRDefault="00417595">
            <w:pPr>
              <w:pStyle w:val="P68B1DB1-Normal87"/>
              <w:spacing w:line="240" w:lineRule="auto"/>
              <w:ind w:left="75"/>
              <w:textAlignment w:val="baseline"/>
              <w:rPr>
                <w:noProof/>
                <w:sz w:val="24"/>
                <w:szCs w:val="24"/>
              </w:rPr>
            </w:pPr>
            <w:r>
              <w:rPr>
                <w:noProof/>
              </w:rPr>
              <w:t>Montant des acomptes provisionnels</w:t>
            </w:r>
          </w:p>
        </w:tc>
        <w:tc>
          <w:tcPr>
            <w:tcW w:w="3754" w:type="dxa"/>
            <w:shd w:val="clear" w:color="auto" w:fill="C6EFCE"/>
            <w:hideMark/>
          </w:tcPr>
          <w:p w14:paraId="1216C67D" w14:textId="77777777" w:rsidR="003C4798" w:rsidRDefault="00417595">
            <w:pPr>
              <w:pStyle w:val="P68B1DB1-Normal87"/>
              <w:spacing w:line="240" w:lineRule="auto"/>
              <w:ind w:left="75"/>
              <w:textAlignment w:val="baseline"/>
              <w:rPr>
                <w:noProof/>
                <w:sz w:val="24"/>
                <w:szCs w:val="24"/>
              </w:rPr>
            </w:pPr>
            <w:r>
              <w:rPr>
                <w:noProof/>
              </w:rPr>
              <w:t>1 141 074 881 EUR</w:t>
            </w:r>
          </w:p>
        </w:tc>
      </w:tr>
    </w:tbl>
    <w:p w14:paraId="1216C67F" w14:textId="76631F24" w:rsidR="003C4798" w:rsidRDefault="00417595">
      <w:pPr>
        <w:pStyle w:val="P68B1DB1-Normal87"/>
        <w:spacing w:line="240" w:lineRule="auto"/>
        <w:textAlignment w:val="baseline"/>
        <w:rPr>
          <w:noProof/>
        </w:rPr>
      </w:pPr>
      <w:r>
        <w:rPr>
          <w:noProof/>
        </w:rPr>
        <w:t xml:space="preserve"> </w:t>
      </w:r>
    </w:p>
    <w:p w14:paraId="1216C680" w14:textId="77777777" w:rsidR="003C4798" w:rsidRDefault="00417595">
      <w:pPr>
        <w:pStyle w:val="P68B1DB1-Normal85"/>
        <w:spacing w:line="240" w:lineRule="auto"/>
        <w:ind w:left="-15"/>
        <w:textAlignment w:val="baseline"/>
        <w:rPr>
          <w:rFonts w:ascii="Segoe UI" w:eastAsia="Times New Roman" w:hAnsi="Segoe UI" w:cs="Segoe UI"/>
          <w:noProof/>
          <w:sz w:val="18"/>
          <w:szCs w:val="18"/>
        </w:rPr>
      </w:pPr>
      <w:r>
        <w:rPr>
          <w:noProof/>
        </w:rPr>
        <w:t>2.1.6. Sixième tranche (soutien non remboursable):</w:t>
      </w:r>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CellMar>
          <w:left w:w="0" w:type="dxa"/>
          <w:right w:w="0" w:type="dxa"/>
        </w:tblCellMar>
        <w:tblLook w:val="04A0" w:firstRow="1" w:lastRow="0" w:firstColumn="1" w:lastColumn="0" w:noHBand="0" w:noVBand="1"/>
      </w:tblPr>
      <w:tblGrid>
        <w:gridCol w:w="1268"/>
        <w:gridCol w:w="3402"/>
        <w:gridCol w:w="1276"/>
        <w:gridCol w:w="3677"/>
      </w:tblGrid>
      <w:tr w:rsidR="003C4798" w14:paraId="1216C685" w14:textId="77777777">
        <w:trPr>
          <w:trHeight w:val="300"/>
          <w:tblHeader/>
          <w:jc w:val="center"/>
        </w:trPr>
        <w:tc>
          <w:tcPr>
            <w:tcW w:w="1268" w:type="dxa"/>
            <w:shd w:val="clear" w:color="auto" w:fill="C6D9F1" w:themeFill="text2" w:themeFillTint="33"/>
            <w:hideMark/>
          </w:tcPr>
          <w:p w14:paraId="1216C681" w14:textId="77777777" w:rsidR="003C4798" w:rsidRDefault="00417595">
            <w:pPr>
              <w:pStyle w:val="P68B1DB1-Normal99"/>
              <w:spacing w:line="240" w:lineRule="auto"/>
              <w:jc w:val="center"/>
              <w:textAlignment w:val="baseline"/>
              <w:rPr>
                <w:rFonts w:eastAsia="Times New Roman" w:cs="Times New Roman"/>
                <w:noProof/>
              </w:rPr>
            </w:pPr>
            <w:r>
              <w:rPr>
                <w:noProof/>
              </w:rPr>
              <w:t>Numéro séquentiel</w:t>
            </w:r>
          </w:p>
        </w:tc>
        <w:tc>
          <w:tcPr>
            <w:tcW w:w="3402" w:type="dxa"/>
            <w:shd w:val="clear" w:color="auto" w:fill="C6D9F1" w:themeFill="text2" w:themeFillTint="33"/>
            <w:hideMark/>
          </w:tcPr>
          <w:p w14:paraId="1216C682" w14:textId="77777777" w:rsidR="003C4798" w:rsidRDefault="00417595">
            <w:pPr>
              <w:pStyle w:val="P68B1DB1-Normal99"/>
              <w:spacing w:line="240" w:lineRule="auto"/>
              <w:jc w:val="center"/>
              <w:textAlignment w:val="baseline"/>
              <w:rPr>
                <w:rFonts w:eastAsia="Times New Roman" w:cs="Times New Roman"/>
                <w:noProof/>
              </w:rPr>
            </w:pPr>
            <w:r>
              <w:rPr>
                <w:noProof/>
              </w:rPr>
              <w:t>Mesure connexe (réforme ou investissement)</w:t>
            </w:r>
          </w:p>
        </w:tc>
        <w:tc>
          <w:tcPr>
            <w:tcW w:w="1276" w:type="dxa"/>
            <w:shd w:val="clear" w:color="auto" w:fill="C6D9F1" w:themeFill="text2" w:themeFillTint="33"/>
            <w:hideMark/>
          </w:tcPr>
          <w:p w14:paraId="1216C683" w14:textId="77777777" w:rsidR="003C4798" w:rsidRDefault="00417595">
            <w:pPr>
              <w:pStyle w:val="P68B1DB1-Normal99"/>
              <w:spacing w:line="240" w:lineRule="auto"/>
              <w:jc w:val="center"/>
              <w:textAlignment w:val="baseline"/>
              <w:rPr>
                <w:rFonts w:eastAsia="Times New Roman" w:cs="Times New Roman"/>
                <w:noProof/>
              </w:rPr>
            </w:pPr>
            <w:r>
              <w:rPr>
                <w:noProof/>
              </w:rPr>
              <w:t>Étape/cible</w:t>
            </w:r>
          </w:p>
        </w:tc>
        <w:tc>
          <w:tcPr>
            <w:tcW w:w="3677" w:type="dxa"/>
            <w:shd w:val="clear" w:color="auto" w:fill="C6D9F1" w:themeFill="text2" w:themeFillTint="33"/>
            <w:hideMark/>
          </w:tcPr>
          <w:p w14:paraId="1216C684" w14:textId="77777777" w:rsidR="003C4798" w:rsidRDefault="00417595">
            <w:pPr>
              <w:pStyle w:val="P68B1DB1-Normal99"/>
              <w:spacing w:line="240" w:lineRule="auto"/>
              <w:ind w:right="45"/>
              <w:jc w:val="center"/>
              <w:textAlignment w:val="baseline"/>
              <w:rPr>
                <w:rFonts w:eastAsia="Times New Roman" w:cs="Times New Roman"/>
                <w:noProof/>
              </w:rPr>
            </w:pPr>
            <w:r>
              <w:rPr>
                <w:noProof/>
              </w:rPr>
              <w:t>Nom</w:t>
            </w:r>
          </w:p>
        </w:tc>
      </w:tr>
      <w:tr w:rsidR="003C4798" w14:paraId="1216C68A" w14:textId="77777777">
        <w:trPr>
          <w:trHeight w:val="300"/>
          <w:jc w:val="center"/>
        </w:trPr>
        <w:tc>
          <w:tcPr>
            <w:tcW w:w="1268" w:type="dxa"/>
            <w:shd w:val="clear" w:color="auto" w:fill="C6EFCE"/>
            <w:hideMark/>
          </w:tcPr>
          <w:p w14:paraId="1216C686" w14:textId="77777777" w:rsidR="003C4798" w:rsidRDefault="00417595">
            <w:pPr>
              <w:pStyle w:val="P68B1DB1-Normal85"/>
              <w:spacing w:line="240" w:lineRule="auto"/>
              <w:jc w:val="center"/>
              <w:rPr>
                <w:rFonts w:eastAsia="Times New Roman" w:cs="Times New Roman"/>
                <w:noProof/>
              </w:rPr>
            </w:pPr>
            <w:r>
              <w:rPr>
                <w:noProof/>
              </w:rPr>
              <w:t xml:space="preserve">A7G </w:t>
            </w:r>
          </w:p>
        </w:tc>
        <w:tc>
          <w:tcPr>
            <w:tcW w:w="3402" w:type="dxa"/>
            <w:shd w:val="clear" w:color="auto" w:fill="C6EFCE"/>
            <w:hideMark/>
          </w:tcPr>
          <w:p w14:paraId="1216C687" w14:textId="47AD8041" w:rsidR="003C4798" w:rsidRDefault="00417595">
            <w:pPr>
              <w:pStyle w:val="P68B1DB1-Normal87"/>
              <w:spacing w:line="240" w:lineRule="auto"/>
              <w:rPr>
                <w:noProof/>
              </w:rPr>
            </w:pPr>
            <w:r>
              <w:rPr>
                <w:noProof/>
              </w:rPr>
              <w:t>A1.2.1 Projets visant à diversifier ou à développer les activités commerciales</w:t>
            </w:r>
          </w:p>
        </w:tc>
        <w:tc>
          <w:tcPr>
            <w:tcW w:w="1276" w:type="dxa"/>
            <w:shd w:val="clear" w:color="auto" w:fill="C6EFCE"/>
            <w:hideMark/>
          </w:tcPr>
          <w:p w14:paraId="1216C688" w14:textId="77777777" w:rsidR="003C4798" w:rsidRDefault="00417595">
            <w:pPr>
              <w:pStyle w:val="P68B1DB1-Normal87"/>
              <w:spacing w:line="240" w:lineRule="auto"/>
              <w:jc w:val="center"/>
              <w:rPr>
                <w:noProof/>
              </w:rPr>
            </w:pPr>
            <w:r>
              <w:rPr>
                <w:noProof/>
              </w:rPr>
              <w:t>Objectif</w:t>
            </w:r>
          </w:p>
        </w:tc>
        <w:tc>
          <w:tcPr>
            <w:tcW w:w="3677" w:type="dxa"/>
            <w:shd w:val="clear" w:color="auto" w:fill="C6EFCE"/>
            <w:hideMark/>
          </w:tcPr>
          <w:p w14:paraId="1216C689" w14:textId="77777777" w:rsidR="003C4798" w:rsidRDefault="00417595">
            <w:pPr>
              <w:pStyle w:val="P68B1DB1-Normal87"/>
              <w:spacing w:line="240" w:lineRule="auto"/>
              <w:rPr>
                <w:noProof/>
              </w:rPr>
            </w:pPr>
            <w:r>
              <w:rPr>
                <w:noProof/>
              </w:rPr>
              <w:t>Entreprises des secteurs HoReCa, de la culture ou du tourisme ayant signé des contrats pour des projets de diversification de leurs activités</w:t>
            </w:r>
          </w:p>
        </w:tc>
      </w:tr>
      <w:tr w:rsidR="003C4798" w14:paraId="1216C68F" w14:textId="77777777">
        <w:trPr>
          <w:trHeight w:val="300"/>
          <w:jc w:val="center"/>
        </w:trPr>
        <w:tc>
          <w:tcPr>
            <w:tcW w:w="1268" w:type="dxa"/>
            <w:shd w:val="clear" w:color="auto" w:fill="C6EFCE"/>
            <w:hideMark/>
          </w:tcPr>
          <w:p w14:paraId="1216C68B" w14:textId="77777777" w:rsidR="003C4798" w:rsidRDefault="00417595">
            <w:pPr>
              <w:pStyle w:val="P68B1DB1-Normal85"/>
              <w:spacing w:line="240" w:lineRule="auto"/>
              <w:ind w:right="45"/>
              <w:jc w:val="center"/>
              <w:textAlignment w:val="baseline"/>
              <w:rPr>
                <w:rFonts w:eastAsia="Times New Roman" w:cs="Times New Roman"/>
                <w:noProof/>
              </w:rPr>
            </w:pPr>
            <w:r>
              <w:rPr>
                <w:noProof/>
              </w:rPr>
              <w:t xml:space="preserve">A52G </w:t>
            </w:r>
          </w:p>
        </w:tc>
        <w:tc>
          <w:tcPr>
            <w:tcW w:w="3402" w:type="dxa"/>
            <w:shd w:val="clear" w:color="auto" w:fill="C6EFCE"/>
            <w:hideMark/>
          </w:tcPr>
          <w:p w14:paraId="1216C68C" w14:textId="77777777" w:rsidR="003C4798" w:rsidRDefault="00417595">
            <w:pPr>
              <w:pStyle w:val="P68B1DB1-Normal85"/>
              <w:spacing w:line="240" w:lineRule="auto"/>
              <w:textAlignment w:val="baseline"/>
              <w:rPr>
                <w:rFonts w:eastAsia="Times New Roman" w:cs="Times New Roman"/>
                <w:noProof/>
              </w:rPr>
            </w:pPr>
            <w:r>
              <w:rPr>
                <w:noProof/>
              </w:rPr>
              <w:t>A4.1 Réformes structurelles des institutions du marché du travail</w:t>
            </w:r>
          </w:p>
        </w:tc>
        <w:tc>
          <w:tcPr>
            <w:tcW w:w="1276" w:type="dxa"/>
            <w:shd w:val="clear" w:color="auto" w:fill="C6EFCE"/>
            <w:hideMark/>
          </w:tcPr>
          <w:p w14:paraId="1216C68D" w14:textId="77777777" w:rsidR="003C4798" w:rsidRDefault="00417595">
            <w:pPr>
              <w:pStyle w:val="P68B1DB1-Normal85"/>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8E" w14:textId="77777777" w:rsidR="003C4798" w:rsidRDefault="00417595">
            <w:pPr>
              <w:pStyle w:val="P68B1DB1-Normal87"/>
              <w:spacing w:line="240" w:lineRule="auto"/>
              <w:textAlignment w:val="baseline"/>
              <w:rPr>
                <w:noProof/>
              </w:rPr>
            </w:pPr>
            <w:r>
              <w:rPr>
                <w:noProof/>
              </w:rPr>
              <w:t>Publication du plan de développement des services publics de l’emploi 2025-2027</w:t>
            </w:r>
          </w:p>
        </w:tc>
      </w:tr>
      <w:tr w:rsidR="003C4798" w14:paraId="1216C694" w14:textId="77777777">
        <w:trPr>
          <w:trHeight w:val="300"/>
          <w:jc w:val="center"/>
        </w:trPr>
        <w:tc>
          <w:tcPr>
            <w:tcW w:w="1268" w:type="dxa"/>
            <w:shd w:val="clear" w:color="auto" w:fill="C6EFCE"/>
            <w:hideMark/>
          </w:tcPr>
          <w:p w14:paraId="1216C690" w14:textId="77777777" w:rsidR="003C4798" w:rsidRDefault="00417595">
            <w:pPr>
              <w:pStyle w:val="P68B1DB1-Normal85"/>
              <w:spacing w:line="240" w:lineRule="auto"/>
              <w:ind w:right="45"/>
              <w:jc w:val="center"/>
              <w:textAlignment w:val="baseline"/>
              <w:rPr>
                <w:rFonts w:eastAsia="Times New Roman" w:cs="Times New Roman"/>
                <w:noProof/>
              </w:rPr>
            </w:pPr>
            <w:r>
              <w:rPr>
                <w:noProof/>
              </w:rPr>
              <w:t xml:space="preserve">A54G </w:t>
            </w:r>
          </w:p>
        </w:tc>
        <w:tc>
          <w:tcPr>
            <w:tcW w:w="3402" w:type="dxa"/>
            <w:shd w:val="clear" w:color="auto" w:fill="C6EFCE"/>
            <w:hideMark/>
          </w:tcPr>
          <w:p w14:paraId="1216C691" w14:textId="77777777" w:rsidR="003C4798" w:rsidRDefault="00417595">
            <w:pPr>
              <w:pStyle w:val="P68B1DB1-Normal85"/>
              <w:spacing w:line="240" w:lineRule="auto"/>
              <w:textAlignment w:val="baseline"/>
              <w:rPr>
                <w:rFonts w:eastAsia="Times New Roman" w:cs="Times New Roman"/>
                <w:noProof/>
              </w:rPr>
            </w:pPr>
            <w:r>
              <w:rPr>
                <w:noProof/>
              </w:rPr>
              <w:t>A4.1 Réformes structurelles des institutions du marché du travail</w:t>
            </w:r>
          </w:p>
        </w:tc>
        <w:tc>
          <w:tcPr>
            <w:tcW w:w="1276" w:type="dxa"/>
            <w:shd w:val="clear" w:color="auto" w:fill="C6EFCE"/>
            <w:hideMark/>
          </w:tcPr>
          <w:p w14:paraId="1216C692" w14:textId="77777777" w:rsidR="003C4798" w:rsidRDefault="00417595">
            <w:pPr>
              <w:pStyle w:val="P68B1DB1-Normal85"/>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93" w14:textId="77777777" w:rsidR="003C4798" w:rsidRDefault="00417595">
            <w:pPr>
              <w:pStyle w:val="P68B1DB1-Normal87"/>
              <w:spacing w:line="240" w:lineRule="auto"/>
              <w:textAlignment w:val="baseline"/>
              <w:rPr>
                <w:noProof/>
              </w:rPr>
            </w:pPr>
            <w:r>
              <w:rPr>
                <w:noProof/>
              </w:rPr>
              <w:t>Entrée en vigueur de la ou des lois pertinentes tenant compte des résultats de la consultation sur les conventions collectives et de l’étude sur un contrat de travail unique en Pologne</w:t>
            </w:r>
          </w:p>
        </w:tc>
      </w:tr>
      <w:tr w:rsidR="003C4798" w14:paraId="1216C699" w14:textId="77777777">
        <w:trPr>
          <w:trHeight w:val="300"/>
          <w:jc w:val="center"/>
        </w:trPr>
        <w:tc>
          <w:tcPr>
            <w:tcW w:w="1268" w:type="dxa"/>
            <w:shd w:val="clear" w:color="auto" w:fill="C6EFCE"/>
          </w:tcPr>
          <w:p w14:paraId="1216C695" w14:textId="77777777" w:rsidR="003C4798" w:rsidRDefault="00417595">
            <w:pPr>
              <w:pStyle w:val="P68B1DB1-Normal85"/>
              <w:spacing w:line="240" w:lineRule="auto"/>
              <w:ind w:right="45"/>
              <w:jc w:val="center"/>
              <w:textAlignment w:val="baseline"/>
              <w:rPr>
                <w:noProof/>
              </w:rPr>
            </w:pPr>
            <w:r>
              <w:rPr>
                <w:noProof/>
              </w:rPr>
              <w:t>C5aG</w:t>
            </w:r>
          </w:p>
        </w:tc>
        <w:tc>
          <w:tcPr>
            <w:tcW w:w="3402" w:type="dxa"/>
            <w:shd w:val="clear" w:color="auto" w:fill="C6EFCE"/>
          </w:tcPr>
          <w:p w14:paraId="1216C696" w14:textId="77777777" w:rsidR="003C4798" w:rsidRDefault="00417595">
            <w:pPr>
              <w:pStyle w:val="P68B1DB1-Normal85"/>
              <w:spacing w:line="240" w:lineRule="auto"/>
              <w:textAlignment w:val="baseline"/>
              <w:rPr>
                <w:rFonts w:eastAsia="Times New Roman" w:cs="Times New Roman"/>
                <w:noProof/>
              </w:rPr>
            </w:pPr>
            <w:r>
              <w:rPr>
                <w:noProof/>
              </w:rPr>
              <w:t>C1.1.1 Accès au réseau à haut débit</w:t>
            </w:r>
          </w:p>
        </w:tc>
        <w:tc>
          <w:tcPr>
            <w:tcW w:w="1276" w:type="dxa"/>
            <w:shd w:val="clear" w:color="auto" w:fill="C6EFCE"/>
          </w:tcPr>
          <w:p w14:paraId="1216C697" w14:textId="77777777" w:rsidR="003C4798" w:rsidRDefault="00417595">
            <w:pPr>
              <w:pStyle w:val="P68B1DB1-Normal85"/>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98" w14:textId="77777777" w:rsidR="003C4798" w:rsidRDefault="00417595">
            <w:pPr>
              <w:pStyle w:val="P68B1DB1-Normal87"/>
              <w:spacing w:after="0" w:line="240" w:lineRule="auto"/>
              <w:textAlignment w:val="baseline"/>
              <w:rPr>
                <w:noProof/>
              </w:rPr>
            </w:pPr>
            <w:r>
              <w:rPr>
                <w:noProof/>
              </w:rPr>
              <w:t>Contrats signés avec des fournisseurs de haut débit</w:t>
            </w:r>
          </w:p>
        </w:tc>
      </w:tr>
      <w:tr w:rsidR="003C4798" w14:paraId="1216C69E" w14:textId="77777777">
        <w:trPr>
          <w:trHeight w:val="300"/>
          <w:jc w:val="center"/>
        </w:trPr>
        <w:tc>
          <w:tcPr>
            <w:tcW w:w="1268" w:type="dxa"/>
            <w:shd w:val="clear" w:color="auto" w:fill="C6EFCE"/>
            <w:hideMark/>
          </w:tcPr>
          <w:p w14:paraId="1216C69A" w14:textId="77777777" w:rsidR="003C4798" w:rsidRDefault="00417595">
            <w:pPr>
              <w:pStyle w:val="P68B1DB1-Normal85"/>
              <w:spacing w:line="240" w:lineRule="auto"/>
              <w:ind w:right="45"/>
              <w:jc w:val="center"/>
              <w:textAlignment w:val="baseline"/>
              <w:rPr>
                <w:rFonts w:eastAsia="Times New Roman" w:cs="Times New Roman"/>
                <w:noProof/>
              </w:rPr>
            </w:pPr>
            <w:r>
              <w:rPr>
                <w:noProof/>
              </w:rPr>
              <w:t xml:space="preserve">C7G </w:t>
            </w:r>
          </w:p>
        </w:tc>
        <w:tc>
          <w:tcPr>
            <w:tcW w:w="3402" w:type="dxa"/>
            <w:shd w:val="clear" w:color="auto" w:fill="C6EFCE"/>
            <w:hideMark/>
          </w:tcPr>
          <w:p w14:paraId="1216C69B" w14:textId="77777777" w:rsidR="003C4798" w:rsidRDefault="00417595">
            <w:pPr>
              <w:pStyle w:val="P68B1DB1-Normal85"/>
              <w:spacing w:line="240" w:lineRule="auto"/>
              <w:textAlignment w:val="baseline"/>
              <w:rPr>
                <w:rFonts w:eastAsia="Times New Roman" w:cs="Times New Roman"/>
                <w:noProof/>
              </w:rPr>
            </w:pPr>
            <w:r>
              <w:rPr>
                <w:noProof/>
              </w:rPr>
              <w:t>C2.1 Développer les applications numériques dans la sphère publique, l'économie et la société</w:t>
            </w:r>
          </w:p>
        </w:tc>
        <w:tc>
          <w:tcPr>
            <w:tcW w:w="1276" w:type="dxa"/>
            <w:shd w:val="clear" w:color="auto" w:fill="C6EFCE"/>
            <w:hideMark/>
          </w:tcPr>
          <w:p w14:paraId="1216C69C" w14:textId="77777777" w:rsidR="003C4798" w:rsidRDefault="00417595">
            <w:pPr>
              <w:pStyle w:val="P68B1DB1-Normal85"/>
              <w:spacing w:line="240" w:lineRule="auto"/>
              <w:ind w:right="45"/>
              <w:jc w:val="center"/>
              <w:textAlignment w:val="baseline"/>
              <w:rPr>
                <w:rFonts w:eastAsia="Times New Roman" w:cs="Times New Roman"/>
                <w:noProof/>
              </w:rPr>
            </w:pPr>
            <w:r>
              <w:rPr>
                <w:noProof/>
              </w:rPr>
              <w:t>Étape</w:t>
            </w:r>
          </w:p>
        </w:tc>
        <w:tc>
          <w:tcPr>
            <w:tcW w:w="3677" w:type="dxa"/>
            <w:shd w:val="clear" w:color="auto" w:fill="C6EFCE"/>
            <w:hideMark/>
          </w:tcPr>
          <w:p w14:paraId="1216C69D" w14:textId="77777777" w:rsidR="003C4798" w:rsidRDefault="00417595">
            <w:pPr>
              <w:pStyle w:val="P68B1DB1-Normal87"/>
              <w:spacing w:line="240" w:lineRule="auto"/>
              <w:textAlignment w:val="baseline"/>
              <w:rPr>
                <w:noProof/>
              </w:rPr>
            </w:pPr>
            <w:r>
              <w:rPr>
                <w:noProof/>
              </w:rPr>
              <w:t>Informatisation des activités des entités exécutant des missions publiques</w:t>
            </w:r>
          </w:p>
        </w:tc>
      </w:tr>
      <w:tr w:rsidR="003C4798" w14:paraId="1216C6A3" w14:textId="77777777">
        <w:trPr>
          <w:trHeight w:val="300"/>
          <w:jc w:val="center"/>
        </w:trPr>
        <w:tc>
          <w:tcPr>
            <w:tcW w:w="1268" w:type="dxa"/>
            <w:shd w:val="clear" w:color="auto" w:fill="C6EFCE"/>
          </w:tcPr>
          <w:p w14:paraId="1216C69F" w14:textId="77777777" w:rsidR="003C4798" w:rsidRDefault="00417595">
            <w:pPr>
              <w:pStyle w:val="P68B1DB1-Normal85"/>
              <w:spacing w:line="240" w:lineRule="auto"/>
              <w:ind w:right="45"/>
              <w:jc w:val="center"/>
              <w:textAlignment w:val="baseline"/>
              <w:rPr>
                <w:noProof/>
              </w:rPr>
            </w:pPr>
            <w:r>
              <w:rPr>
                <w:noProof/>
              </w:rPr>
              <w:t>C8G</w:t>
            </w:r>
          </w:p>
        </w:tc>
        <w:tc>
          <w:tcPr>
            <w:tcW w:w="3402" w:type="dxa"/>
            <w:shd w:val="clear" w:color="auto" w:fill="C6EFCE"/>
          </w:tcPr>
          <w:p w14:paraId="1216C6A0" w14:textId="77777777" w:rsidR="003C4798" w:rsidRDefault="00417595">
            <w:pPr>
              <w:pStyle w:val="P68B1DB1-Normal85"/>
              <w:spacing w:line="240" w:lineRule="auto"/>
              <w:textAlignment w:val="baseline"/>
              <w:rPr>
                <w:rFonts w:eastAsia="Times New Roman" w:cs="Times New Roman"/>
                <w:noProof/>
              </w:rPr>
            </w:pPr>
            <w:r>
              <w:rPr>
                <w:noProof/>
              </w:rPr>
              <w:t>C2.1 Développer les applications numériques dans la sphère publique, l'économie et la société</w:t>
            </w:r>
          </w:p>
        </w:tc>
        <w:tc>
          <w:tcPr>
            <w:tcW w:w="1276" w:type="dxa"/>
            <w:shd w:val="clear" w:color="auto" w:fill="C6EFCE"/>
          </w:tcPr>
          <w:p w14:paraId="1216C6A1" w14:textId="77777777" w:rsidR="003C4798" w:rsidRDefault="00417595">
            <w:pPr>
              <w:pStyle w:val="P68B1DB1-Normal85"/>
              <w:spacing w:line="240" w:lineRule="auto"/>
              <w:ind w:right="45"/>
              <w:jc w:val="center"/>
              <w:textAlignment w:val="baseline"/>
              <w:rPr>
                <w:noProof/>
              </w:rPr>
            </w:pPr>
            <w:r>
              <w:rPr>
                <w:noProof/>
              </w:rPr>
              <w:t>Étape</w:t>
            </w:r>
          </w:p>
        </w:tc>
        <w:tc>
          <w:tcPr>
            <w:tcW w:w="3677" w:type="dxa"/>
            <w:shd w:val="clear" w:color="auto" w:fill="C6EFCE"/>
          </w:tcPr>
          <w:p w14:paraId="1216C6A2" w14:textId="77777777" w:rsidR="003C4798" w:rsidRDefault="00417595">
            <w:pPr>
              <w:pStyle w:val="P68B1DB1-Normal87"/>
              <w:spacing w:line="240" w:lineRule="auto"/>
              <w:textAlignment w:val="baseline"/>
              <w:rPr>
                <w:noProof/>
              </w:rPr>
            </w:pPr>
            <w:r>
              <w:rPr>
                <w:noProof/>
              </w:rPr>
              <w:t>Utilisation de factures structurées</w:t>
            </w:r>
          </w:p>
        </w:tc>
      </w:tr>
      <w:tr w:rsidR="003C4798" w14:paraId="1216C6A8" w14:textId="77777777">
        <w:trPr>
          <w:trHeight w:val="300"/>
          <w:jc w:val="center"/>
        </w:trPr>
        <w:tc>
          <w:tcPr>
            <w:tcW w:w="1268" w:type="dxa"/>
            <w:shd w:val="clear" w:color="auto" w:fill="C6EFCE"/>
            <w:hideMark/>
          </w:tcPr>
          <w:p w14:paraId="1216C6A4" w14:textId="77777777" w:rsidR="003C4798" w:rsidRDefault="00417595">
            <w:pPr>
              <w:pStyle w:val="P68B1DB1-Normal85"/>
              <w:spacing w:line="240" w:lineRule="auto"/>
              <w:ind w:right="45"/>
              <w:jc w:val="center"/>
              <w:textAlignment w:val="baseline"/>
              <w:rPr>
                <w:rFonts w:eastAsia="Times New Roman" w:cs="Times New Roman"/>
                <w:noProof/>
              </w:rPr>
            </w:pPr>
            <w:r>
              <w:rPr>
                <w:noProof/>
              </w:rPr>
              <w:t xml:space="preserve">C21G </w:t>
            </w:r>
          </w:p>
        </w:tc>
        <w:tc>
          <w:tcPr>
            <w:tcW w:w="3402" w:type="dxa"/>
            <w:shd w:val="clear" w:color="auto" w:fill="C6EFCE"/>
            <w:hideMark/>
          </w:tcPr>
          <w:p w14:paraId="1216C6A5" w14:textId="77777777" w:rsidR="003C4798" w:rsidRDefault="00417595">
            <w:pPr>
              <w:pStyle w:val="P68B1DB1-Normal85"/>
              <w:spacing w:line="240" w:lineRule="auto"/>
              <w:textAlignment w:val="baseline"/>
              <w:rPr>
                <w:rFonts w:eastAsia="Times New Roman" w:cs="Times New Roman"/>
                <w:noProof/>
              </w:rPr>
            </w:pPr>
            <w:r>
              <w:rPr>
                <w:noProof/>
              </w:rPr>
              <w:t>C3.1 Renforcer la cybersécurité</w:t>
            </w:r>
          </w:p>
        </w:tc>
        <w:tc>
          <w:tcPr>
            <w:tcW w:w="1276" w:type="dxa"/>
            <w:shd w:val="clear" w:color="auto" w:fill="C6EFCE"/>
            <w:hideMark/>
          </w:tcPr>
          <w:p w14:paraId="1216C6A6" w14:textId="77777777" w:rsidR="003C4798" w:rsidRDefault="00417595">
            <w:pPr>
              <w:pStyle w:val="P68B1DB1-Normal85"/>
              <w:spacing w:line="240" w:lineRule="auto"/>
              <w:ind w:right="45"/>
              <w:jc w:val="center"/>
              <w:textAlignment w:val="baseline"/>
              <w:rPr>
                <w:rFonts w:eastAsia="Times New Roman" w:cs="Times New Roman"/>
                <w:noProof/>
              </w:rPr>
            </w:pPr>
            <w:r>
              <w:rPr>
                <w:noProof/>
              </w:rPr>
              <w:t>Étape</w:t>
            </w:r>
          </w:p>
        </w:tc>
        <w:tc>
          <w:tcPr>
            <w:tcW w:w="3677" w:type="dxa"/>
            <w:shd w:val="clear" w:color="auto" w:fill="C6EFCE"/>
            <w:hideMark/>
          </w:tcPr>
          <w:p w14:paraId="1216C6A7" w14:textId="77777777" w:rsidR="003C4798" w:rsidRDefault="00417595">
            <w:pPr>
              <w:pStyle w:val="P68B1DB1-Normal87"/>
              <w:spacing w:line="240" w:lineRule="auto"/>
              <w:rPr>
                <w:b/>
                <w:noProof/>
              </w:rPr>
            </w:pPr>
            <w:r>
              <w:rPr>
                <w:noProof/>
              </w:rPr>
              <w:t>Modification de la loi sur la cybersécurité</w:t>
            </w:r>
          </w:p>
        </w:tc>
      </w:tr>
      <w:tr w:rsidR="003C4798" w14:paraId="1216C6AD" w14:textId="77777777">
        <w:trPr>
          <w:trHeight w:val="300"/>
          <w:jc w:val="center"/>
        </w:trPr>
        <w:tc>
          <w:tcPr>
            <w:tcW w:w="1268" w:type="dxa"/>
            <w:shd w:val="clear" w:color="auto" w:fill="C6EFCE"/>
            <w:hideMark/>
          </w:tcPr>
          <w:p w14:paraId="1216C6A9" w14:textId="77777777" w:rsidR="003C4798" w:rsidRDefault="00417595">
            <w:pPr>
              <w:pStyle w:val="P68B1DB1-Normal85"/>
              <w:spacing w:line="240" w:lineRule="auto"/>
              <w:jc w:val="center"/>
              <w:textAlignment w:val="baseline"/>
              <w:rPr>
                <w:rFonts w:eastAsia="Times New Roman" w:cs="Times New Roman"/>
                <w:noProof/>
              </w:rPr>
            </w:pPr>
            <w:r>
              <w:rPr>
                <w:noProof/>
              </w:rPr>
              <w:t xml:space="preserve">D1G </w:t>
            </w:r>
          </w:p>
        </w:tc>
        <w:tc>
          <w:tcPr>
            <w:tcW w:w="3402" w:type="dxa"/>
            <w:shd w:val="clear" w:color="auto" w:fill="C6EFCE"/>
            <w:hideMark/>
          </w:tcPr>
          <w:p w14:paraId="1216C6AA" w14:textId="77777777" w:rsidR="003C4798" w:rsidRDefault="00417595">
            <w:pPr>
              <w:pStyle w:val="P68B1DB1-Normal85"/>
              <w:spacing w:line="240" w:lineRule="auto"/>
              <w:textAlignment w:val="baseline"/>
              <w:rPr>
                <w:rFonts w:eastAsia="Times New Roman" w:cs="Times New Roman"/>
                <w:noProof/>
              </w:rPr>
            </w:pPr>
            <w:r>
              <w:rPr>
                <w:noProof/>
              </w:rPr>
              <w:t>D1.1 Améliorer l'efficacité, l'accessibilité et la qualité des services de santé</w:t>
            </w:r>
          </w:p>
        </w:tc>
        <w:tc>
          <w:tcPr>
            <w:tcW w:w="1276" w:type="dxa"/>
            <w:shd w:val="clear" w:color="auto" w:fill="C6EFCE"/>
            <w:hideMark/>
          </w:tcPr>
          <w:p w14:paraId="1216C6AB" w14:textId="77777777" w:rsidR="003C4798" w:rsidRDefault="00417595">
            <w:pPr>
              <w:pStyle w:val="P68B1DB1-Normal85"/>
              <w:spacing w:line="240" w:lineRule="auto"/>
              <w:ind w:left="-2"/>
              <w:jc w:val="center"/>
              <w:textAlignment w:val="baseline"/>
              <w:rPr>
                <w:rFonts w:eastAsia="Times New Roman" w:cs="Times New Roman"/>
                <w:noProof/>
              </w:rPr>
            </w:pPr>
            <w:r>
              <w:rPr>
                <w:noProof/>
              </w:rPr>
              <w:t>Étape</w:t>
            </w:r>
          </w:p>
        </w:tc>
        <w:tc>
          <w:tcPr>
            <w:tcW w:w="3677" w:type="dxa"/>
            <w:shd w:val="clear" w:color="auto" w:fill="C6EFCE"/>
            <w:hideMark/>
          </w:tcPr>
          <w:p w14:paraId="1216C6AC" w14:textId="77777777" w:rsidR="003C4798" w:rsidRDefault="00417595">
            <w:pPr>
              <w:pStyle w:val="P68B1DB1-Normal87"/>
              <w:spacing w:line="240" w:lineRule="auto"/>
              <w:textAlignment w:val="baseline"/>
              <w:rPr>
                <w:noProof/>
              </w:rPr>
            </w:pPr>
            <w:r>
              <w:rPr>
                <w:noProof/>
              </w:rPr>
              <w:t>Entrée en vigueur des actes juridiques relatifs à la rationalisation de la structure des prestations de soins de santé dans le domaine concerné</w:t>
            </w:r>
          </w:p>
        </w:tc>
      </w:tr>
      <w:tr w:rsidR="003C4798" w14:paraId="1216C6B2" w14:textId="77777777">
        <w:trPr>
          <w:trHeight w:val="300"/>
          <w:jc w:val="center"/>
        </w:trPr>
        <w:tc>
          <w:tcPr>
            <w:tcW w:w="1268" w:type="dxa"/>
            <w:shd w:val="clear" w:color="auto" w:fill="C6EFCE"/>
            <w:hideMark/>
          </w:tcPr>
          <w:p w14:paraId="1216C6AE"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D5G </w:t>
            </w:r>
          </w:p>
        </w:tc>
        <w:tc>
          <w:tcPr>
            <w:tcW w:w="3402" w:type="dxa"/>
            <w:shd w:val="clear" w:color="auto" w:fill="C6EFCE"/>
            <w:hideMark/>
          </w:tcPr>
          <w:p w14:paraId="1216C6AF" w14:textId="77777777" w:rsidR="003C4798" w:rsidRDefault="00417595">
            <w:pPr>
              <w:pStyle w:val="P68B1DB1-Normal85"/>
              <w:spacing w:line="240" w:lineRule="auto"/>
              <w:textAlignment w:val="baseline"/>
              <w:rPr>
                <w:rFonts w:eastAsia="Times New Roman" w:cs="Times New Roman"/>
                <w:noProof/>
              </w:rPr>
            </w:pPr>
            <w:r>
              <w:rPr>
                <w:noProof/>
              </w:rPr>
              <w:t>D1.1 Améliorer l'efficacité, l'accessibilité et la qualité des services de santé</w:t>
            </w:r>
          </w:p>
        </w:tc>
        <w:tc>
          <w:tcPr>
            <w:tcW w:w="1276" w:type="dxa"/>
            <w:shd w:val="clear" w:color="auto" w:fill="C6EFCE"/>
            <w:hideMark/>
          </w:tcPr>
          <w:p w14:paraId="1216C6B0" w14:textId="77777777" w:rsidR="003C4798" w:rsidRDefault="00417595">
            <w:pPr>
              <w:pStyle w:val="P68B1DB1-Normal85"/>
              <w:spacing w:line="240" w:lineRule="auto"/>
              <w:ind w:left="-2"/>
              <w:jc w:val="center"/>
              <w:textAlignment w:val="baseline"/>
              <w:rPr>
                <w:rFonts w:eastAsia="Times New Roman" w:cs="Times New Roman"/>
                <w:noProof/>
              </w:rPr>
            </w:pPr>
            <w:r>
              <w:rPr>
                <w:noProof/>
              </w:rPr>
              <w:t>Étape</w:t>
            </w:r>
          </w:p>
        </w:tc>
        <w:tc>
          <w:tcPr>
            <w:tcW w:w="3677" w:type="dxa"/>
            <w:shd w:val="clear" w:color="auto" w:fill="C6EFCE"/>
            <w:hideMark/>
          </w:tcPr>
          <w:p w14:paraId="1216C6B1" w14:textId="77777777" w:rsidR="003C4798" w:rsidRDefault="00417595">
            <w:pPr>
              <w:pStyle w:val="P68B1DB1-Normal87"/>
              <w:spacing w:line="240" w:lineRule="auto"/>
              <w:textAlignment w:val="baseline"/>
              <w:rPr>
                <w:noProof/>
              </w:rPr>
            </w:pPr>
            <w:r>
              <w:rPr>
                <w:noProof/>
              </w:rPr>
              <w:t>Entrée en vigueur de la loi portant création du Réseau national de cardiologie</w:t>
            </w:r>
          </w:p>
        </w:tc>
      </w:tr>
      <w:tr w:rsidR="003C4798" w14:paraId="1216C6B7" w14:textId="77777777">
        <w:trPr>
          <w:trHeight w:val="300"/>
          <w:jc w:val="center"/>
        </w:trPr>
        <w:tc>
          <w:tcPr>
            <w:tcW w:w="1268" w:type="dxa"/>
            <w:shd w:val="clear" w:color="auto" w:fill="C6EFCE"/>
          </w:tcPr>
          <w:p w14:paraId="1216C6B3" w14:textId="77777777" w:rsidR="003C4798" w:rsidRDefault="00417595">
            <w:pPr>
              <w:pStyle w:val="P68B1DB1-Normal85"/>
              <w:spacing w:line="240" w:lineRule="auto"/>
              <w:ind w:right="45"/>
              <w:jc w:val="center"/>
              <w:textAlignment w:val="baseline"/>
              <w:rPr>
                <w:noProof/>
              </w:rPr>
            </w:pPr>
            <w:r>
              <w:rPr>
                <w:noProof/>
              </w:rPr>
              <w:t>E1G</w:t>
            </w:r>
          </w:p>
        </w:tc>
        <w:tc>
          <w:tcPr>
            <w:tcW w:w="3402" w:type="dxa"/>
            <w:shd w:val="clear" w:color="auto" w:fill="C6EFCE"/>
          </w:tcPr>
          <w:p w14:paraId="1216C6B4" w14:textId="77777777" w:rsidR="003C4798" w:rsidRDefault="00417595">
            <w:pPr>
              <w:pStyle w:val="P68B1DB1-Normal85"/>
              <w:spacing w:line="240" w:lineRule="auto"/>
              <w:textAlignment w:val="baseline"/>
              <w:rPr>
                <w:rFonts w:eastAsia="Times New Roman" w:cs="Times New Roman"/>
                <w:noProof/>
              </w:rPr>
            </w:pPr>
            <w:r>
              <w:rPr>
                <w:noProof/>
              </w:rPr>
              <w:t>E1.1 Augmentation de l ' utilisation de moyens de transport respectueux de l ' environnement</w:t>
            </w:r>
          </w:p>
        </w:tc>
        <w:tc>
          <w:tcPr>
            <w:tcW w:w="1276" w:type="dxa"/>
            <w:shd w:val="clear" w:color="auto" w:fill="C6EFCE"/>
          </w:tcPr>
          <w:p w14:paraId="1216C6B5" w14:textId="77777777" w:rsidR="003C4798" w:rsidRDefault="00417595">
            <w:pPr>
              <w:pStyle w:val="P68B1DB1-Normal85"/>
              <w:spacing w:line="240" w:lineRule="auto"/>
              <w:ind w:left="-2"/>
              <w:jc w:val="center"/>
              <w:textAlignment w:val="baseline"/>
              <w:rPr>
                <w:strike/>
                <w:noProof/>
              </w:rPr>
            </w:pPr>
            <w:r>
              <w:rPr>
                <w:noProof/>
              </w:rPr>
              <w:t>Étape</w:t>
            </w:r>
          </w:p>
        </w:tc>
        <w:tc>
          <w:tcPr>
            <w:tcW w:w="3677" w:type="dxa"/>
            <w:shd w:val="clear" w:color="auto" w:fill="C6EFCE"/>
          </w:tcPr>
          <w:p w14:paraId="1216C6B6" w14:textId="77777777" w:rsidR="003C4798" w:rsidRDefault="00417595">
            <w:pPr>
              <w:pStyle w:val="P68B1DB1-Normal87"/>
              <w:spacing w:line="240" w:lineRule="auto"/>
              <w:textAlignment w:val="baseline"/>
              <w:rPr>
                <w:strike/>
                <w:noProof/>
              </w:rPr>
            </w:pPr>
            <w:r>
              <w:rPr>
                <w:noProof/>
              </w:rPr>
              <w:t>Entrée en vigueur d’une loi sur l’achat d’autobus à émissions nulles</w:t>
            </w:r>
          </w:p>
        </w:tc>
      </w:tr>
      <w:tr w:rsidR="003C4798" w14:paraId="1216C6BC" w14:textId="77777777">
        <w:trPr>
          <w:trHeight w:val="300"/>
          <w:jc w:val="center"/>
        </w:trPr>
        <w:tc>
          <w:tcPr>
            <w:tcW w:w="1268" w:type="dxa"/>
            <w:shd w:val="clear" w:color="auto" w:fill="C6EFCE"/>
            <w:hideMark/>
          </w:tcPr>
          <w:p w14:paraId="1216C6B8" w14:textId="77777777" w:rsidR="003C4798" w:rsidRDefault="00417595">
            <w:pPr>
              <w:pStyle w:val="P68B1DB1-Normal85"/>
              <w:spacing w:line="240" w:lineRule="auto"/>
              <w:ind w:right="45"/>
              <w:jc w:val="center"/>
              <w:textAlignment w:val="baseline"/>
              <w:rPr>
                <w:rFonts w:eastAsia="Times New Roman" w:cs="Times New Roman"/>
                <w:noProof/>
              </w:rPr>
            </w:pPr>
            <w:r>
              <w:rPr>
                <w:noProof/>
              </w:rPr>
              <w:t>E4aG </w:t>
            </w:r>
          </w:p>
        </w:tc>
        <w:tc>
          <w:tcPr>
            <w:tcW w:w="3402" w:type="dxa"/>
            <w:shd w:val="clear" w:color="auto" w:fill="C6EFCE"/>
            <w:hideMark/>
          </w:tcPr>
          <w:p w14:paraId="1216C6B9" w14:textId="77777777" w:rsidR="003C4798" w:rsidRDefault="00417595">
            <w:pPr>
              <w:pStyle w:val="P68B1DB1-Normal85"/>
              <w:spacing w:line="240" w:lineRule="auto"/>
              <w:textAlignment w:val="baseline"/>
              <w:rPr>
                <w:rFonts w:eastAsia="Times New Roman" w:cs="Times New Roman"/>
                <w:noProof/>
              </w:rPr>
            </w:pPr>
            <w:r>
              <w:rPr>
                <w:noProof/>
              </w:rPr>
              <w:t>E1.1. Accroissement de l'utilisation de transports respectueux de l'environnement</w:t>
            </w:r>
          </w:p>
        </w:tc>
        <w:tc>
          <w:tcPr>
            <w:tcW w:w="1276" w:type="dxa"/>
            <w:shd w:val="clear" w:color="auto" w:fill="C6EFCE"/>
            <w:hideMark/>
          </w:tcPr>
          <w:p w14:paraId="1216C6BA" w14:textId="77777777" w:rsidR="003C4798" w:rsidRDefault="00417595">
            <w:pPr>
              <w:pStyle w:val="P68B1DB1-Normal85"/>
              <w:spacing w:line="240" w:lineRule="auto"/>
              <w:ind w:right="45"/>
              <w:jc w:val="center"/>
              <w:textAlignment w:val="baseline"/>
              <w:rPr>
                <w:rFonts w:eastAsia="Times New Roman" w:cs="Times New Roman"/>
                <w:noProof/>
              </w:rPr>
            </w:pPr>
            <w:r>
              <w:rPr>
                <w:noProof/>
              </w:rPr>
              <w:t>Étape</w:t>
            </w:r>
          </w:p>
        </w:tc>
        <w:tc>
          <w:tcPr>
            <w:tcW w:w="3677" w:type="dxa"/>
            <w:shd w:val="clear" w:color="auto" w:fill="C6EFCE"/>
            <w:hideMark/>
          </w:tcPr>
          <w:p w14:paraId="1216C6BB" w14:textId="77777777" w:rsidR="003C4798" w:rsidRDefault="00417595">
            <w:pPr>
              <w:pStyle w:val="P68B1DB1-Normal87"/>
              <w:spacing w:line="240" w:lineRule="auto"/>
              <w:textAlignment w:val="baseline"/>
              <w:rPr>
                <w:noProof/>
              </w:rPr>
            </w:pPr>
            <w:r>
              <w:rPr>
                <w:noProof/>
              </w:rPr>
              <w:t>Régime de subventions pour l’aide aux véhicules électriques</w:t>
            </w:r>
          </w:p>
        </w:tc>
      </w:tr>
      <w:tr w:rsidR="003C4798" w14:paraId="1216C6C1" w14:textId="77777777">
        <w:trPr>
          <w:trHeight w:val="300"/>
          <w:jc w:val="center"/>
        </w:trPr>
        <w:tc>
          <w:tcPr>
            <w:tcW w:w="1268" w:type="dxa"/>
            <w:shd w:val="clear" w:color="auto" w:fill="C6EFCE"/>
            <w:hideMark/>
          </w:tcPr>
          <w:p w14:paraId="1216C6BD" w14:textId="77777777" w:rsidR="003C4798" w:rsidRDefault="00417595">
            <w:pPr>
              <w:pStyle w:val="P68B1DB1-Normal85"/>
              <w:spacing w:line="240" w:lineRule="auto"/>
              <w:ind w:right="45"/>
              <w:jc w:val="center"/>
              <w:textAlignment w:val="baseline"/>
              <w:rPr>
                <w:rFonts w:eastAsia="Times New Roman" w:cs="Times New Roman"/>
                <w:noProof/>
              </w:rPr>
            </w:pPr>
            <w:r>
              <w:rPr>
                <w:noProof/>
              </w:rPr>
              <w:t xml:space="preserve">E17G </w:t>
            </w:r>
          </w:p>
        </w:tc>
        <w:tc>
          <w:tcPr>
            <w:tcW w:w="3402" w:type="dxa"/>
            <w:shd w:val="clear" w:color="auto" w:fill="C6EFCE"/>
            <w:hideMark/>
          </w:tcPr>
          <w:p w14:paraId="1216C6BE" w14:textId="77777777" w:rsidR="003C4798" w:rsidRDefault="00417595">
            <w:pPr>
              <w:pStyle w:val="P68B1DB1-Normal85"/>
              <w:spacing w:line="240" w:lineRule="auto"/>
              <w:textAlignment w:val="baseline"/>
              <w:rPr>
                <w:rFonts w:eastAsia="Times New Roman" w:cs="Times New Roman"/>
                <w:noProof/>
              </w:rPr>
            </w:pPr>
            <w:r>
              <w:rPr>
                <w:noProof/>
              </w:rPr>
              <w:t>E2.1.1 Lignes de chemin de fer</w:t>
            </w:r>
          </w:p>
        </w:tc>
        <w:tc>
          <w:tcPr>
            <w:tcW w:w="1276" w:type="dxa"/>
            <w:shd w:val="clear" w:color="auto" w:fill="C6EFCE"/>
            <w:hideMark/>
          </w:tcPr>
          <w:p w14:paraId="1216C6BF" w14:textId="77777777" w:rsidR="003C4798" w:rsidRDefault="00417595">
            <w:pPr>
              <w:pStyle w:val="P68B1DB1-Normal85"/>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C0" w14:textId="77777777" w:rsidR="003C4798" w:rsidRDefault="00417595">
            <w:pPr>
              <w:pStyle w:val="P68B1DB1-Normal87"/>
              <w:spacing w:after="0" w:line="240" w:lineRule="auto"/>
              <w:textAlignment w:val="baseline"/>
              <w:rPr>
                <w:noProof/>
              </w:rPr>
            </w:pPr>
            <w:r>
              <w:rPr>
                <w:noProof/>
              </w:rPr>
              <w:t>Signature des contrats</w:t>
            </w:r>
          </w:p>
        </w:tc>
      </w:tr>
      <w:tr w:rsidR="003C4798" w14:paraId="1216C6C6" w14:textId="77777777">
        <w:trPr>
          <w:trHeight w:val="300"/>
          <w:jc w:val="center"/>
        </w:trPr>
        <w:tc>
          <w:tcPr>
            <w:tcW w:w="1268" w:type="dxa"/>
            <w:shd w:val="clear" w:color="auto" w:fill="C6EFCE"/>
            <w:hideMark/>
          </w:tcPr>
          <w:p w14:paraId="1216C6C2" w14:textId="77777777" w:rsidR="003C4798" w:rsidRDefault="00417595">
            <w:pPr>
              <w:pStyle w:val="P68B1DB1-Normal85"/>
              <w:spacing w:line="240" w:lineRule="auto"/>
              <w:ind w:right="45"/>
              <w:jc w:val="center"/>
              <w:textAlignment w:val="baseline"/>
              <w:rPr>
                <w:rFonts w:eastAsia="Times New Roman" w:cs="Times New Roman"/>
                <w:noProof/>
              </w:rPr>
            </w:pPr>
            <w:r>
              <w:rPr>
                <w:noProof/>
              </w:rPr>
              <w:t xml:space="preserve">E19G </w:t>
            </w:r>
          </w:p>
        </w:tc>
        <w:tc>
          <w:tcPr>
            <w:tcW w:w="3402" w:type="dxa"/>
            <w:shd w:val="clear" w:color="auto" w:fill="C6EFCE"/>
            <w:hideMark/>
          </w:tcPr>
          <w:p w14:paraId="1216C6C3" w14:textId="77777777" w:rsidR="003C4798" w:rsidRDefault="00417595">
            <w:pPr>
              <w:pStyle w:val="P68B1DB1-Normal85"/>
              <w:spacing w:line="240" w:lineRule="auto"/>
              <w:textAlignment w:val="baseline"/>
              <w:rPr>
                <w:rFonts w:eastAsia="Times New Roman" w:cs="Times New Roman"/>
                <w:noProof/>
              </w:rPr>
            </w:pPr>
            <w:r>
              <w:rPr>
                <w:noProof/>
              </w:rPr>
              <w:t>E2.1.2 Matériel roulant ferroviaire destiné au transport de voyageurs</w:t>
            </w:r>
          </w:p>
        </w:tc>
        <w:tc>
          <w:tcPr>
            <w:tcW w:w="1276" w:type="dxa"/>
            <w:shd w:val="clear" w:color="auto" w:fill="C6EFCE"/>
            <w:hideMark/>
          </w:tcPr>
          <w:p w14:paraId="1216C6C4" w14:textId="77777777" w:rsidR="003C4798" w:rsidRDefault="00417595">
            <w:pPr>
              <w:pStyle w:val="P68B1DB1-Normal85"/>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C5" w14:textId="77777777" w:rsidR="003C4798" w:rsidRDefault="00417595">
            <w:pPr>
              <w:pStyle w:val="P68B1DB1-Normal87"/>
              <w:spacing w:line="240" w:lineRule="auto"/>
              <w:textAlignment w:val="baseline"/>
              <w:rPr>
                <w:noProof/>
              </w:rPr>
            </w:pPr>
            <w:r>
              <w:rPr>
                <w:noProof/>
              </w:rPr>
              <w:t>Signature des contrats pour le matériel roulant destiné au transport de passagers</w:t>
            </w:r>
          </w:p>
        </w:tc>
      </w:tr>
      <w:tr w:rsidR="003C4798" w14:paraId="1216C6CB" w14:textId="77777777">
        <w:trPr>
          <w:trHeight w:val="300"/>
          <w:jc w:val="center"/>
        </w:trPr>
        <w:tc>
          <w:tcPr>
            <w:tcW w:w="1268" w:type="dxa"/>
            <w:shd w:val="clear" w:color="auto" w:fill="C6EFCE"/>
            <w:hideMark/>
          </w:tcPr>
          <w:p w14:paraId="1216C6C7" w14:textId="77777777" w:rsidR="003C4798" w:rsidRDefault="00417595">
            <w:pPr>
              <w:pStyle w:val="P68B1DB1-Normal85"/>
              <w:spacing w:line="240" w:lineRule="auto"/>
              <w:ind w:right="45"/>
              <w:jc w:val="center"/>
              <w:textAlignment w:val="baseline"/>
              <w:rPr>
                <w:rFonts w:eastAsia="Times New Roman" w:cs="Times New Roman"/>
                <w:noProof/>
              </w:rPr>
            </w:pPr>
            <w:r>
              <w:rPr>
                <w:noProof/>
              </w:rPr>
              <w:t xml:space="preserve">G1G </w:t>
            </w:r>
          </w:p>
        </w:tc>
        <w:tc>
          <w:tcPr>
            <w:tcW w:w="3402" w:type="dxa"/>
            <w:shd w:val="clear" w:color="auto" w:fill="C6EFCE"/>
            <w:hideMark/>
          </w:tcPr>
          <w:p w14:paraId="1216C6C8" w14:textId="6DF669D9" w:rsidR="003C4798" w:rsidRDefault="00417595">
            <w:pPr>
              <w:pStyle w:val="P68B1DB1-Normal85"/>
              <w:spacing w:line="240" w:lineRule="auto"/>
              <w:textAlignment w:val="baseline"/>
              <w:rPr>
                <w:rFonts w:eastAsia="Times New Roman" w:cs="Times New Roman"/>
                <w:noProof/>
              </w:rPr>
            </w:pPr>
            <w:r>
              <w:rPr>
                <w:noProof/>
              </w:rPr>
              <w:t xml:space="preserve">G1.1.1 Définir un environnement réglementaire favorable aux communautés énergétiques </w:t>
            </w:r>
          </w:p>
        </w:tc>
        <w:tc>
          <w:tcPr>
            <w:tcW w:w="1276" w:type="dxa"/>
            <w:shd w:val="clear" w:color="auto" w:fill="C6EFCE"/>
            <w:hideMark/>
          </w:tcPr>
          <w:p w14:paraId="1216C6C9" w14:textId="77777777" w:rsidR="003C4798" w:rsidRDefault="00417595">
            <w:pPr>
              <w:pStyle w:val="P68B1DB1-Normal85"/>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CA" w14:textId="77777777" w:rsidR="003C4798" w:rsidRDefault="00417595">
            <w:pPr>
              <w:pStyle w:val="P68B1DB1-Normal87"/>
              <w:spacing w:line="240" w:lineRule="auto"/>
              <w:textAlignment w:val="baseline"/>
              <w:rPr>
                <w:noProof/>
              </w:rPr>
            </w:pPr>
            <w:r>
              <w:rPr>
                <w:noProof/>
              </w:rPr>
              <w:t>Analyse des obstacles au développement des communautés énergétiques, des coopératives énergétiques ou des grappes énergétiques</w:t>
            </w:r>
          </w:p>
        </w:tc>
      </w:tr>
      <w:tr w:rsidR="003C4798" w14:paraId="1216C6D0" w14:textId="77777777">
        <w:trPr>
          <w:trHeight w:val="300"/>
          <w:jc w:val="center"/>
        </w:trPr>
        <w:tc>
          <w:tcPr>
            <w:tcW w:w="1268" w:type="dxa"/>
            <w:shd w:val="clear" w:color="auto" w:fill="C6EFCE"/>
            <w:hideMark/>
          </w:tcPr>
          <w:p w14:paraId="1216C6CC" w14:textId="77777777" w:rsidR="003C4798" w:rsidRDefault="00417595">
            <w:pPr>
              <w:pStyle w:val="P68B1DB1-Normal85"/>
              <w:spacing w:line="240" w:lineRule="auto"/>
              <w:ind w:right="45"/>
              <w:jc w:val="center"/>
              <w:textAlignment w:val="baseline"/>
              <w:rPr>
                <w:rFonts w:eastAsia="Times New Roman" w:cs="Times New Roman"/>
                <w:noProof/>
              </w:rPr>
            </w:pPr>
            <w:r>
              <w:rPr>
                <w:noProof/>
              </w:rPr>
              <w:t xml:space="preserve">G7G </w:t>
            </w:r>
          </w:p>
        </w:tc>
        <w:tc>
          <w:tcPr>
            <w:tcW w:w="3402" w:type="dxa"/>
            <w:shd w:val="clear" w:color="auto" w:fill="C6EFCE"/>
            <w:hideMark/>
          </w:tcPr>
          <w:p w14:paraId="1216C6CD" w14:textId="77777777" w:rsidR="003C4798" w:rsidRDefault="00417595">
            <w:pPr>
              <w:pStyle w:val="P68B1DB1-Normal85"/>
              <w:spacing w:line="240" w:lineRule="auto"/>
              <w:textAlignment w:val="baseline"/>
              <w:rPr>
                <w:rFonts w:eastAsia="Times New Roman" w:cs="Times New Roman"/>
                <w:noProof/>
              </w:rPr>
            </w:pPr>
            <w:r>
              <w:rPr>
                <w:noProof/>
              </w:rPr>
              <w:t>G1.1.4 Soutien aux institutions mettant en œuvre les réformes et les investissements REPowerEU</w:t>
            </w:r>
          </w:p>
        </w:tc>
        <w:tc>
          <w:tcPr>
            <w:tcW w:w="1276" w:type="dxa"/>
            <w:shd w:val="clear" w:color="auto" w:fill="C6EFCE"/>
            <w:hideMark/>
          </w:tcPr>
          <w:p w14:paraId="1216C6CE" w14:textId="77777777" w:rsidR="003C4798" w:rsidRDefault="00417595">
            <w:pPr>
              <w:pStyle w:val="P68B1DB1-Normal85"/>
              <w:spacing w:line="240" w:lineRule="auto"/>
              <w:ind w:right="45"/>
              <w:jc w:val="center"/>
              <w:textAlignment w:val="baseline"/>
              <w:rPr>
                <w:rFonts w:eastAsia="Times New Roman" w:cs="Times New Roman"/>
                <w:noProof/>
              </w:rPr>
            </w:pPr>
            <w:r>
              <w:rPr>
                <w:noProof/>
              </w:rPr>
              <w:t>Objectif</w:t>
            </w:r>
          </w:p>
        </w:tc>
        <w:tc>
          <w:tcPr>
            <w:tcW w:w="3677" w:type="dxa"/>
            <w:shd w:val="clear" w:color="auto" w:fill="C6EFCE"/>
          </w:tcPr>
          <w:p w14:paraId="1216C6CF" w14:textId="77777777" w:rsidR="003C4798" w:rsidRDefault="00417595">
            <w:pPr>
              <w:pStyle w:val="P68B1DB1-Normal87"/>
              <w:spacing w:line="240" w:lineRule="auto"/>
              <w:textAlignment w:val="baseline"/>
              <w:rPr>
                <w:noProof/>
              </w:rPr>
            </w:pPr>
            <w:r>
              <w:rPr>
                <w:noProof/>
              </w:rPr>
              <w:t>Renforcement de la capacité administrative à mettre en œuvre les réformes et les investissements REPowerEU</w:t>
            </w:r>
          </w:p>
        </w:tc>
      </w:tr>
      <w:tr w:rsidR="003C4798" w14:paraId="1216C6D5" w14:textId="77777777">
        <w:trPr>
          <w:trHeight w:val="300"/>
          <w:jc w:val="center"/>
        </w:trPr>
        <w:tc>
          <w:tcPr>
            <w:tcW w:w="1268" w:type="dxa"/>
            <w:shd w:val="clear" w:color="auto" w:fill="C6EFCE"/>
            <w:hideMark/>
          </w:tcPr>
          <w:p w14:paraId="1216C6D1" w14:textId="77777777" w:rsidR="003C4798" w:rsidRDefault="00417595">
            <w:pPr>
              <w:pStyle w:val="P68B1DB1-Normal85"/>
              <w:spacing w:line="240" w:lineRule="auto"/>
              <w:ind w:right="45"/>
              <w:jc w:val="center"/>
              <w:textAlignment w:val="baseline"/>
              <w:rPr>
                <w:rFonts w:eastAsia="Times New Roman" w:cs="Times New Roman"/>
                <w:noProof/>
              </w:rPr>
            </w:pPr>
            <w:r>
              <w:rPr>
                <w:noProof/>
              </w:rPr>
              <w:t xml:space="preserve">G12G </w:t>
            </w:r>
          </w:p>
        </w:tc>
        <w:tc>
          <w:tcPr>
            <w:tcW w:w="3402" w:type="dxa"/>
            <w:shd w:val="clear" w:color="auto" w:fill="C6EFCE"/>
            <w:hideMark/>
          </w:tcPr>
          <w:p w14:paraId="1216C6D2" w14:textId="77777777" w:rsidR="003C4798" w:rsidRDefault="00417595">
            <w:pPr>
              <w:pStyle w:val="P68B1DB1-Normal85"/>
              <w:spacing w:line="240" w:lineRule="auto"/>
              <w:textAlignment w:val="baseline"/>
              <w:rPr>
                <w:rFonts w:eastAsia="Times New Roman" w:cs="Times New Roman"/>
                <w:noProof/>
              </w:rPr>
            </w:pPr>
            <w:r>
              <w:rPr>
                <w:noProof/>
              </w:rPr>
              <w:t>G1.2.1 Solutions réglementaires pour une intégration accélérée des énergies renouvelables dans les réseaux de distribution</w:t>
            </w:r>
          </w:p>
        </w:tc>
        <w:tc>
          <w:tcPr>
            <w:tcW w:w="1276" w:type="dxa"/>
            <w:shd w:val="clear" w:color="auto" w:fill="C6EFCE"/>
            <w:hideMark/>
          </w:tcPr>
          <w:p w14:paraId="1216C6D3" w14:textId="77777777" w:rsidR="003C4798" w:rsidRDefault="00417595">
            <w:pPr>
              <w:pStyle w:val="P68B1DB1-Normal85"/>
              <w:spacing w:line="240" w:lineRule="auto"/>
              <w:ind w:right="45"/>
              <w:jc w:val="center"/>
              <w:textAlignment w:val="baseline"/>
              <w:rPr>
                <w:rFonts w:eastAsia="Times New Roman" w:cs="Times New Roman"/>
                <w:noProof/>
              </w:rPr>
            </w:pPr>
            <w:r>
              <w:rPr>
                <w:noProof/>
              </w:rPr>
              <w:t>Étape</w:t>
            </w:r>
          </w:p>
        </w:tc>
        <w:tc>
          <w:tcPr>
            <w:tcW w:w="3677" w:type="dxa"/>
            <w:shd w:val="clear" w:color="auto" w:fill="C6EFCE"/>
          </w:tcPr>
          <w:p w14:paraId="1216C6D4" w14:textId="77777777" w:rsidR="003C4798" w:rsidRDefault="00417595">
            <w:pPr>
              <w:pStyle w:val="P68B1DB1-Normal87"/>
              <w:spacing w:line="240" w:lineRule="auto"/>
              <w:textAlignment w:val="baseline"/>
              <w:rPr>
                <w:noProof/>
              </w:rPr>
            </w:pPr>
            <w:r>
              <w:rPr>
                <w:noProof/>
              </w:rPr>
              <w:t>Publication du nouveau modèle réglementaire sur les investissements prioritaires pour le développement du réseau</w:t>
            </w:r>
          </w:p>
        </w:tc>
      </w:tr>
      <w:tr w:rsidR="003C4798" w14:paraId="1216C6DA" w14:textId="77777777">
        <w:trPr>
          <w:trHeight w:val="300"/>
          <w:jc w:val="center"/>
        </w:trPr>
        <w:tc>
          <w:tcPr>
            <w:tcW w:w="1268" w:type="dxa"/>
            <w:shd w:val="clear" w:color="auto" w:fill="C6EFCE"/>
            <w:hideMark/>
          </w:tcPr>
          <w:p w14:paraId="1216C6D6" w14:textId="77777777" w:rsidR="003C4798" w:rsidRDefault="00417595">
            <w:pPr>
              <w:pStyle w:val="P68B1DB1-Normal85"/>
              <w:spacing w:line="240" w:lineRule="auto"/>
              <w:jc w:val="center"/>
              <w:rPr>
                <w:noProof/>
              </w:rPr>
            </w:pPr>
            <w:r>
              <w:rPr>
                <w:noProof/>
              </w:rPr>
              <w:t>G18G</w:t>
            </w:r>
          </w:p>
        </w:tc>
        <w:tc>
          <w:tcPr>
            <w:tcW w:w="3402" w:type="dxa"/>
            <w:shd w:val="clear" w:color="auto" w:fill="C6EFCE"/>
            <w:hideMark/>
          </w:tcPr>
          <w:p w14:paraId="1216C6D7" w14:textId="77777777" w:rsidR="003C4798" w:rsidRDefault="00417595">
            <w:pPr>
              <w:pStyle w:val="P68B1DB1-Normal87"/>
              <w:spacing w:line="240" w:lineRule="auto"/>
              <w:rPr>
                <w:noProof/>
              </w:rPr>
            </w:pPr>
            <w:r>
              <w:rPr>
                <w:noProof/>
              </w:rPr>
              <w:t>G1.2.3 Réseaux de transport et infrastructures électriques intelligentes</w:t>
            </w:r>
          </w:p>
        </w:tc>
        <w:tc>
          <w:tcPr>
            <w:tcW w:w="1276" w:type="dxa"/>
            <w:shd w:val="clear" w:color="auto" w:fill="C6EFCE"/>
            <w:hideMark/>
          </w:tcPr>
          <w:p w14:paraId="1216C6D8" w14:textId="77777777" w:rsidR="003C4798" w:rsidRDefault="00417595">
            <w:pPr>
              <w:pStyle w:val="P68B1DB1-Normal85"/>
              <w:spacing w:line="240" w:lineRule="auto"/>
              <w:jc w:val="center"/>
              <w:rPr>
                <w:noProof/>
              </w:rPr>
            </w:pPr>
            <w:r>
              <w:rPr>
                <w:noProof/>
              </w:rPr>
              <w:t>Étape</w:t>
            </w:r>
          </w:p>
        </w:tc>
        <w:tc>
          <w:tcPr>
            <w:tcW w:w="3677" w:type="dxa"/>
            <w:shd w:val="clear" w:color="auto" w:fill="C6EFCE"/>
          </w:tcPr>
          <w:p w14:paraId="1216C6D9" w14:textId="77777777" w:rsidR="003C4798" w:rsidRDefault="00417595">
            <w:pPr>
              <w:pStyle w:val="P68B1DB1-Normal87"/>
              <w:spacing w:after="0" w:line="240" w:lineRule="auto"/>
              <w:rPr>
                <w:noProof/>
              </w:rPr>
            </w:pPr>
            <w:r>
              <w:rPr>
                <w:noProof/>
              </w:rPr>
              <w:t>Signature de conventions de subvention entre le gestionnaire de réseau de transport (GRT) et les autorités concernant la construction ou la modernisation de tronçons du réseau de transport d'électricité</w:t>
            </w:r>
          </w:p>
        </w:tc>
      </w:tr>
      <w:tr w:rsidR="003C4798" w14:paraId="1216C6DF" w14:textId="77777777">
        <w:trPr>
          <w:trHeight w:val="300"/>
          <w:jc w:val="center"/>
        </w:trPr>
        <w:tc>
          <w:tcPr>
            <w:tcW w:w="1268" w:type="dxa"/>
            <w:shd w:val="clear" w:color="auto" w:fill="C6EFCE"/>
            <w:hideMark/>
          </w:tcPr>
          <w:p w14:paraId="1216C6DB" w14:textId="77777777" w:rsidR="003C4798" w:rsidRDefault="00417595">
            <w:pPr>
              <w:pStyle w:val="P68B1DB1-Normal85"/>
              <w:spacing w:line="240" w:lineRule="auto"/>
              <w:jc w:val="center"/>
              <w:rPr>
                <w:noProof/>
              </w:rPr>
            </w:pPr>
            <w:r>
              <w:rPr>
                <w:noProof/>
              </w:rPr>
              <w:t>G26G</w:t>
            </w:r>
          </w:p>
        </w:tc>
        <w:tc>
          <w:tcPr>
            <w:tcW w:w="3402" w:type="dxa"/>
            <w:shd w:val="clear" w:color="auto" w:fill="C6EFCE"/>
            <w:hideMark/>
          </w:tcPr>
          <w:p w14:paraId="1216C6DC" w14:textId="77777777" w:rsidR="003C4798" w:rsidRDefault="00417595">
            <w:pPr>
              <w:pStyle w:val="P68B1DB1-Normal87"/>
              <w:spacing w:line="240" w:lineRule="auto"/>
              <w:rPr>
                <w:noProof/>
              </w:rPr>
            </w:pPr>
            <w:r>
              <w:rPr>
                <w:noProof/>
              </w:rPr>
              <w:t>G1.3.2 Transport collectif à émissions nulles (autobus)</w:t>
            </w:r>
          </w:p>
        </w:tc>
        <w:tc>
          <w:tcPr>
            <w:tcW w:w="1276" w:type="dxa"/>
            <w:shd w:val="clear" w:color="auto" w:fill="C6EFCE"/>
            <w:hideMark/>
          </w:tcPr>
          <w:p w14:paraId="1216C6DD" w14:textId="77777777" w:rsidR="003C4798" w:rsidRDefault="00417595">
            <w:pPr>
              <w:pStyle w:val="P68B1DB1-Normal85"/>
              <w:spacing w:line="240" w:lineRule="auto"/>
              <w:ind w:right="45"/>
              <w:jc w:val="center"/>
              <w:rPr>
                <w:rFonts w:eastAsia="Times New Roman" w:cs="Times New Roman"/>
                <w:noProof/>
              </w:rPr>
            </w:pPr>
            <w:r>
              <w:rPr>
                <w:noProof/>
              </w:rPr>
              <w:t>Étape</w:t>
            </w:r>
          </w:p>
        </w:tc>
        <w:tc>
          <w:tcPr>
            <w:tcW w:w="3677" w:type="dxa"/>
            <w:shd w:val="clear" w:color="auto" w:fill="C6EFCE"/>
          </w:tcPr>
          <w:p w14:paraId="1216C6DE" w14:textId="77777777" w:rsidR="003C4798" w:rsidRDefault="00417595">
            <w:pPr>
              <w:pStyle w:val="P68B1DB1-Normal87"/>
              <w:spacing w:line="240" w:lineRule="auto"/>
              <w:rPr>
                <w:noProof/>
              </w:rPr>
            </w:pPr>
            <w:r>
              <w:rPr>
                <w:noProof/>
              </w:rPr>
              <w:t>Nouveaux autobus à émissions nulles: signature des contrats</w:t>
            </w:r>
          </w:p>
        </w:tc>
      </w:tr>
      <w:tr w:rsidR="003C4798" w14:paraId="1216C6E4" w14:textId="77777777">
        <w:trPr>
          <w:trHeight w:val="300"/>
          <w:jc w:val="center"/>
        </w:trPr>
        <w:tc>
          <w:tcPr>
            <w:tcW w:w="1268" w:type="dxa"/>
            <w:shd w:val="clear" w:color="auto" w:fill="C6EFCE"/>
            <w:hideMark/>
          </w:tcPr>
          <w:p w14:paraId="1216C6E0" w14:textId="77777777" w:rsidR="003C4798" w:rsidRDefault="00417595">
            <w:pPr>
              <w:pStyle w:val="P68B1DB1-Normal85"/>
              <w:spacing w:line="240" w:lineRule="auto"/>
              <w:ind w:right="45"/>
              <w:jc w:val="center"/>
              <w:textAlignment w:val="baseline"/>
              <w:rPr>
                <w:rFonts w:eastAsia="Times New Roman" w:cs="Times New Roman"/>
                <w:noProof/>
              </w:rPr>
            </w:pPr>
            <w:r>
              <w:rPr>
                <w:noProof/>
              </w:rPr>
              <w:t xml:space="preserve"> </w:t>
            </w:r>
          </w:p>
        </w:tc>
        <w:tc>
          <w:tcPr>
            <w:tcW w:w="3402" w:type="dxa"/>
            <w:shd w:val="clear" w:color="auto" w:fill="C6EFCE"/>
            <w:hideMark/>
          </w:tcPr>
          <w:p w14:paraId="1216C6E1" w14:textId="77777777" w:rsidR="003C4798" w:rsidRDefault="00417595">
            <w:pPr>
              <w:pStyle w:val="P68B1DB1-Normal85"/>
              <w:spacing w:line="240" w:lineRule="auto"/>
              <w:textAlignment w:val="baseline"/>
              <w:rPr>
                <w:rFonts w:eastAsia="Times New Roman" w:cs="Times New Roman"/>
                <w:noProof/>
              </w:rPr>
            </w:pPr>
            <w:r>
              <w:rPr>
                <w:noProof/>
              </w:rPr>
              <w:t xml:space="preserve"> </w:t>
            </w:r>
          </w:p>
        </w:tc>
        <w:tc>
          <w:tcPr>
            <w:tcW w:w="1276" w:type="dxa"/>
            <w:shd w:val="clear" w:color="auto" w:fill="C6EFCE"/>
            <w:hideMark/>
          </w:tcPr>
          <w:p w14:paraId="1216C6E2" w14:textId="77777777" w:rsidR="003C4798" w:rsidRDefault="00417595">
            <w:pPr>
              <w:pStyle w:val="P68B1DB1-Normal85"/>
              <w:spacing w:line="240" w:lineRule="auto"/>
              <w:ind w:right="45"/>
              <w:jc w:val="center"/>
              <w:textAlignment w:val="baseline"/>
              <w:rPr>
                <w:rFonts w:eastAsia="Times New Roman" w:cs="Times New Roman"/>
                <w:noProof/>
              </w:rPr>
            </w:pPr>
            <w:r>
              <w:rPr>
                <w:noProof/>
              </w:rPr>
              <w:t>Montant des acomptes provisionnels</w:t>
            </w:r>
          </w:p>
        </w:tc>
        <w:tc>
          <w:tcPr>
            <w:tcW w:w="3677" w:type="dxa"/>
            <w:shd w:val="clear" w:color="auto" w:fill="C6EFCE"/>
            <w:hideMark/>
          </w:tcPr>
          <w:p w14:paraId="1216C6E3" w14:textId="77777777" w:rsidR="003C4798" w:rsidRDefault="00417595">
            <w:pPr>
              <w:pStyle w:val="P68B1DB1-Normal87"/>
              <w:spacing w:line="240" w:lineRule="auto"/>
              <w:ind w:left="75"/>
              <w:textAlignment w:val="baseline"/>
              <w:rPr>
                <w:noProof/>
              </w:rPr>
            </w:pPr>
            <w:r>
              <w:rPr>
                <w:noProof/>
              </w:rPr>
              <w:t>3 517 566 344 EUR</w:t>
            </w:r>
          </w:p>
        </w:tc>
      </w:tr>
    </w:tbl>
    <w:p w14:paraId="1216C6E5" w14:textId="140726BA" w:rsidR="003C4798" w:rsidRDefault="00417595">
      <w:pPr>
        <w:pStyle w:val="P68B1DB1-Normal85"/>
        <w:spacing w:line="240" w:lineRule="auto"/>
        <w:ind w:left="-1140" w:right="10770"/>
        <w:textAlignment w:val="baseline"/>
        <w:rPr>
          <w:noProof/>
        </w:rPr>
      </w:pPr>
      <w:r>
        <w:rPr>
          <w:noProof/>
        </w:rPr>
        <w:t> </w:t>
      </w:r>
    </w:p>
    <w:p w14:paraId="716571DD" w14:textId="77777777" w:rsidR="003C4798" w:rsidRDefault="00417595">
      <w:pPr>
        <w:pStyle w:val="P68B1DB1-Normal85"/>
        <w:rPr>
          <w:noProof/>
        </w:rPr>
      </w:pPr>
      <w:r>
        <w:rPr>
          <w:noProof/>
        </w:rPr>
        <w:br w:type="page"/>
      </w:r>
    </w:p>
    <w:p w14:paraId="1216C6E8" w14:textId="5BCE2DFF" w:rsidR="003C4798" w:rsidRDefault="00417595">
      <w:pPr>
        <w:pStyle w:val="P68B1DB1-Normal85"/>
        <w:spacing w:line="240" w:lineRule="auto"/>
        <w:textAlignment w:val="baseline"/>
        <w:rPr>
          <w:rFonts w:ascii="Segoe UI" w:eastAsia="Times New Roman" w:hAnsi="Segoe UI" w:cs="Segoe UI"/>
          <w:noProof/>
          <w:sz w:val="18"/>
          <w:szCs w:val="18"/>
        </w:rPr>
      </w:pPr>
      <w:r>
        <w:rPr>
          <w:noProof/>
        </w:rPr>
        <w:t>2.1.7. Septième tranche (soutien non remboursable):</w:t>
      </w:r>
    </w:p>
    <w:tbl>
      <w:tblPr>
        <w:tblW w:w="9640" w:type="dxa"/>
        <w:jc w:val="center"/>
        <w:tblBorders>
          <w:top w:val="outset" w:sz="6" w:space="0" w:color="auto"/>
          <w:left w:val="outset" w:sz="6" w:space="0" w:color="auto"/>
          <w:bottom w:val="outset" w:sz="6" w:space="0" w:color="auto"/>
          <w:right w:val="outset" w:sz="6" w:space="0" w:color="auto"/>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3C4798" w14:paraId="1216C6ED" w14:textId="77777777">
        <w:trPr>
          <w:trHeight w:val="300"/>
          <w:tblHeader/>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9" w14:textId="77777777" w:rsidR="003C4798" w:rsidRDefault="00417595">
            <w:pPr>
              <w:pStyle w:val="P68B1DB1-Normal99"/>
              <w:spacing w:line="240" w:lineRule="auto"/>
              <w:ind w:right="15"/>
              <w:jc w:val="center"/>
              <w:textAlignment w:val="baseline"/>
              <w:rPr>
                <w:noProof/>
              </w:rPr>
            </w:pPr>
            <w:r>
              <w:rPr>
                <w:noProof/>
              </w:rPr>
              <w:t>Numéro séquentiel</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A" w14:textId="77777777" w:rsidR="003C4798" w:rsidRDefault="00417595">
            <w:pPr>
              <w:pStyle w:val="P68B1DB1-Normal99"/>
              <w:spacing w:line="240" w:lineRule="auto"/>
              <w:jc w:val="center"/>
              <w:textAlignment w:val="baseline"/>
              <w:rPr>
                <w:noProof/>
              </w:rPr>
            </w:pPr>
            <w:r>
              <w:rPr>
                <w:noProof/>
              </w:rPr>
              <w:t>Mesure connexe (réforme ou investissement)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B" w14:textId="77777777" w:rsidR="003C4798" w:rsidRDefault="00417595">
            <w:pPr>
              <w:pStyle w:val="P68B1DB1-Normal99"/>
              <w:spacing w:line="240" w:lineRule="auto"/>
              <w:ind w:left="60"/>
              <w:jc w:val="center"/>
              <w:textAlignment w:val="baseline"/>
              <w:rPr>
                <w:noProof/>
              </w:rPr>
            </w:pPr>
            <w:r>
              <w:rPr>
                <w:noProof/>
              </w:rPr>
              <w:t>Étape/cible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C" w14:textId="77777777" w:rsidR="003C4798" w:rsidRDefault="00417595">
            <w:pPr>
              <w:pStyle w:val="P68B1DB1-Normal99"/>
              <w:spacing w:line="240" w:lineRule="auto"/>
              <w:jc w:val="center"/>
              <w:textAlignment w:val="baseline"/>
              <w:rPr>
                <w:rFonts w:eastAsia="Times New Roman" w:cs="Times New Roman"/>
                <w:noProof/>
              </w:rPr>
            </w:pPr>
            <w:r>
              <w:rPr>
                <w:noProof/>
              </w:rPr>
              <w:t>Nom</w:t>
            </w:r>
          </w:p>
        </w:tc>
      </w:tr>
      <w:tr w:rsidR="003C4798" w14:paraId="1216C6F2"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EE" w14:textId="77777777" w:rsidR="003C4798" w:rsidRDefault="00417595">
            <w:pPr>
              <w:pStyle w:val="P68B1DB1-Normal85"/>
              <w:spacing w:line="240" w:lineRule="auto"/>
              <w:ind w:right="15"/>
              <w:jc w:val="center"/>
              <w:textAlignment w:val="baseline"/>
              <w:rPr>
                <w:rFonts w:eastAsia="Times New Roman" w:cs="Times New Roman"/>
                <w:noProof/>
              </w:rPr>
            </w:pPr>
            <w:r>
              <w:rPr>
                <w:noProof/>
              </w:rPr>
              <w:t xml:space="preserve">A2G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EF" w14:textId="77777777" w:rsidR="003C4798" w:rsidRDefault="00417595">
            <w:pPr>
              <w:pStyle w:val="P68B1DB1-Normal85"/>
              <w:spacing w:line="240" w:lineRule="auto"/>
              <w:textAlignment w:val="baseline"/>
              <w:rPr>
                <w:rFonts w:eastAsia="Times New Roman" w:cs="Times New Roman"/>
                <w:noProof/>
              </w:rPr>
            </w:pPr>
            <w:r>
              <w:rPr>
                <w:noProof/>
              </w:rPr>
              <w:t>A1.1 Réforme du cadre budgétaire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0" w14:textId="77777777" w:rsidR="003C4798" w:rsidRDefault="00417595">
            <w:pPr>
              <w:pStyle w:val="P68B1DB1-Normal85"/>
              <w:spacing w:line="240" w:lineRule="auto"/>
              <w:ind w:left="-5"/>
              <w:jc w:val="center"/>
              <w:textAlignment w:val="baseline"/>
              <w:rPr>
                <w:rFonts w:eastAsia="Times New Roman" w:cs="Times New Roman"/>
                <w:noProof/>
              </w:rPr>
            </w:pPr>
            <w:r>
              <w:rPr>
                <w:noProof/>
              </w:rPr>
              <w:t>Étape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1" w14:textId="77777777" w:rsidR="003C4798" w:rsidRDefault="00417595">
            <w:pPr>
              <w:pStyle w:val="P68B1DB1-Normal87"/>
              <w:spacing w:line="240" w:lineRule="auto"/>
              <w:textAlignment w:val="baseline"/>
              <w:rPr>
                <w:noProof/>
              </w:rPr>
            </w:pPr>
            <w:r>
              <w:rPr>
                <w:noProof/>
              </w:rPr>
              <w:t>Révision du cadre budgétaire à moyen terme et du cadre d'examen des dépenses</w:t>
            </w:r>
          </w:p>
        </w:tc>
      </w:tr>
      <w:tr w:rsidR="003C4798" w14:paraId="1216C6F7"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3" w14:textId="77777777" w:rsidR="003C4798" w:rsidRDefault="00417595">
            <w:pPr>
              <w:pStyle w:val="P68B1DB1-Normal85"/>
              <w:spacing w:line="240" w:lineRule="auto"/>
              <w:ind w:right="15"/>
              <w:jc w:val="center"/>
              <w:textAlignment w:val="baseline"/>
              <w:rPr>
                <w:rFonts w:eastAsia="Times New Roman" w:cs="Times New Roman"/>
                <w:noProof/>
              </w:rPr>
            </w:pPr>
            <w:r>
              <w:rPr>
                <w:noProof/>
              </w:rPr>
              <w:t xml:space="preserve">A4G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4" w14:textId="77777777" w:rsidR="003C4798" w:rsidRDefault="00417595">
            <w:pPr>
              <w:pStyle w:val="P68B1DB1-Normal85"/>
              <w:spacing w:line="240" w:lineRule="auto"/>
              <w:textAlignment w:val="baseline"/>
              <w:rPr>
                <w:rFonts w:eastAsia="Times New Roman" w:cs="Times New Roman"/>
                <w:noProof/>
              </w:rPr>
            </w:pPr>
            <w:r>
              <w:rPr>
                <w:noProof/>
              </w:rPr>
              <w:t>A1.1 Réforme du cadre budgétaire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5" w14:textId="77777777" w:rsidR="003C4798" w:rsidRDefault="00417595">
            <w:pPr>
              <w:pStyle w:val="P68B1DB1-Normal85"/>
              <w:spacing w:line="240" w:lineRule="auto"/>
              <w:ind w:left="-5"/>
              <w:jc w:val="center"/>
              <w:textAlignment w:val="baseline"/>
              <w:rPr>
                <w:rFonts w:eastAsia="Times New Roman" w:cs="Times New Roman"/>
                <w:noProof/>
              </w:rPr>
            </w:pPr>
            <w:r>
              <w:rPr>
                <w:noProof/>
              </w:rPr>
              <w:t>Étape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6" w14:textId="77777777" w:rsidR="003C4798" w:rsidRDefault="00417595">
            <w:pPr>
              <w:pStyle w:val="P68B1DB1-Normal87"/>
              <w:spacing w:line="240" w:lineRule="auto"/>
              <w:textAlignment w:val="baseline"/>
              <w:rPr>
                <w:noProof/>
              </w:rPr>
            </w:pPr>
            <w:r>
              <w:rPr>
                <w:noProof/>
              </w:rPr>
              <w:t>Examen du fonctionnement de la règle de stabilisation des dépenses</w:t>
            </w:r>
          </w:p>
        </w:tc>
      </w:tr>
      <w:tr w:rsidR="003C4798" w14:paraId="1216C6FC"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8" w14:textId="77777777" w:rsidR="003C4798" w:rsidRDefault="00417595">
            <w:pPr>
              <w:pStyle w:val="P68B1DB1-Normal85"/>
              <w:spacing w:line="240" w:lineRule="auto"/>
              <w:ind w:right="15"/>
              <w:jc w:val="center"/>
              <w:textAlignment w:val="baseline"/>
              <w:rPr>
                <w:rFonts w:eastAsia="Times New Roman" w:cs="Times New Roman"/>
                <w:noProof/>
              </w:rPr>
            </w:pPr>
            <w:r>
              <w:rPr>
                <w:noProof/>
              </w:rPr>
              <w:t xml:space="preserve">A15G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9" w14:textId="77777777" w:rsidR="003C4798" w:rsidRDefault="00417595">
            <w:pPr>
              <w:pStyle w:val="P68B1DB1-Normal85"/>
              <w:spacing w:line="240" w:lineRule="auto"/>
              <w:textAlignment w:val="baseline"/>
              <w:rPr>
                <w:rFonts w:eastAsia="Times New Roman" w:cs="Times New Roman"/>
                <w:noProof/>
              </w:rPr>
            </w:pPr>
            <w:r>
              <w:rPr>
                <w:noProof/>
              </w:rPr>
              <w:t>A1.3.1 Mise en œuvre de la réforme de l'aménagement du territoire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A" w14:textId="77777777" w:rsidR="003C4798" w:rsidRDefault="00417595">
            <w:pPr>
              <w:pStyle w:val="P68B1DB1-Normal85"/>
              <w:spacing w:line="240" w:lineRule="auto"/>
              <w:ind w:right="15"/>
              <w:jc w:val="center"/>
              <w:textAlignment w:val="baseline"/>
              <w:rPr>
                <w:rFonts w:eastAsia="Times New Roman" w:cs="Times New Roman"/>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B" w14:textId="77777777" w:rsidR="003C4798" w:rsidRDefault="00417595">
            <w:pPr>
              <w:pStyle w:val="P68B1DB1-Normal87"/>
              <w:spacing w:line="240" w:lineRule="auto"/>
              <w:textAlignment w:val="baseline"/>
              <w:rPr>
                <w:noProof/>
              </w:rPr>
            </w:pPr>
            <w:r>
              <w:rPr>
                <w:noProof/>
              </w:rPr>
              <w:t>Cours sur la nouvelle loi d'aménagement du territoire</w:t>
            </w:r>
          </w:p>
        </w:tc>
      </w:tr>
      <w:tr w:rsidR="003C4798" w14:paraId="1216C701"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D" w14:textId="77777777" w:rsidR="003C4798" w:rsidRDefault="00417595">
            <w:pPr>
              <w:pStyle w:val="P68B1DB1-Normal85"/>
              <w:spacing w:line="240" w:lineRule="auto"/>
              <w:jc w:val="center"/>
              <w:rPr>
                <w:noProof/>
              </w:rPr>
            </w:pPr>
            <w:r>
              <w:rPr>
                <w:noProof/>
              </w:rPr>
              <w:t>A31G</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E" w14:textId="77777777" w:rsidR="003C4798" w:rsidRDefault="00417595">
            <w:pPr>
              <w:pStyle w:val="P68B1DB1-Normal85"/>
              <w:spacing w:line="240" w:lineRule="auto"/>
              <w:rPr>
                <w:noProof/>
              </w:rPr>
            </w:pPr>
            <w:r>
              <w:rPr>
                <w:noProof/>
              </w:rPr>
              <w:t>A2.2.1 Investissements dans les technologies et innovations environnementales liées à l'économie circulaire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F" w14:textId="77777777" w:rsidR="003C4798" w:rsidRDefault="00417595">
            <w:pPr>
              <w:pStyle w:val="P68B1DB1-Normal85"/>
              <w:spacing w:line="240" w:lineRule="auto"/>
              <w:jc w:val="center"/>
              <w:rPr>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0" w14:textId="77777777" w:rsidR="003C4798" w:rsidRDefault="00417595">
            <w:pPr>
              <w:pStyle w:val="P68B1DB1-Normal87"/>
              <w:spacing w:line="240" w:lineRule="auto"/>
              <w:rPr>
                <w:noProof/>
              </w:rPr>
            </w:pPr>
            <w:r>
              <w:rPr>
                <w:noProof/>
              </w:rPr>
              <w:t>Signature de conventions de subvention pour des projets sur les écotechnologies et les innovations liées à l’économie circulaire</w:t>
            </w:r>
          </w:p>
        </w:tc>
      </w:tr>
      <w:tr w:rsidR="003C4798" w14:paraId="1216C706"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2" w14:textId="77777777" w:rsidR="003C4798" w:rsidRDefault="00417595">
            <w:pPr>
              <w:pStyle w:val="P68B1DB1-Normal85"/>
              <w:spacing w:line="240" w:lineRule="auto"/>
              <w:ind w:right="15"/>
              <w:jc w:val="center"/>
              <w:textAlignment w:val="baseline"/>
              <w:rPr>
                <w:noProof/>
              </w:rPr>
            </w:pPr>
            <w:r>
              <w:rPr>
                <w:noProof/>
              </w:rPr>
              <w:t xml:space="preserve">A32G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3" w14:textId="77777777" w:rsidR="003C4798" w:rsidRDefault="00417595">
            <w:pPr>
              <w:pStyle w:val="P68B1DB1-Normal85"/>
              <w:spacing w:line="240" w:lineRule="auto"/>
              <w:textAlignment w:val="baseline"/>
              <w:rPr>
                <w:rFonts w:eastAsia="Times New Roman" w:cs="Times New Roman"/>
                <w:noProof/>
              </w:rPr>
            </w:pPr>
            <w:r>
              <w:rPr>
                <w:noProof/>
              </w:rPr>
              <w:t>A2.2.1 Investissements dans les technologies et innovations environnementales liées à l'économie circulaire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4" w14:textId="77777777" w:rsidR="003C4798" w:rsidRDefault="00417595">
            <w:pPr>
              <w:pStyle w:val="P68B1DB1-Normal85"/>
              <w:spacing w:line="240" w:lineRule="auto"/>
              <w:ind w:right="15"/>
              <w:jc w:val="center"/>
              <w:textAlignment w:val="baseline"/>
              <w:rPr>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5" w14:textId="77777777" w:rsidR="003C4798" w:rsidRDefault="00417595">
            <w:pPr>
              <w:pStyle w:val="P68B1DB1-Normal87"/>
              <w:spacing w:line="240" w:lineRule="auto"/>
              <w:textAlignment w:val="baseline"/>
              <w:rPr>
                <w:noProof/>
              </w:rPr>
            </w:pPr>
            <w:r>
              <w:rPr>
                <w:noProof/>
              </w:rPr>
              <w:t>Conventions de subvention signées pour des projets sur les écotechnologies et les innovations liées à l’économie circulaire ou à la création d’un marché des matières premières secondaires</w:t>
            </w:r>
          </w:p>
        </w:tc>
      </w:tr>
      <w:tr w:rsidR="003C4798" w14:paraId="1216C70B"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7" w14:textId="77777777" w:rsidR="003C4798" w:rsidRDefault="00417595">
            <w:pPr>
              <w:pStyle w:val="P68B1DB1-Normal85"/>
              <w:spacing w:line="240" w:lineRule="auto"/>
              <w:ind w:right="15"/>
              <w:jc w:val="center"/>
              <w:textAlignment w:val="baseline"/>
              <w:rPr>
                <w:rFonts w:eastAsia="Times New Roman" w:cs="Times New Roman"/>
                <w:noProof/>
              </w:rPr>
            </w:pPr>
            <w:r>
              <w:rPr>
                <w:noProof/>
              </w:rPr>
              <w:t xml:space="preserve">A63G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8" w14:textId="77777777" w:rsidR="003C4798" w:rsidRDefault="00417595">
            <w:pPr>
              <w:pStyle w:val="P68B1DB1-Normal85"/>
              <w:spacing w:line="240" w:lineRule="auto"/>
              <w:textAlignment w:val="baseline"/>
              <w:rPr>
                <w:rFonts w:eastAsia="Times New Roman" w:cs="Times New Roman"/>
                <w:noProof/>
              </w:rPr>
            </w:pPr>
            <w:r>
              <w:rPr>
                <w:noProof/>
              </w:rPr>
              <w:t>A4.3.1 Investissements dans les entités de l’économie sociale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9" w14:textId="77777777" w:rsidR="003C4798" w:rsidRDefault="00417595">
            <w:pPr>
              <w:pStyle w:val="P68B1DB1-Normal85"/>
              <w:spacing w:line="240" w:lineRule="auto"/>
              <w:ind w:right="15"/>
              <w:jc w:val="center"/>
              <w:textAlignment w:val="baseline"/>
              <w:rPr>
                <w:rFonts w:eastAsia="Times New Roman" w:cs="Times New Roman"/>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A" w14:textId="77777777" w:rsidR="003C4798" w:rsidRDefault="00417595">
            <w:pPr>
              <w:pStyle w:val="P68B1DB1-Normal87"/>
              <w:spacing w:line="240" w:lineRule="auto"/>
              <w:textAlignment w:val="baseline"/>
              <w:rPr>
                <w:noProof/>
              </w:rPr>
            </w:pPr>
            <w:r>
              <w:rPr>
                <w:noProof/>
              </w:rPr>
              <w:t>Décisions octroyant le statut d'entreprise sociale</w:t>
            </w:r>
          </w:p>
        </w:tc>
      </w:tr>
      <w:tr w:rsidR="003C4798" w14:paraId="1216C710"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C" w14:textId="77777777" w:rsidR="003C4798" w:rsidRDefault="00417595">
            <w:pPr>
              <w:pStyle w:val="P68B1DB1-Normal85"/>
              <w:spacing w:line="240" w:lineRule="auto"/>
              <w:jc w:val="center"/>
              <w:textAlignment w:val="baseline"/>
              <w:rPr>
                <w:rFonts w:eastAsia="Times New Roman" w:cs="Times New Roman"/>
                <w:noProof/>
              </w:rPr>
            </w:pPr>
            <w:r>
              <w:rPr>
                <w:noProof/>
              </w:rPr>
              <w:t>A71G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D" w14:textId="77777777" w:rsidR="003C4798" w:rsidRDefault="00417595">
            <w:pPr>
              <w:pStyle w:val="P68B1DB1-Normal85"/>
              <w:spacing w:line="240" w:lineRule="auto"/>
              <w:textAlignment w:val="baseline"/>
              <w:rPr>
                <w:rFonts w:eastAsia="Times New Roman" w:cs="Times New Roman"/>
                <w:noProof/>
              </w:rPr>
            </w:pPr>
            <w:r>
              <w:rPr>
                <w:noProof/>
              </w:rPr>
              <w:t>A4.7 Limiter la segmentation du marché du travail</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E" w14:textId="77777777" w:rsidR="003C4798" w:rsidRDefault="00417595">
            <w:pPr>
              <w:pStyle w:val="P68B1DB1-Normal85"/>
              <w:spacing w:line="240" w:lineRule="auto"/>
              <w:ind w:right="15"/>
              <w:jc w:val="center"/>
              <w:textAlignment w:val="baseline"/>
              <w:rPr>
                <w:rFonts w:eastAsia="Times New Roman" w:cs="Times New Roman"/>
                <w:noProof/>
              </w:rPr>
            </w:pPr>
            <w:r>
              <w:rPr>
                <w:noProof/>
              </w:rPr>
              <w:t>Étape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F" w14:textId="77777777" w:rsidR="003C4798" w:rsidRDefault="00417595">
            <w:pPr>
              <w:pStyle w:val="P68B1DB1-Normal87"/>
              <w:spacing w:line="240" w:lineRule="auto"/>
              <w:textAlignment w:val="baseline"/>
              <w:rPr>
                <w:noProof/>
              </w:rPr>
            </w:pPr>
            <w:r>
              <w:rPr>
                <w:noProof/>
              </w:rPr>
              <w:t>Réforme de l'Inspection nationale du travail</w:t>
            </w:r>
          </w:p>
        </w:tc>
      </w:tr>
      <w:tr w:rsidR="003C4798" w14:paraId="1216C715"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1" w14:textId="77777777" w:rsidR="003C4798" w:rsidRDefault="00417595">
            <w:pPr>
              <w:pStyle w:val="P68B1DB1-Normal85"/>
              <w:spacing w:line="240" w:lineRule="auto"/>
              <w:ind w:right="15"/>
              <w:jc w:val="center"/>
              <w:textAlignment w:val="baseline"/>
              <w:rPr>
                <w:noProof/>
              </w:rPr>
            </w:pPr>
            <w:r>
              <w:rPr>
                <w:noProof/>
              </w:rPr>
              <w:t xml:space="preserve">B21dG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2" w14:textId="77777777" w:rsidR="003C4798" w:rsidRDefault="00417595">
            <w:pPr>
              <w:pStyle w:val="P68B1DB1-Normal85"/>
              <w:spacing w:line="240" w:lineRule="auto"/>
              <w:textAlignment w:val="baseline"/>
              <w:rPr>
                <w:rFonts w:eastAsia="Times New Roman" w:cs="Times New Roman"/>
                <w:noProof/>
              </w:rPr>
            </w:pPr>
            <w:r>
              <w:rPr>
                <w:noProof/>
              </w:rPr>
              <w:t>B2.1.1. Investissements dans l’hydrogène, la fabrication, le stockage et le transport de l’hydrogène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3" w14:textId="77777777" w:rsidR="003C4798" w:rsidRDefault="00417595">
            <w:pPr>
              <w:pStyle w:val="P68B1DB1-Normal85"/>
              <w:spacing w:line="240" w:lineRule="auto"/>
              <w:ind w:right="15"/>
              <w:jc w:val="center"/>
              <w:textAlignment w:val="baseline"/>
              <w:rPr>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4" w14:textId="77777777" w:rsidR="003C4798" w:rsidRDefault="00417595">
            <w:pPr>
              <w:pStyle w:val="P68B1DB1-Normal87"/>
              <w:spacing w:line="240" w:lineRule="auto"/>
              <w:textAlignment w:val="baseline"/>
              <w:rPr>
                <w:noProof/>
              </w:rPr>
            </w:pPr>
            <w:r>
              <w:rPr>
                <w:noProof/>
              </w:rPr>
              <w:t>Accords juridiques signés avec les bénéficiaires finaux</w:t>
            </w:r>
          </w:p>
        </w:tc>
      </w:tr>
      <w:tr w:rsidR="003C4798" w14:paraId="1216C71A"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6" w14:textId="77777777" w:rsidR="003C4798" w:rsidRDefault="00417595">
            <w:pPr>
              <w:pStyle w:val="P68B1DB1-Normal85"/>
              <w:spacing w:line="240" w:lineRule="auto"/>
              <w:ind w:right="15"/>
              <w:jc w:val="center"/>
              <w:textAlignment w:val="baseline"/>
              <w:rPr>
                <w:noProof/>
              </w:rPr>
            </w:pPr>
            <w:r>
              <w:rPr>
                <w:noProof/>
              </w:rPr>
              <w:t xml:space="preserve">B21eG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7" w14:textId="77777777" w:rsidR="003C4798" w:rsidRDefault="00417595">
            <w:pPr>
              <w:pStyle w:val="P68B1DB1-Normal85"/>
              <w:spacing w:line="240" w:lineRule="auto"/>
              <w:textAlignment w:val="baseline"/>
              <w:rPr>
                <w:rFonts w:eastAsia="Times New Roman" w:cs="Times New Roman"/>
                <w:noProof/>
              </w:rPr>
            </w:pPr>
            <w:r>
              <w:rPr>
                <w:noProof/>
              </w:rPr>
              <w:t>B2.1.1. Investissements dans l’hydrogène, la fabrication, le stockage et le transport de l’hydrogène</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8" w14:textId="77777777" w:rsidR="003C4798" w:rsidRDefault="00417595">
            <w:pPr>
              <w:pStyle w:val="P68B1DB1-Normal85"/>
              <w:spacing w:line="240" w:lineRule="auto"/>
              <w:ind w:right="15"/>
              <w:jc w:val="center"/>
              <w:textAlignment w:val="baseline"/>
              <w:rPr>
                <w:noProof/>
              </w:rPr>
            </w:pPr>
            <w:r>
              <w:rPr>
                <w:noProof/>
              </w:rPr>
              <w:t>Étape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9" w14:textId="77777777" w:rsidR="003C4798" w:rsidRDefault="00417595">
            <w:pPr>
              <w:pStyle w:val="P68B1DB1-Normal87"/>
              <w:spacing w:line="240" w:lineRule="auto"/>
              <w:textAlignment w:val="baseline"/>
              <w:rPr>
                <w:noProof/>
              </w:rPr>
            </w:pPr>
            <w:r>
              <w:rPr>
                <w:noProof/>
              </w:rPr>
              <w:t>Le ministère a terminé l'investissement</w:t>
            </w:r>
          </w:p>
        </w:tc>
      </w:tr>
      <w:tr w:rsidR="003C4798" w14:paraId="1216C71F"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B" w14:textId="77777777" w:rsidR="003C4798" w:rsidRDefault="00417595">
            <w:pPr>
              <w:pStyle w:val="P68B1DB1-Normal85"/>
              <w:spacing w:line="240" w:lineRule="auto"/>
              <w:ind w:right="15"/>
              <w:jc w:val="center"/>
              <w:textAlignment w:val="baseline"/>
              <w:rPr>
                <w:rFonts w:eastAsia="Times New Roman" w:cs="Times New Roman"/>
                <w:noProof/>
              </w:rPr>
            </w:pPr>
            <w:r>
              <w:rPr>
                <w:noProof/>
              </w:rPr>
              <w:t xml:space="preserve">C28G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C" w14:textId="77777777" w:rsidR="003C4798" w:rsidRDefault="00417595">
            <w:pPr>
              <w:pStyle w:val="P68B1DB1-Normal85"/>
              <w:spacing w:line="240" w:lineRule="auto"/>
              <w:textAlignment w:val="baseline"/>
              <w:rPr>
                <w:rFonts w:eastAsia="Times New Roman" w:cs="Times New Roman"/>
                <w:noProof/>
              </w:rPr>
            </w:pPr>
            <w:r>
              <w:rPr>
                <w:noProof/>
              </w:rPr>
              <w:t>C3.1.1 Cybersécurité – CyberPL, infrastructure de traitement des données et optimisation de l’infrastructure des services répressifs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D" w14:textId="77777777" w:rsidR="003C4798" w:rsidRDefault="00417595">
            <w:pPr>
              <w:pStyle w:val="P68B1DB1-Normal85"/>
              <w:spacing w:line="240" w:lineRule="auto"/>
              <w:ind w:right="15"/>
              <w:jc w:val="center"/>
              <w:textAlignment w:val="baseline"/>
              <w:rPr>
                <w:rFonts w:eastAsia="Times New Roman" w:cs="Times New Roman"/>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E" w14:textId="77777777" w:rsidR="003C4798" w:rsidRDefault="00417595">
            <w:pPr>
              <w:pStyle w:val="P68B1DB1-Normal87"/>
              <w:spacing w:line="240" w:lineRule="auto"/>
              <w:textAlignment w:val="baseline"/>
              <w:rPr>
                <w:noProof/>
              </w:rPr>
            </w:pPr>
            <w:r>
              <w:rPr>
                <w:noProof/>
              </w:rPr>
              <w:t>Projet important d'intérêt européen commun (PIIEC): Solutions de traitement des données d'infrastructure ou de service</w:t>
            </w:r>
          </w:p>
        </w:tc>
      </w:tr>
      <w:tr w:rsidR="003C4798" w14:paraId="1216C724"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0" w14:textId="77777777" w:rsidR="003C4798" w:rsidRDefault="00417595">
            <w:pPr>
              <w:pStyle w:val="P68B1DB1-Normal85"/>
              <w:spacing w:line="240" w:lineRule="auto"/>
              <w:ind w:right="15"/>
              <w:jc w:val="center"/>
              <w:textAlignment w:val="baseline"/>
              <w:rPr>
                <w:rFonts w:eastAsia="Times New Roman" w:cs="Times New Roman"/>
                <w:noProof/>
              </w:rPr>
            </w:pPr>
            <w:r>
              <w:rPr>
                <w:noProof/>
              </w:rPr>
              <w:t xml:space="preserve">E5G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1" w14:textId="77777777" w:rsidR="003C4798" w:rsidRDefault="00417595">
            <w:pPr>
              <w:pStyle w:val="P68B1DB1-Normal85"/>
              <w:spacing w:line="240" w:lineRule="auto"/>
              <w:textAlignment w:val="baseline"/>
              <w:rPr>
                <w:rFonts w:eastAsia="Times New Roman" w:cs="Times New Roman"/>
                <w:noProof/>
              </w:rPr>
            </w:pPr>
            <w:r>
              <w:rPr>
                <w:noProof/>
              </w:rPr>
              <w:t>E1.1 Augmentation de l ' utilisation de moyens de transport respectueux de l ' environnement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2" w14:textId="77777777" w:rsidR="003C4798" w:rsidRDefault="00417595">
            <w:pPr>
              <w:pStyle w:val="P68B1DB1-Normal85"/>
              <w:spacing w:line="240" w:lineRule="auto"/>
              <w:ind w:right="15"/>
              <w:jc w:val="center"/>
              <w:textAlignment w:val="baseline"/>
              <w:rPr>
                <w:rFonts w:eastAsia="Times New Roman" w:cs="Times New Roman"/>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23" w14:textId="77777777" w:rsidR="003C4798" w:rsidRDefault="00417595">
            <w:pPr>
              <w:pStyle w:val="P68B1DB1-Normal87"/>
              <w:spacing w:line="240" w:lineRule="auto"/>
              <w:textAlignment w:val="baseline"/>
              <w:rPr>
                <w:noProof/>
              </w:rPr>
            </w:pPr>
            <w:r>
              <w:rPr>
                <w:noProof/>
              </w:rPr>
              <w:t>Villes ayant adopté des PMUD</w:t>
            </w:r>
          </w:p>
        </w:tc>
      </w:tr>
      <w:tr w:rsidR="003C4798" w14:paraId="1216C729"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5" w14:textId="77777777" w:rsidR="003C4798" w:rsidRDefault="00417595">
            <w:pPr>
              <w:pStyle w:val="P68B1DB1-Normal85"/>
              <w:spacing w:line="240" w:lineRule="auto"/>
              <w:ind w:right="15"/>
              <w:jc w:val="center"/>
              <w:textAlignment w:val="baseline"/>
              <w:rPr>
                <w:rFonts w:eastAsia="Times New Roman" w:cs="Times New Roman"/>
                <w:noProof/>
              </w:rPr>
            </w:pPr>
            <w:r>
              <w:rPr>
                <w:noProof/>
              </w:rPr>
              <w:t xml:space="preserve">G3G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6" w14:textId="77777777" w:rsidR="003C4798" w:rsidRDefault="00417595">
            <w:pPr>
              <w:pStyle w:val="P68B1DB1-Normal85"/>
              <w:spacing w:line="240" w:lineRule="auto"/>
              <w:textAlignment w:val="baseline"/>
              <w:rPr>
                <w:rFonts w:eastAsia="Times New Roman" w:cs="Times New Roman"/>
                <w:noProof/>
              </w:rPr>
            </w:pPr>
            <w:r>
              <w:rPr>
                <w:noProof/>
              </w:rPr>
              <w:t>G1.1.2 Soutenir l'expansion des communautés énergétiques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7" w14:textId="77777777" w:rsidR="003C4798" w:rsidRDefault="00417595">
            <w:pPr>
              <w:pStyle w:val="P68B1DB1-Normal85"/>
              <w:spacing w:line="240" w:lineRule="auto"/>
              <w:ind w:right="15"/>
              <w:jc w:val="center"/>
              <w:textAlignment w:val="baseline"/>
              <w:rPr>
                <w:rFonts w:eastAsia="Times New Roman" w:cs="Times New Roman"/>
                <w:noProof/>
              </w:rPr>
            </w:pPr>
            <w:r>
              <w:rPr>
                <w:noProof/>
              </w:rPr>
              <w:t>Objectif</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28" w14:textId="77777777" w:rsidR="003C4798" w:rsidRDefault="00417595">
            <w:pPr>
              <w:pStyle w:val="P68B1DB1-Normal87"/>
              <w:spacing w:line="240" w:lineRule="auto"/>
              <w:rPr>
                <w:noProof/>
              </w:rPr>
            </w:pPr>
            <w:r>
              <w:rPr>
                <w:noProof/>
              </w:rPr>
              <w:t>Entités bénéficiant d’un soutien au titre de la partie «préinvestissement»</w:t>
            </w:r>
          </w:p>
        </w:tc>
      </w:tr>
      <w:tr w:rsidR="003C4798" w14:paraId="1216C72E" w14:textId="77777777">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A" w14:textId="1D811189" w:rsidR="003C4798" w:rsidRDefault="003C4798">
            <w:pPr>
              <w:spacing w:line="240" w:lineRule="auto"/>
              <w:ind w:right="15"/>
              <w:jc w:val="center"/>
              <w:textAlignment w:val="baseline"/>
              <w:rPr>
                <w:rFonts w:ascii="Times New Roman" w:eastAsia="Times New Roman" w:hAnsi="Times New Roman" w:cs="Times New Roman"/>
                <w:noProof/>
                <w:sz w:val="24"/>
                <w:szCs w:val="24"/>
              </w:rPr>
            </w:pP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B" w14:textId="4FB2E827" w:rsidR="003C4798" w:rsidRDefault="003C4798">
            <w:pPr>
              <w:spacing w:line="240" w:lineRule="auto"/>
              <w:ind w:left="105"/>
              <w:textAlignment w:val="baseline"/>
              <w:rPr>
                <w:rFonts w:ascii="Times New Roman" w:eastAsia="Times New Roman" w:hAnsi="Times New Roman" w:cs="Times New Roman"/>
                <w:noProof/>
                <w:sz w:val="24"/>
                <w:szCs w:val="24"/>
              </w:rPr>
            </w:pP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C" w14:textId="77777777" w:rsidR="003C4798" w:rsidRDefault="00417595">
            <w:pPr>
              <w:pStyle w:val="P68B1DB1-Normal85"/>
              <w:spacing w:line="240" w:lineRule="auto"/>
              <w:ind w:right="15"/>
              <w:jc w:val="center"/>
              <w:textAlignment w:val="baseline"/>
              <w:rPr>
                <w:rFonts w:eastAsia="Times New Roman" w:cs="Times New Roman"/>
                <w:noProof/>
                <w:sz w:val="24"/>
                <w:szCs w:val="24"/>
              </w:rPr>
            </w:pPr>
            <w:r>
              <w:rPr>
                <w:noProof/>
              </w:rPr>
              <w:t>Montant des acomptes provisionnels</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D" w14:textId="77777777" w:rsidR="003C4798" w:rsidRDefault="00417595">
            <w:pPr>
              <w:pStyle w:val="P68B1DB1-Normal87"/>
              <w:spacing w:line="240" w:lineRule="auto"/>
              <w:ind w:left="75"/>
              <w:textAlignment w:val="baseline"/>
              <w:rPr>
                <w:noProof/>
              </w:rPr>
            </w:pPr>
            <w:r>
              <w:rPr>
                <w:noProof/>
              </w:rPr>
              <w:t>1 515 185 074 EUR</w:t>
            </w:r>
          </w:p>
        </w:tc>
      </w:tr>
    </w:tbl>
    <w:p w14:paraId="1216C72F" w14:textId="77777777" w:rsidR="003C4798" w:rsidRDefault="003C4798">
      <w:pPr>
        <w:spacing w:line="240" w:lineRule="auto"/>
        <w:ind w:left="-1140" w:right="10770"/>
        <w:textAlignment w:val="baseline"/>
        <w:rPr>
          <w:rFonts w:ascii="Segoe UI" w:eastAsia="Times New Roman" w:hAnsi="Segoe UI" w:cs="Segoe UI"/>
          <w:noProof/>
          <w:sz w:val="18"/>
          <w:szCs w:val="18"/>
        </w:rPr>
      </w:pPr>
    </w:p>
    <w:p w14:paraId="3B1ADAAC" w14:textId="77777777" w:rsidR="003C4798" w:rsidRDefault="003C4798">
      <w:pPr>
        <w:spacing w:line="240" w:lineRule="auto"/>
        <w:textAlignment w:val="baseline"/>
        <w:rPr>
          <w:rFonts w:ascii="Times New Roman" w:hAnsi="Times New Roman"/>
          <w:noProof/>
        </w:rPr>
      </w:pPr>
    </w:p>
    <w:p w14:paraId="1216C730" w14:textId="724E2629" w:rsidR="003C4798" w:rsidRDefault="00417595">
      <w:pPr>
        <w:pStyle w:val="P68B1DB1-Normal85"/>
        <w:spacing w:line="240" w:lineRule="auto"/>
        <w:textAlignment w:val="baseline"/>
        <w:rPr>
          <w:rFonts w:ascii="Segoe UI" w:eastAsia="Times New Roman" w:hAnsi="Segoe UI" w:cs="Segoe UI"/>
          <w:noProof/>
          <w:sz w:val="18"/>
          <w:szCs w:val="18"/>
        </w:rPr>
      </w:pPr>
      <w:r>
        <w:rPr>
          <w:noProof/>
        </w:rPr>
        <w:t>2.1.8. Huitième tranche (soutien non remboursable):</w:t>
      </w:r>
    </w:p>
    <w:tbl>
      <w:tblPr>
        <w:tblW w:w="992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277"/>
        <w:gridCol w:w="3402"/>
        <w:gridCol w:w="1275"/>
        <w:gridCol w:w="3969"/>
      </w:tblGrid>
      <w:tr w:rsidR="003C4798" w14:paraId="1216C735" w14:textId="77777777">
        <w:trPr>
          <w:trHeight w:val="300"/>
          <w:tblHeader/>
          <w:jc w:val="center"/>
        </w:trPr>
        <w:tc>
          <w:tcPr>
            <w:tcW w:w="1277" w:type="dxa"/>
            <w:shd w:val="clear" w:color="auto" w:fill="C6D9F1" w:themeFill="text2" w:themeFillTint="33"/>
            <w:hideMark/>
          </w:tcPr>
          <w:p w14:paraId="1216C731" w14:textId="77777777" w:rsidR="003C4798" w:rsidRDefault="00417595">
            <w:pPr>
              <w:pStyle w:val="P68B1DB1-Normal99"/>
              <w:spacing w:line="240" w:lineRule="auto"/>
              <w:jc w:val="center"/>
              <w:textAlignment w:val="baseline"/>
              <w:rPr>
                <w:rFonts w:eastAsia="Times New Roman" w:cs="Times New Roman"/>
                <w:noProof/>
                <w:sz w:val="24"/>
                <w:szCs w:val="24"/>
              </w:rPr>
            </w:pPr>
            <w:r>
              <w:rPr>
                <w:noProof/>
              </w:rPr>
              <w:t>Numéro séquentiel</w:t>
            </w:r>
          </w:p>
        </w:tc>
        <w:tc>
          <w:tcPr>
            <w:tcW w:w="3402" w:type="dxa"/>
            <w:shd w:val="clear" w:color="auto" w:fill="C6D9F1" w:themeFill="text2" w:themeFillTint="33"/>
            <w:hideMark/>
          </w:tcPr>
          <w:p w14:paraId="1216C732" w14:textId="77777777" w:rsidR="003C4798" w:rsidRDefault="00417595">
            <w:pPr>
              <w:pStyle w:val="P68B1DB1-Normal99"/>
              <w:spacing w:line="240" w:lineRule="auto"/>
              <w:jc w:val="center"/>
              <w:textAlignment w:val="baseline"/>
              <w:rPr>
                <w:rFonts w:eastAsia="Times New Roman" w:cs="Times New Roman"/>
                <w:noProof/>
                <w:sz w:val="24"/>
                <w:szCs w:val="24"/>
              </w:rPr>
            </w:pPr>
            <w:r>
              <w:rPr>
                <w:noProof/>
              </w:rPr>
              <w:t>Mesure connexe (réforme ou investissement)</w:t>
            </w:r>
          </w:p>
        </w:tc>
        <w:tc>
          <w:tcPr>
            <w:tcW w:w="1275" w:type="dxa"/>
            <w:shd w:val="clear" w:color="auto" w:fill="C6D9F1" w:themeFill="text2" w:themeFillTint="33"/>
            <w:hideMark/>
          </w:tcPr>
          <w:p w14:paraId="1216C733" w14:textId="77777777" w:rsidR="003C4798" w:rsidRDefault="00417595">
            <w:pPr>
              <w:pStyle w:val="P68B1DB1-Normal99"/>
              <w:spacing w:line="240" w:lineRule="auto"/>
              <w:ind w:left="15"/>
              <w:jc w:val="center"/>
              <w:textAlignment w:val="baseline"/>
              <w:rPr>
                <w:rFonts w:eastAsia="Times New Roman" w:cs="Times New Roman"/>
                <w:noProof/>
                <w:sz w:val="24"/>
                <w:szCs w:val="24"/>
              </w:rPr>
            </w:pPr>
            <w:r>
              <w:rPr>
                <w:noProof/>
              </w:rPr>
              <w:t>Étape/cible</w:t>
            </w:r>
          </w:p>
        </w:tc>
        <w:tc>
          <w:tcPr>
            <w:tcW w:w="3969" w:type="dxa"/>
            <w:shd w:val="clear" w:color="auto" w:fill="C6D9F1" w:themeFill="text2" w:themeFillTint="33"/>
            <w:hideMark/>
          </w:tcPr>
          <w:p w14:paraId="1216C734" w14:textId="77777777" w:rsidR="003C4798" w:rsidRDefault="00417595">
            <w:pPr>
              <w:pStyle w:val="P68B1DB1-Normal99"/>
              <w:spacing w:line="240" w:lineRule="auto"/>
              <w:jc w:val="center"/>
              <w:textAlignment w:val="baseline"/>
              <w:rPr>
                <w:rFonts w:eastAsia="Times New Roman" w:cs="Times New Roman"/>
                <w:noProof/>
                <w:sz w:val="24"/>
                <w:szCs w:val="24"/>
              </w:rPr>
            </w:pPr>
            <w:r>
              <w:rPr>
                <w:noProof/>
              </w:rPr>
              <w:t>Nom</w:t>
            </w:r>
          </w:p>
        </w:tc>
      </w:tr>
      <w:tr w:rsidR="003C4798" w14:paraId="1216C73A" w14:textId="77777777">
        <w:trPr>
          <w:trHeight w:val="300"/>
          <w:jc w:val="center"/>
        </w:trPr>
        <w:tc>
          <w:tcPr>
            <w:tcW w:w="1277" w:type="dxa"/>
            <w:shd w:val="clear" w:color="auto" w:fill="C6EFCE"/>
            <w:hideMark/>
          </w:tcPr>
          <w:p w14:paraId="1216C736" w14:textId="77777777" w:rsidR="003C4798" w:rsidRDefault="00417595">
            <w:pPr>
              <w:pStyle w:val="P68B1DB1-Normal85"/>
              <w:spacing w:line="240" w:lineRule="auto"/>
              <w:jc w:val="center"/>
              <w:rPr>
                <w:noProof/>
              </w:rPr>
            </w:pPr>
            <w:r>
              <w:rPr>
                <w:noProof/>
              </w:rPr>
              <w:t>A2aG</w:t>
            </w:r>
          </w:p>
        </w:tc>
        <w:tc>
          <w:tcPr>
            <w:tcW w:w="3402" w:type="dxa"/>
            <w:shd w:val="clear" w:color="auto" w:fill="C6EFCE"/>
            <w:hideMark/>
          </w:tcPr>
          <w:p w14:paraId="1216C737" w14:textId="77777777" w:rsidR="003C4798" w:rsidRDefault="00417595">
            <w:pPr>
              <w:pStyle w:val="P68B1DB1-Normal85"/>
              <w:spacing w:line="240" w:lineRule="auto"/>
              <w:rPr>
                <w:noProof/>
              </w:rPr>
            </w:pPr>
            <w:r>
              <w:rPr>
                <w:noProof/>
              </w:rPr>
              <w:t>A1.1Réforme du cadre budgétaire</w:t>
            </w:r>
          </w:p>
        </w:tc>
        <w:tc>
          <w:tcPr>
            <w:tcW w:w="1275" w:type="dxa"/>
            <w:shd w:val="clear" w:color="auto" w:fill="C6EFCE"/>
            <w:hideMark/>
          </w:tcPr>
          <w:p w14:paraId="1216C738" w14:textId="77777777" w:rsidR="003C4798" w:rsidRDefault="00417595">
            <w:pPr>
              <w:pStyle w:val="P68B1DB1-Normal85"/>
              <w:spacing w:line="240" w:lineRule="auto"/>
              <w:jc w:val="center"/>
              <w:rPr>
                <w:noProof/>
              </w:rPr>
            </w:pPr>
            <w:r>
              <w:rPr>
                <w:noProof/>
              </w:rPr>
              <w:t>Étape</w:t>
            </w:r>
          </w:p>
        </w:tc>
        <w:tc>
          <w:tcPr>
            <w:tcW w:w="3969" w:type="dxa"/>
            <w:shd w:val="clear" w:color="auto" w:fill="C6EFCE"/>
            <w:hideMark/>
          </w:tcPr>
          <w:p w14:paraId="1216C739" w14:textId="23AB1A83" w:rsidR="003C4798" w:rsidRDefault="00417595">
            <w:pPr>
              <w:pStyle w:val="P68B1DB1-Normal85"/>
              <w:spacing w:line="240" w:lineRule="auto"/>
              <w:rPr>
                <w:noProof/>
              </w:rPr>
            </w:pPr>
            <w:r>
              <w:rPr>
                <w:noProof/>
              </w:rPr>
              <w:t>Modifications de l'agrégation des dépenses budgétaires et des critères d'évaluation des investissements publics</w:t>
            </w:r>
          </w:p>
        </w:tc>
      </w:tr>
      <w:tr w:rsidR="003C4798" w14:paraId="1216C73F" w14:textId="77777777">
        <w:trPr>
          <w:trHeight w:val="300"/>
          <w:jc w:val="center"/>
        </w:trPr>
        <w:tc>
          <w:tcPr>
            <w:tcW w:w="1277" w:type="dxa"/>
            <w:shd w:val="clear" w:color="auto" w:fill="C6EFCE"/>
            <w:hideMark/>
          </w:tcPr>
          <w:p w14:paraId="1216C73B"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A25aG </w:t>
            </w:r>
          </w:p>
        </w:tc>
        <w:tc>
          <w:tcPr>
            <w:tcW w:w="3402" w:type="dxa"/>
            <w:shd w:val="clear" w:color="auto" w:fill="C6EFCE"/>
            <w:hideMark/>
          </w:tcPr>
          <w:p w14:paraId="1216C73C" w14:textId="77777777" w:rsidR="003C4798" w:rsidRDefault="00417595">
            <w:pPr>
              <w:pStyle w:val="P68B1DB1-Normal85"/>
              <w:spacing w:line="240" w:lineRule="auto"/>
              <w:textAlignment w:val="baseline"/>
              <w:rPr>
                <w:rFonts w:eastAsia="Times New Roman" w:cs="Times New Roman"/>
                <w:noProof/>
                <w:sz w:val="24"/>
                <w:szCs w:val="24"/>
              </w:rPr>
            </w:pPr>
            <w:r>
              <w:rPr>
                <w:noProof/>
              </w:rPr>
              <w:t>A1.4.1 Modernisation des infrastructures ou des équipements dans le secteur agricole</w:t>
            </w:r>
          </w:p>
        </w:tc>
        <w:tc>
          <w:tcPr>
            <w:tcW w:w="1275" w:type="dxa"/>
            <w:shd w:val="clear" w:color="auto" w:fill="C6EFCE"/>
            <w:hideMark/>
          </w:tcPr>
          <w:p w14:paraId="1216C73D" w14:textId="77777777" w:rsidR="003C4798" w:rsidRDefault="00417595">
            <w:pPr>
              <w:pStyle w:val="P68B1DB1-Normal87"/>
              <w:spacing w:line="240" w:lineRule="auto"/>
              <w:jc w:val="center"/>
              <w:textAlignment w:val="baseline"/>
              <w:rPr>
                <w:noProof/>
              </w:rPr>
            </w:pPr>
            <w:r>
              <w:rPr>
                <w:noProof/>
              </w:rPr>
              <w:t>Objectif</w:t>
            </w:r>
          </w:p>
        </w:tc>
        <w:tc>
          <w:tcPr>
            <w:tcW w:w="3969" w:type="dxa"/>
            <w:shd w:val="clear" w:color="auto" w:fill="C6EFCE"/>
            <w:hideMark/>
          </w:tcPr>
          <w:p w14:paraId="1216C73E" w14:textId="77777777" w:rsidR="003C4798" w:rsidRDefault="00417595">
            <w:pPr>
              <w:pStyle w:val="P68B1DB1-Normal87"/>
              <w:spacing w:after="0" w:line="240" w:lineRule="auto"/>
              <w:textAlignment w:val="baseline"/>
              <w:rPr>
                <w:noProof/>
              </w:rPr>
            </w:pPr>
            <w:r>
              <w:rPr>
                <w:noProof/>
              </w:rPr>
              <w:t>Financement de projets visant à remplacer les matériaux nocifs pour l'environnement et la santé dans les bâtiments utilisés pour la production agricole</w:t>
            </w:r>
          </w:p>
        </w:tc>
      </w:tr>
      <w:tr w:rsidR="003C4798" w14:paraId="1216C744" w14:textId="77777777">
        <w:trPr>
          <w:trHeight w:val="435"/>
          <w:jc w:val="center"/>
        </w:trPr>
        <w:tc>
          <w:tcPr>
            <w:tcW w:w="1277" w:type="dxa"/>
            <w:shd w:val="clear" w:color="auto" w:fill="C6EFCE"/>
            <w:hideMark/>
          </w:tcPr>
          <w:p w14:paraId="1216C740" w14:textId="77777777" w:rsidR="003C4798" w:rsidRDefault="00417595">
            <w:pPr>
              <w:pStyle w:val="P68B1DB1-Normal85"/>
              <w:spacing w:line="240" w:lineRule="auto"/>
              <w:jc w:val="center"/>
              <w:rPr>
                <w:noProof/>
              </w:rPr>
            </w:pPr>
            <w:r>
              <w:rPr>
                <w:noProof/>
              </w:rPr>
              <w:t>A43G</w:t>
            </w:r>
          </w:p>
        </w:tc>
        <w:tc>
          <w:tcPr>
            <w:tcW w:w="3402" w:type="dxa"/>
            <w:shd w:val="clear" w:color="auto" w:fill="C6EFCE"/>
            <w:hideMark/>
          </w:tcPr>
          <w:p w14:paraId="1216C741" w14:textId="77777777" w:rsidR="003C4798" w:rsidRDefault="00417595">
            <w:pPr>
              <w:pStyle w:val="P68B1DB1-Normal85"/>
              <w:spacing w:line="240" w:lineRule="auto"/>
              <w:rPr>
                <w:rFonts w:eastAsia="Times New Roman" w:cs="Times New Roman"/>
                <w:noProof/>
                <w:sz w:val="24"/>
                <w:szCs w:val="24"/>
              </w:rPr>
            </w:pPr>
            <w:r>
              <w:rPr>
                <w:noProof/>
              </w:rPr>
              <w:t>A3.1</w:t>
            </w:r>
            <w:r>
              <w:rPr>
                <w:noProof/>
                <w:sz w:val="18"/>
                <w:szCs w:val="18"/>
              </w:rPr>
              <w:t xml:space="preserve"> </w:t>
            </w:r>
            <w:r>
              <w:rPr>
                <w:noProof/>
              </w:rPr>
              <w:t xml:space="preserve">Main-d'œuvre pour l'économie moderne: améliorer la mise en adéquation des compétences et des qualifications avec le marché du travail </w:t>
            </w:r>
          </w:p>
        </w:tc>
        <w:tc>
          <w:tcPr>
            <w:tcW w:w="1275" w:type="dxa"/>
            <w:shd w:val="clear" w:color="auto" w:fill="C6EFCE"/>
            <w:hideMark/>
          </w:tcPr>
          <w:p w14:paraId="1216C742" w14:textId="77777777" w:rsidR="003C4798" w:rsidRDefault="00417595">
            <w:pPr>
              <w:pStyle w:val="P68B1DB1-Normal85"/>
              <w:spacing w:line="240" w:lineRule="auto"/>
              <w:jc w:val="center"/>
              <w:rPr>
                <w:noProof/>
              </w:rPr>
            </w:pPr>
            <w:r>
              <w:rPr>
                <w:noProof/>
              </w:rPr>
              <w:t>Étape</w:t>
            </w:r>
          </w:p>
        </w:tc>
        <w:tc>
          <w:tcPr>
            <w:tcW w:w="3969" w:type="dxa"/>
            <w:shd w:val="clear" w:color="auto" w:fill="C6EFCE"/>
            <w:hideMark/>
          </w:tcPr>
          <w:p w14:paraId="1216C743" w14:textId="77777777" w:rsidR="003C4798" w:rsidRDefault="00417595">
            <w:pPr>
              <w:pStyle w:val="P68B1DB1-Normal87"/>
              <w:spacing w:line="240" w:lineRule="auto"/>
              <w:rPr>
                <w:noProof/>
                <w:sz w:val="24"/>
                <w:szCs w:val="24"/>
              </w:rPr>
            </w:pPr>
            <w:r>
              <w:rPr>
                <w:noProof/>
              </w:rPr>
              <w:t>Entrée en vigueur du ou des actes juridiques définissant les responsabilités des régions en ce qui concerne les politiques en matière de compétences</w:t>
            </w:r>
          </w:p>
        </w:tc>
      </w:tr>
      <w:tr w:rsidR="003C4798" w14:paraId="1216C749" w14:textId="77777777">
        <w:trPr>
          <w:trHeight w:val="300"/>
          <w:jc w:val="center"/>
        </w:trPr>
        <w:tc>
          <w:tcPr>
            <w:tcW w:w="1277" w:type="dxa"/>
            <w:shd w:val="clear" w:color="auto" w:fill="C6EFCE"/>
            <w:hideMark/>
          </w:tcPr>
          <w:p w14:paraId="1216C745"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 xml:space="preserve">A45G </w:t>
            </w:r>
          </w:p>
        </w:tc>
        <w:tc>
          <w:tcPr>
            <w:tcW w:w="3402" w:type="dxa"/>
            <w:shd w:val="clear" w:color="auto" w:fill="C6EFCE"/>
            <w:hideMark/>
          </w:tcPr>
          <w:p w14:paraId="1216C746" w14:textId="77777777" w:rsidR="003C4798" w:rsidRDefault="00417595">
            <w:pPr>
              <w:pStyle w:val="P68B1DB1-Normal85"/>
              <w:spacing w:line="240" w:lineRule="auto"/>
              <w:textAlignment w:val="baseline"/>
              <w:rPr>
                <w:rFonts w:eastAsia="Times New Roman" w:cs="Times New Roman"/>
                <w:noProof/>
                <w:sz w:val="24"/>
                <w:szCs w:val="24"/>
              </w:rPr>
            </w:pPr>
            <w:r>
              <w:rPr>
                <w:noProof/>
              </w:rPr>
              <w:t>A3.1.1 Investissements dans la formation professionnelle moderne, l'enseignement supérieur et l'apprentissage tout au long de la vie</w:t>
            </w:r>
          </w:p>
        </w:tc>
        <w:tc>
          <w:tcPr>
            <w:tcW w:w="1275" w:type="dxa"/>
            <w:shd w:val="clear" w:color="auto" w:fill="C6EFCE"/>
            <w:hideMark/>
          </w:tcPr>
          <w:p w14:paraId="1216C747"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Objectif</w:t>
            </w:r>
          </w:p>
        </w:tc>
        <w:tc>
          <w:tcPr>
            <w:tcW w:w="3969" w:type="dxa"/>
            <w:shd w:val="clear" w:color="auto" w:fill="C6EFCE"/>
            <w:hideMark/>
          </w:tcPr>
          <w:p w14:paraId="1216C748" w14:textId="77777777" w:rsidR="003C4798" w:rsidRDefault="00417595">
            <w:pPr>
              <w:pStyle w:val="P68B1DB1-Normal85"/>
              <w:spacing w:line="240" w:lineRule="auto"/>
              <w:textAlignment w:val="baseline"/>
              <w:rPr>
                <w:noProof/>
              </w:rPr>
            </w:pPr>
            <w:r>
              <w:rPr>
                <w:noProof/>
              </w:rPr>
              <w:t>T2 - Centres sectoriels de compétences</w:t>
            </w:r>
          </w:p>
        </w:tc>
      </w:tr>
      <w:tr w:rsidR="003C4798" w14:paraId="1216C74E" w14:textId="77777777">
        <w:trPr>
          <w:trHeight w:val="300"/>
          <w:jc w:val="center"/>
        </w:trPr>
        <w:tc>
          <w:tcPr>
            <w:tcW w:w="1277" w:type="dxa"/>
            <w:shd w:val="clear" w:color="auto" w:fill="C6EFCE"/>
            <w:hideMark/>
          </w:tcPr>
          <w:p w14:paraId="1216C74A"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 xml:space="preserve">A64G </w:t>
            </w:r>
          </w:p>
        </w:tc>
        <w:tc>
          <w:tcPr>
            <w:tcW w:w="3402" w:type="dxa"/>
            <w:shd w:val="clear" w:color="auto" w:fill="C6EFCE"/>
            <w:hideMark/>
          </w:tcPr>
          <w:p w14:paraId="1216C74B" w14:textId="77777777" w:rsidR="003C4798" w:rsidRDefault="00417595">
            <w:pPr>
              <w:pStyle w:val="P68B1DB1-Normal85"/>
              <w:spacing w:line="240" w:lineRule="auto"/>
              <w:textAlignment w:val="baseline"/>
              <w:rPr>
                <w:rFonts w:eastAsia="Times New Roman" w:cs="Times New Roman"/>
                <w:noProof/>
                <w:sz w:val="24"/>
                <w:szCs w:val="24"/>
              </w:rPr>
            </w:pPr>
            <w:r>
              <w:rPr>
                <w:noProof/>
              </w:rPr>
              <w:t>A4.3.1 Investissements dans les entités de l’économie sociale</w:t>
            </w:r>
          </w:p>
        </w:tc>
        <w:tc>
          <w:tcPr>
            <w:tcW w:w="1275" w:type="dxa"/>
            <w:shd w:val="clear" w:color="auto" w:fill="C6EFCE"/>
            <w:hideMark/>
          </w:tcPr>
          <w:p w14:paraId="1216C74C"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Objectif</w:t>
            </w:r>
          </w:p>
        </w:tc>
        <w:tc>
          <w:tcPr>
            <w:tcW w:w="3969" w:type="dxa"/>
            <w:shd w:val="clear" w:color="auto" w:fill="C6EFCE"/>
            <w:hideMark/>
          </w:tcPr>
          <w:p w14:paraId="1216C74D" w14:textId="3927EA6B" w:rsidR="003C4798" w:rsidRDefault="00417595">
            <w:pPr>
              <w:pStyle w:val="P68B1DB1-Normal85"/>
              <w:spacing w:line="240" w:lineRule="auto"/>
              <w:textAlignment w:val="baseline"/>
              <w:rPr>
                <w:noProof/>
              </w:rPr>
            </w:pPr>
            <w:r>
              <w:rPr>
                <w:noProof/>
              </w:rPr>
              <w:t>Nombre d’entités de l’économie sociale bénéficiant d’un soutien financier</w:t>
            </w:r>
          </w:p>
        </w:tc>
      </w:tr>
      <w:tr w:rsidR="003C4798" w14:paraId="1216C758" w14:textId="77777777">
        <w:trPr>
          <w:trHeight w:val="300"/>
          <w:jc w:val="center"/>
        </w:trPr>
        <w:tc>
          <w:tcPr>
            <w:tcW w:w="1277" w:type="dxa"/>
            <w:shd w:val="clear" w:color="auto" w:fill="C6EFCE"/>
            <w:hideMark/>
          </w:tcPr>
          <w:p w14:paraId="1216C754"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A72G </w:t>
            </w:r>
          </w:p>
        </w:tc>
        <w:tc>
          <w:tcPr>
            <w:tcW w:w="3402" w:type="dxa"/>
            <w:shd w:val="clear" w:color="auto" w:fill="C6EFCE"/>
            <w:hideMark/>
          </w:tcPr>
          <w:p w14:paraId="1216C755" w14:textId="77777777" w:rsidR="003C4798" w:rsidRDefault="00417595">
            <w:pPr>
              <w:pStyle w:val="P68B1DB1-Normal85"/>
              <w:spacing w:line="240" w:lineRule="auto"/>
              <w:textAlignment w:val="baseline"/>
              <w:rPr>
                <w:rFonts w:eastAsia="Times New Roman" w:cs="Times New Roman"/>
                <w:noProof/>
                <w:sz w:val="24"/>
                <w:szCs w:val="24"/>
              </w:rPr>
            </w:pPr>
            <w:r>
              <w:rPr>
                <w:noProof/>
              </w:rPr>
              <w:t>A4.7 Limiter la segmentation du marché du travail</w:t>
            </w:r>
          </w:p>
        </w:tc>
        <w:tc>
          <w:tcPr>
            <w:tcW w:w="1275" w:type="dxa"/>
            <w:shd w:val="clear" w:color="auto" w:fill="C6EFCE"/>
            <w:hideMark/>
          </w:tcPr>
          <w:p w14:paraId="1216C756"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Étape</w:t>
            </w:r>
          </w:p>
        </w:tc>
        <w:tc>
          <w:tcPr>
            <w:tcW w:w="3969" w:type="dxa"/>
            <w:shd w:val="clear" w:color="auto" w:fill="C6EFCE"/>
            <w:hideMark/>
          </w:tcPr>
          <w:p w14:paraId="1216C757" w14:textId="77777777" w:rsidR="003C4798" w:rsidRDefault="00417595">
            <w:pPr>
              <w:pStyle w:val="P68B1DB1-Normal85"/>
              <w:spacing w:line="240" w:lineRule="auto"/>
              <w:textAlignment w:val="baseline"/>
              <w:rPr>
                <w:noProof/>
              </w:rPr>
            </w:pPr>
            <w:r>
              <w:rPr>
                <w:noProof/>
              </w:rPr>
              <w:t>Mesures de renforcement des capacités de l'Inspection nationale du travail</w:t>
            </w:r>
          </w:p>
        </w:tc>
      </w:tr>
      <w:tr w:rsidR="003C4798" w14:paraId="1216C75D" w14:textId="77777777">
        <w:trPr>
          <w:trHeight w:val="300"/>
          <w:jc w:val="center"/>
        </w:trPr>
        <w:tc>
          <w:tcPr>
            <w:tcW w:w="1277" w:type="dxa"/>
            <w:shd w:val="clear" w:color="auto" w:fill="C6EFCE"/>
            <w:hideMark/>
          </w:tcPr>
          <w:p w14:paraId="1216C759"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A73G </w:t>
            </w:r>
          </w:p>
        </w:tc>
        <w:tc>
          <w:tcPr>
            <w:tcW w:w="3402" w:type="dxa"/>
            <w:shd w:val="clear" w:color="auto" w:fill="C6EFCE"/>
            <w:hideMark/>
          </w:tcPr>
          <w:p w14:paraId="1216C75A" w14:textId="77777777" w:rsidR="003C4798" w:rsidRDefault="00417595">
            <w:pPr>
              <w:pStyle w:val="P68B1DB1-Normal85"/>
              <w:spacing w:line="240" w:lineRule="auto"/>
              <w:textAlignment w:val="baseline"/>
              <w:rPr>
                <w:rFonts w:eastAsia="Times New Roman" w:cs="Times New Roman"/>
                <w:noProof/>
                <w:sz w:val="24"/>
                <w:szCs w:val="24"/>
              </w:rPr>
            </w:pPr>
            <w:r>
              <w:rPr>
                <w:noProof/>
              </w:rPr>
              <w:t>A5.1 Contribution au compartiment «États membres» au titre du programme InvestEU</w:t>
            </w:r>
          </w:p>
        </w:tc>
        <w:tc>
          <w:tcPr>
            <w:tcW w:w="1275" w:type="dxa"/>
            <w:shd w:val="clear" w:color="auto" w:fill="C6EFCE"/>
            <w:hideMark/>
          </w:tcPr>
          <w:p w14:paraId="1216C75B"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Étape</w:t>
            </w:r>
          </w:p>
        </w:tc>
        <w:tc>
          <w:tcPr>
            <w:tcW w:w="3969" w:type="dxa"/>
            <w:shd w:val="clear" w:color="auto" w:fill="C6EFCE"/>
            <w:hideMark/>
          </w:tcPr>
          <w:p w14:paraId="1216C75C" w14:textId="77777777" w:rsidR="003C4798" w:rsidRDefault="00417595">
            <w:pPr>
              <w:pStyle w:val="P68B1DB1-Normal87"/>
              <w:spacing w:line="240" w:lineRule="auto"/>
              <w:textAlignment w:val="baseline"/>
              <w:rPr>
                <w:noProof/>
                <w:sz w:val="24"/>
                <w:szCs w:val="24"/>
              </w:rPr>
            </w:pPr>
            <w:r>
              <w:rPr>
                <w:noProof/>
              </w:rPr>
              <w:t>Signature de la convention de contribution au titre d’InvestEU entre le gouvernement polonais et la Commission européenne</w:t>
            </w:r>
          </w:p>
        </w:tc>
      </w:tr>
      <w:tr w:rsidR="003C4798" w14:paraId="1216C762" w14:textId="77777777">
        <w:trPr>
          <w:trHeight w:val="300"/>
          <w:jc w:val="center"/>
        </w:trPr>
        <w:tc>
          <w:tcPr>
            <w:tcW w:w="1277" w:type="dxa"/>
            <w:shd w:val="clear" w:color="auto" w:fill="C6EFCE"/>
            <w:hideMark/>
          </w:tcPr>
          <w:p w14:paraId="1216C75E" w14:textId="77777777" w:rsidR="003C4798" w:rsidRDefault="00417595">
            <w:pPr>
              <w:pStyle w:val="P68B1DB1-Normal85"/>
              <w:spacing w:line="240" w:lineRule="auto"/>
              <w:jc w:val="center"/>
              <w:textAlignment w:val="baseline"/>
              <w:rPr>
                <w:rFonts w:eastAsia="Times New Roman" w:cs="Times New Roman"/>
                <w:noProof/>
              </w:rPr>
            </w:pPr>
            <w:r>
              <w:rPr>
                <w:noProof/>
              </w:rPr>
              <w:t xml:space="preserve">B41G </w:t>
            </w:r>
          </w:p>
        </w:tc>
        <w:tc>
          <w:tcPr>
            <w:tcW w:w="3402" w:type="dxa"/>
            <w:shd w:val="clear" w:color="auto" w:fill="C6EFCE"/>
            <w:hideMark/>
          </w:tcPr>
          <w:p w14:paraId="1216C75F" w14:textId="79F0DE59" w:rsidR="003C4798" w:rsidRDefault="00417595">
            <w:pPr>
              <w:pStyle w:val="P68B1DB1-Normal85"/>
              <w:spacing w:line="240" w:lineRule="auto"/>
              <w:textAlignment w:val="baseline"/>
              <w:rPr>
                <w:rFonts w:eastAsia="Times New Roman" w:cs="Times New Roman"/>
                <w:noProof/>
              </w:rPr>
            </w:pPr>
            <w:r>
              <w:rPr>
                <w:noProof/>
              </w:rPr>
              <w:t>B3.1.1 Investissements dans les infrastructures de traitement des eaux usées et d'approvisionnement en eau</w:t>
            </w:r>
          </w:p>
        </w:tc>
        <w:tc>
          <w:tcPr>
            <w:tcW w:w="1275" w:type="dxa"/>
            <w:shd w:val="clear" w:color="auto" w:fill="C6EFCE"/>
            <w:hideMark/>
          </w:tcPr>
          <w:p w14:paraId="1216C760" w14:textId="77777777" w:rsidR="003C4798" w:rsidRDefault="00417595">
            <w:pPr>
              <w:pStyle w:val="P68B1DB1-Normal85"/>
              <w:spacing w:line="240" w:lineRule="auto"/>
              <w:jc w:val="center"/>
              <w:textAlignment w:val="baseline"/>
              <w:rPr>
                <w:rFonts w:eastAsia="Times New Roman" w:cs="Times New Roman"/>
                <w:noProof/>
              </w:rPr>
            </w:pPr>
            <w:r>
              <w:rPr>
                <w:noProof/>
              </w:rPr>
              <w:t>Objectif</w:t>
            </w:r>
          </w:p>
        </w:tc>
        <w:tc>
          <w:tcPr>
            <w:tcW w:w="3969" w:type="dxa"/>
            <w:shd w:val="clear" w:color="auto" w:fill="C6EFCE"/>
            <w:hideMark/>
          </w:tcPr>
          <w:p w14:paraId="1216C761" w14:textId="288EF844" w:rsidR="003C4798" w:rsidRDefault="00417595">
            <w:pPr>
              <w:pStyle w:val="P68B1DB1-Normal87"/>
              <w:spacing w:line="240" w:lineRule="auto"/>
              <w:rPr>
                <w:bCs/>
                <w:noProof/>
              </w:rPr>
            </w:pPr>
            <w:r>
              <w:rPr>
                <w:noProof/>
              </w:rPr>
              <w:t>Soutien aux eaux usées et à l'approvisionnement en eau</w:t>
            </w:r>
          </w:p>
        </w:tc>
      </w:tr>
      <w:tr w:rsidR="003C4798" w14:paraId="1216C767" w14:textId="77777777">
        <w:trPr>
          <w:trHeight w:val="300"/>
          <w:jc w:val="center"/>
        </w:trPr>
        <w:tc>
          <w:tcPr>
            <w:tcW w:w="1277" w:type="dxa"/>
            <w:shd w:val="clear" w:color="auto" w:fill="C6EFCE"/>
            <w:hideMark/>
          </w:tcPr>
          <w:p w14:paraId="1216C763"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 xml:space="preserve">C14G </w:t>
            </w:r>
          </w:p>
        </w:tc>
        <w:tc>
          <w:tcPr>
            <w:tcW w:w="3402" w:type="dxa"/>
            <w:shd w:val="clear" w:color="auto" w:fill="C6EFCE"/>
            <w:hideMark/>
          </w:tcPr>
          <w:p w14:paraId="1216C764" w14:textId="77777777" w:rsidR="003C4798" w:rsidRDefault="00417595">
            <w:pPr>
              <w:pStyle w:val="P68B1DB1-Normal85"/>
              <w:spacing w:line="240" w:lineRule="auto"/>
              <w:textAlignment w:val="baseline"/>
              <w:rPr>
                <w:rFonts w:eastAsia="Times New Roman" w:cs="Times New Roman"/>
                <w:noProof/>
                <w:sz w:val="24"/>
                <w:szCs w:val="24"/>
              </w:rPr>
            </w:pPr>
            <w:r>
              <w:rPr>
                <w:noProof/>
              </w:rPr>
              <w:t>C2.1.2 Technologies numériques dans l’enseignement scolaire – appareils portables</w:t>
            </w:r>
          </w:p>
        </w:tc>
        <w:tc>
          <w:tcPr>
            <w:tcW w:w="1275" w:type="dxa"/>
            <w:shd w:val="clear" w:color="auto" w:fill="C6EFCE"/>
            <w:hideMark/>
          </w:tcPr>
          <w:p w14:paraId="1216C765"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Objectif</w:t>
            </w:r>
          </w:p>
        </w:tc>
        <w:tc>
          <w:tcPr>
            <w:tcW w:w="3969" w:type="dxa"/>
            <w:shd w:val="clear" w:color="auto" w:fill="C6EFCE"/>
            <w:hideMark/>
          </w:tcPr>
          <w:p w14:paraId="1216C766" w14:textId="77777777" w:rsidR="003C4798" w:rsidRDefault="00417595">
            <w:pPr>
              <w:pStyle w:val="P68B1DB1-Normal85"/>
              <w:spacing w:line="240" w:lineRule="auto"/>
              <w:textAlignment w:val="baseline"/>
              <w:rPr>
                <w:bCs/>
                <w:noProof/>
              </w:rPr>
            </w:pPr>
            <w:r>
              <w:rPr>
                <w:noProof/>
              </w:rPr>
              <w:t>Bons pour ordinateurs portables</w:t>
            </w:r>
          </w:p>
        </w:tc>
      </w:tr>
      <w:tr w:rsidR="003C4798" w14:paraId="1216C76C" w14:textId="77777777">
        <w:trPr>
          <w:trHeight w:val="300"/>
          <w:jc w:val="center"/>
        </w:trPr>
        <w:tc>
          <w:tcPr>
            <w:tcW w:w="1277" w:type="dxa"/>
            <w:shd w:val="clear" w:color="auto" w:fill="C6EFCE"/>
            <w:hideMark/>
          </w:tcPr>
          <w:p w14:paraId="1216C768"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 xml:space="preserve">C15G </w:t>
            </w:r>
          </w:p>
        </w:tc>
        <w:tc>
          <w:tcPr>
            <w:tcW w:w="3402" w:type="dxa"/>
            <w:shd w:val="clear" w:color="auto" w:fill="C6EFCE"/>
            <w:hideMark/>
          </w:tcPr>
          <w:p w14:paraId="1216C769" w14:textId="77777777" w:rsidR="003C4798" w:rsidRDefault="00417595">
            <w:pPr>
              <w:pStyle w:val="P68B1DB1-Normal85"/>
              <w:spacing w:line="240" w:lineRule="auto"/>
              <w:textAlignment w:val="baseline"/>
              <w:rPr>
                <w:rFonts w:eastAsia="Times New Roman" w:cs="Times New Roman"/>
                <w:noProof/>
                <w:sz w:val="24"/>
                <w:szCs w:val="24"/>
              </w:rPr>
            </w:pPr>
            <w:r>
              <w:rPr>
                <w:noProof/>
              </w:rPr>
              <w:t>C2.1.2 Technologies numériques dans l’enseignement scolaire – appareils portables</w:t>
            </w:r>
          </w:p>
        </w:tc>
        <w:tc>
          <w:tcPr>
            <w:tcW w:w="1275" w:type="dxa"/>
            <w:shd w:val="clear" w:color="auto" w:fill="C6EFCE"/>
            <w:hideMark/>
          </w:tcPr>
          <w:p w14:paraId="1216C76A"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Objectif</w:t>
            </w:r>
          </w:p>
        </w:tc>
        <w:tc>
          <w:tcPr>
            <w:tcW w:w="3969" w:type="dxa"/>
            <w:shd w:val="clear" w:color="auto" w:fill="C6EFCE"/>
            <w:hideMark/>
          </w:tcPr>
          <w:p w14:paraId="1216C76B" w14:textId="77777777" w:rsidR="003C4798" w:rsidRDefault="00417595">
            <w:pPr>
              <w:pStyle w:val="P68B1DB1-Normal87"/>
              <w:spacing w:line="240" w:lineRule="auto"/>
              <w:textAlignment w:val="baseline"/>
              <w:rPr>
                <w:noProof/>
              </w:rPr>
            </w:pPr>
            <w:r>
              <w:rPr>
                <w:noProof/>
              </w:rPr>
              <w:t>Appareils portables livrés</w:t>
            </w:r>
          </w:p>
        </w:tc>
      </w:tr>
      <w:tr w:rsidR="003C4798" w14:paraId="1216C771" w14:textId="77777777">
        <w:trPr>
          <w:trHeight w:val="300"/>
          <w:jc w:val="center"/>
        </w:trPr>
        <w:tc>
          <w:tcPr>
            <w:tcW w:w="1277" w:type="dxa"/>
            <w:shd w:val="clear" w:color="auto" w:fill="C6EFCE"/>
            <w:hideMark/>
          </w:tcPr>
          <w:p w14:paraId="1216C76D"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 xml:space="preserve">C26G </w:t>
            </w:r>
          </w:p>
        </w:tc>
        <w:tc>
          <w:tcPr>
            <w:tcW w:w="3402" w:type="dxa"/>
            <w:shd w:val="clear" w:color="auto" w:fill="C6EFCE"/>
            <w:hideMark/>
          </w:tcPr>
          <w:p w14:paraId="1216C76E" w14:textId="77777777" w:rsidR="003C4798" w:rsidRDefault="00417595">
            <w:pPr>
              <w:pStyle w:val="P68B1DB1-Normal85"/>
              <w:spacing w:line="240" w:lineRule="auto"/>
              <w:textAlignment w:val="baseline"/>
              <w:rPr>
                <w:rFonts w:eastAsia="Times New Roman" w:cs="Times New Roman"/>
                <w:noProof/>
                <w:sz w:val="24"/>
                <w:szCs w:val="24"/>
              </w:rPr>
            </w:pPr>
            <w:r>
              <w:rPr>
                <w:noProof/>
              </w:rPr>
              <w:t>C3.1.1 Cybersécurité – CyberPL, infrastructure de traitement des données et optimisation de l’infrastructure des services répressifs</w:t>
            </w:r>
          </w:p>
        </w:tc>
        <w:tc>
          <w:tcPr>
            <w:tcW w:w="1275" w:type="dxa"/>
            <w:shd w:val="clear" w:color="auto" w:fill="C6EFCE"/>
            <w:hideMark/>
          </w:tcPr>
          <w:p w14:paraId="1216C76F" w14:textId="177A6F9E" w:rsidR="003C4798" w:rsidRDefault="00417595">
            <w:pPr>
              <w:pStyle w:val="P68B1DB1-Normal85"/>
              <w:spacing w:line="240" w:lineRule="auto"/>
              <w:jc w:val="center"/>
              <w:textAlignment w:val="baseline"/>
              <w:rPr>
                <w:rFonts w:eastAsia="Times New Roman" w:cs="Times New Roman"/>
                <w:noProof/>
                <w:sz w:val="24"/>
                <w:szCs w:val="24"/>
              </w:rPr>
            </w:pPr>
            <w:r>
              <w:rPr>
                <w:noProof/>
              </w:rPr>
              <w:t>Étape</w:t>
            </w:r>
          </w:p>
        </w:tc>
        <w:tc>
          <w:tcPr>
            <w:tcW w:w="3969" w:type="dxa"/>
            <w:shd w:val="clear" w:color="auto" w:fill="C6EFCE"/>
            <w:hideMark/>
          </w:tcPr>
          <w:p w14:paraId="1216C770" w14:textId="77777777" w:rsidR="003C4798" w:rsidRDefault="00417595">
            <w:pPr>
              <w:pStyle w:val="P68B1DB1-Normal87"/>
              <w:spacing w:line="240" w:lineRule="auto"/>
              <w:textAlignment w:val="baseline"/>
              <w:rPr>
                <w:noProof/>
              </w:rPr>
            </w:pPr>
            <w:r>
              <w:rPr>
                <w:noProof/>
              </w:rPr>
              <w:t>Fourniture de matériel pour les services répressifs</w:t>
            </w:r>
          </w:p>
        </w:tc>
      </w:tr>
      <w:tr w:rsidR="003C4798" w14:paraId="1216C776" w14:textId="77777777">
        <w:tblPrEx>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PrEx>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2"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G5G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3" w14:textId="77777777" w:rsidR="003C4798" w:rsidRDefault="00417595">
            <w:pPr>
              <w:pStyle w:val="P68B1DB1-Normal85"/>
              <w:spacing w:line="240" w:lineRule="auto"/>
              <w:textAlignment w:val="baseline"/>
              <w:rPr>
                <w:rFonts w:eastAsia="Times New Roman" w:cs="Times New Roman"/>
                <w:noProof/>
              </w:rPr>
            </w:pPr>
            <w:r>
              <w:rPr>
                <w:noProof/>
              </w:rPr>
              <w:t>G1.1.2 Soutenir l'expansion des communautés énergétiques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4"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5" w14:textId="77777777" w:rsidR="003C4798" w:rsidRDefault="00417595">
            <w:pPr>
              <w:pStyle w:val="P68B1DB1-Normal87"/>
              <w:spacing w:line="240" w:lineRule="auto"/>
              <w:textAlignment w:val="baseline"/>
              <w:rPr>
                <w:noProof/>
              </w:rPr>
            </w:pPr>
            <w:r>
              <w:rPr>
                <w:noProof/>
              </w:rPr>
              <w:t>Entités soutenues dans le cadre de la partie «investissement»</w:t>
            </w:r>
          </w:p>
        </w:tc>
      </w:tr>
      <w:tr w:rsidR="003C4798" w14:paraId="1216C77B" w14:textId="77777777">
        <w:trPr>
          <w:trHeight w:val="300"/>
          <w:jc w:val="center"/>
        </w:trPr>
        <w:tc>
          <w:tcPr>
            <w:tcW w:w="1277" w:type="dxa"/>
            <w:shd w:val="clear" w:color="auto" w:fill="C6EFCE"/>
          </w:tcPr>
          <w:p w14:paraId="1216C777" w14:textId="77777777" w:rsidR="003C4798" w:rsidRDefault="00417595">
            <w:pPr>
              <w:pStyle w:val="P68B1DB1-Normal85"/>
              <w:spacing w:line="240" w:lineRule="auto"/>
              <w:jc w:val="center"/>
              <w:textAlignment w:val="baseline"/>
              <w:rPr>
                <w:noProof/>
              </w:rPr>
            </w:pPr>
            <w:r>
              <w:rPr>
                <w:noProof/>
              </w:rPr>
              <w:t>G8G</w:t>
            </w:r>
          </w:p>
        </w:tc>
        <w:tc>
          <w:tcPr>
            <w:tcW w:w="3402" w:type="dxa"/>
            <w:shd w:val="clear" w:color="auto" w:fill="C6EFCE"/>
          </w:tcPr>
          <w:p w14:paraId="1216C778" w14:textId="77777777" w:rsidR="003C4798" w:rsidRDefault="00417595">
            <w:pPr>
              <w:pStyle w:val="P68B1DB1-Normal85"/>
              <w:spacing w:line="240" w:lineRule="auto"/>
              <w:textAlignment w:val="baseline"/>
              <w:rPr>
                <w:noProof/>
              </w:rPr>
            </w:pPr>
            <w:r>
              <w:rPr>
                <w:noProof/>
              </w:rPr>
              <w:t>G1.1.4 Soutien aux institutions mettant en œuvre les réformes et les investissements REPowerEU</w:t>
            </w:r>
          </w:p>
        </w:tc>
        <w:tc>
          <w:tcPr>
            <w:tcW w:w="1275" w:type="dxa"/>
            <w:shd w:val="clear" w:color="auto" w:fill="C6EFCE"/>
          </w:tcPr>
          <w:p w14:paraId="1216C779" w14:textId="77777777" w:rsidR="003C4798" w:rsidRDefault="00417595">
            <w:pPr>
              <w:pStyle w:val="P68B1DB1-Normal85"/>
              <w:spacing w:line="240" w:lineRule="auto"/>
              <w:jc w:val="center"/>
              <w:textAlignment w:val="baseline"/>
              <w:rPr>
                <w:noProof/>
              </w:rPr>
            </w:pPr>
            <w:r>
              <w:rPr>
                <w:noProof/>
              </w:rPr>
              <w:t>Objectif</w:t>
            </w:r>
          </w:p>
        </w:tc>
        <w:tc>
          <w:tcPr>
            <w:tcW w:w="3969" w:type="dxa"/>
            <w:shd w:val="clear" w:color="auto" w:fill="C6EFCE"/>
          </w:tcPr>
          <w:p w14:paraId="1216C77A" w14:textId="77777777" w:rsidR="003C4798" w:rsidRDefault="00417595">
            <w:pPr>
              <w:pStyle w:val="P68B1DB1-Normal85"/>
              <w:spacing w:line="240" w:lineRule="auto"/>
              <w:textAlignment w:val="baseline"/>
              <w:rPr>
                <w:noProof/>
              </w:rPr>
            </w:pPr>
            <w:r>
              <w:rPr>
                <w:noProof/>
              </w:rPr>
              <w:t>ONG réalisant des projets de renforcement des capacités</w:t>
            </w:r>
          </w:p>
        </w:tc>
      </w:tr>
      <w:tr w:rsidR="003C4798" w14:paraId="1216C780" w14:textId="77777777">
        <w:trPr>
          <w:trHeight w:val="300"/>
          <w:jc w:val="center"/>
        </w:trPr>
        <w:tc>
          <w:tcPr>
            <w:tcW w:w="1277" w:type="dxa"/>
            <w:shd w:val="clear" w:color="auto" w:fill="C6EFCE"/>
            <w:hideMark/>
          </w:tcPr>
          <w:p w14:paraId="1216C77C" w14:textId="77777777" w:rsidR="003C4798" w:rsidRDefault="00417595">
            <w:pPr>
              <w:pStyle w:val="P68B1DB1-Normal85"/>
              <w:spacing w:line="240" w:lineRule="auto"/>
              <w:jc w:val="center"/>
              <w:textAlignment w:val="baseline"/>
              <w:rPr>
                <w:rFonts w:eastAsia="Times New Roman" w:cs="Times New Roman"/>
                <w:noProof/>
              </w:rPr>
            </w:pPr>
            <w:r>
              <w:rPr>
                <w:noProof/>
              </w:rPr>
              <w:t xml:space="preserve">G14G </w:t>
            </w:r>
          </w:p>
        </w:tc>
        <w:tc>
          <w:tcPr>
            <w:tcW w:w="3402" w:type="dxa"/>
            <w:shd w:val="clear" w:color="auto" w:fill="C6EFCE"/>
            <w:hideMark/>
          </w:tcPr>
          <w:p w14:paraId="1216C77D" w14:textId="77777777" w:rsidR="003C4798" w:rsidRDefault="00417595">
            <w:pPr>
              <w:pStyle w:val="P68B1DB1-Normal85"/>
              <w:spacing w:line="240" w:lineRule="auto"/>
              <w:textAlignment w:val="baseline"/>
              <w:rPr>
                <w:noProof/>
              </w:rPr>
            </w:pPr>
            <w:r>
              <w:rPr>
                <w:noProof/>
              </w:rPr>
              <w:t>G1.2.2 Suppression des obstacles à l'intégration des sources d'énergie renouvelables dans les réseaux électriques</w:t>
            </w:r>
          </w:p>
        </w:tc>
        <w:tc>
          <w:tcPr>
            <w:tcW w:w="1275" w:type="dxa"/>
            <w:shd w:val="clear" w:color="auto" w:fill="C6EFCE"/>
            <w:hideMark/>
          </w:tcPr>
          <w:p w14:paraId="1216C77E" w14:textId="77777777" w:rsidR="003C4798" w:rsidRDefault="00417595">
            <w:pPr>
              <w:pStyle w:val="P68B1DB1-Normal85"/>
              <w:spacing w:line="240" w:lineRule="auto"/>
              <w:jc w:val="center"/>
              <w:textAlignment w:val="baseline"/>
              <w:rPr>
                <w:rFonts w:eastAsia="Times New Roman" w:cs="Times New Roman"/>
                <w:noProof/>
              </w:rPr>
            </w:pPr>
            <w:r>
              <w:rPr>
                <w:noProof/>
              </w:rPr>
              <w:t>Étape</w:t>
            </w:r>
          </w:p>
        </w:tc>
        <w:tc>
          <w:tcPr>
            <w:tcW w:w="3969" w:type="dxa"/>
            <w:shd w:val="clear" w:color="auto" w:fill="C6EFCE"/>
            <w:hideMark/>
          </w:tcPr>
          <w:p w14:paraId="1216C77F" w14:textId="77777777" w:rsidR="003C4798" w:rsidRDefault="00417595">
            <w:pPr>
              <w:pStyle w:val="P68B1DB1-Normal87"/>
              <w:spacing w:line="240" w:lineRule="auto"/>
              <w:textAlignment w:val="baseline"/>
              <w:rPr>
                <w:noProof/>
              </w:rPr>
            </w:pPr>
            <w:r>
              <w:rPr>
                <w:noProof/>
              </w:rPr>
              <w:t>Entrée en vigueur du ou des actes juridiques concernant les connexions au réseau</w:t>
            </w:r>
          </w:p>
        </w:tc>
      </w:tr>
      <w:tr w:rsidR="003C4798" w14:paraId="1216C785" w14:textId="77777777">
        <w:trPr>
          <w:trHeight w:val="300"/>
          <w:jc w:val="center"/>
        </w:trPr>
        <w:tc>
          <w:tcPr>
            <w:tcW w:w="1277" w:type="dxa"/>
            <w:shd w:val="clear" w:color="auto" w:fill="C6EFCE"/>
            <w:hideMark/>
          </w:tcPr>
          <w:p w14:paraId="1216C781" w14:textId="77777777" w:rsidR="003C4798" w:rsidRDefault="00417595">
            <w:pPr>
              <w:pStyle w:val="P68B1DB1-Normal85"/>
              <w:spacing w:line="240" w:lineRule="auto"/>
              <w:jc w:val="center"/>
              <w:textAlignment w:val="baseline"/>
              <w:rPr>
                <w:rFonts w:eastAsia="Times New Roman" w:cs="Times New Roman"/>
                <w:noProof/>
              </w:rPr>
            </w:pPr>
            <w:r>
              <w:rPr>
                <w:noProof/>
              </w:rPr>
              <w:t xml:space="preserve">G21G </w:t>
            </w:r>
          </w:p>
        </w:tc>
        <w:tc>
          <w:tcPr>
            <w:tcW w:w="3402" w:type="dxa"/>
            <w:shd w:val="clear" w:color="auto" w:fill="C6EFCE"/>
            <w:hideMark/>
          </w:tcPr>
          <w:p w14:paraId="1216C782" w14:textId="77777777" w:rsidR="003C4798" w:rsidRDefault="00417595">
            <w:pPr>
              <w:pStyle w:val="P68B1DB1-Normal87"/>
              <w:spacing w:after="0"/>
              <w:rPr>
                <w:noProof/>
              </w:rPr>
            </w:pPr>
            <w:r>
              <w:rPr>
                <w:noProof/>
              </w:rPr>
              <w:t>G1.2.3 Réseaux de transport et infrastructures électriques intelligentes</w:t>
            </w:r>
          </w:p>
        </w:tc>
        <w:tc>
          <w:tcPr>
            <w:tcW w:w="1275" w:type="dxa"/>
            <w:shd w:val="clear" w:color="auto" w:fill="C6EFCE"/>
            <w:hideMark/>
          </w:tcPr>
          <w:p w14:paraId="1216C783" w14:textId="77777777" w:rsidR="003C4798" w:rsidRDefault="00417595">
            <w:pPr>
              <w:pStyle w:val="P68B1DB1-Normal85"/>
              <w:spacing w:line="240" w:lineRule="auto"/>
              <w:jc w:val="center"/>
              <w:textAlignment w:val="baseline"/>
              <w:rPr>
                <w:rFonts w:eastAsia="Times New Roman" w:cs="Times New Roman"/>
                <w:noProof/>
              </w:rPr>
            </w:pPr>
            <w:r>
              <w:rPr>
                <w:noProof/>
              </w:rPr>
              <w:t>Étape</w:t>
            </w:r>
          </w:p>
        </w:tc>
        <w:tc>
          <w:tcPr>
            <w:tcW w:w="3969" w:type="dxa"/>
            <w:shd w:val="clear" w:color="auto" w:fill="C6EFCE"/>
            <w:hideMark/>
          </w:tcPr>
          <w:p w14:paraId="1216C784" w14:textId="3BD15E21" w:rsidR="003C4798" w:rsidRDefault="00417595">
            <w:pPr>
              <w:pStyle w:val="P68B1DB1-Normal87"/>
              <w:spacing w:line="240" w:lineRule="auto"/>
              <w:textAlignment w:val="baseline"/>
              <w:rPr>
                <w:noProof/>
              </w:rPr>
            </w:pPr>
            <w:r>
              <w:rPr>
                <w:noProof/>
              </w:rPr>
              <w:t xml:space="preserve">Système central d'information sur le marché de l'énergie (CSIRE) et systèmes de surveillance de la qualité de l'énergie </w:t>
            </w:r>
          </w:p>
        </w:tc>
      </w:tr>
      <w:tr w:rsidR="003C4798" w14:paraId="1216C78A" w14:textId="77777777">
        <w:trPr>
          <w:trHeight w:val="300"/>
          <w:jc w:val="center"/>
        </w:trPr>
        <w:tc>
          <w:tcPr>
            <w:tcW w:w="1277" w:type="dxa"/>
            <w:shd w:val="clear" w:color="auto" w:fill="C6EFCE"/>
          </w:tcPr>
          <w:p w14:paraId="1216C786" w14:textId="77777777" w:rsidR="003C4798" w:rsidRDefault="00417595">
            <w:pPr>
              <w:pStyle w:val="P68B1DB1-Normal85"/>
              <w:spacing w:line="240" w:lineRule="auto"/>
              <w:jc w:val="center"/>
              <w:textAlignment w:val="baseline"/>
              <w:rPr>
                <w:noProof/>
              </w:rPr>
            </w:pPr>
            <w:r>
              <w:rPr>
                <w:noProof/>
              </w:rPr>
              <w:t xml:space="preserve">G22G </w:t>
            </w:r>
          </w:p>
        </w:tc>
        <w:tc>
          <w:tcPr>
            <w:tcW w:w="3402" w:type="dxa"/>
            <w:shd w:val="clear" w:color="auto" w:fill="C6EFCE"/>
          </w:tcPr>
          <w:p w14:paraId="1216C787" w14:textId="77777777" w:rsidR="003C4798" w:rsidRDefault="00417595">
            <w:pPr>
              <w:pStyle w:val="P68B1DB1-Normal85"/>
              <w:spacing w:line="240" w:lineRule="auto"/>
              <w:textAlignment w:val="baseline"/>
              <w:rPr>
                <w:noProof/>
              </w:rPr>
            </w:pPr>
            <w:r>
              <w:rPr>
                <w:noProof/>
              </w:rPr>
              <w:t>G1.2.3 Réseaux de transport et infrastructures électriques intelligentes</w:t>
            </w:r>
          </w:p>
        </w:tc>
        <w:tc>
          <w:tcPr>
            <w:tcW w:w="1275" w:type="dxa"/>
            <w:shd w:val="clear" w:color="auto" w:fill="C6EFCE"/>
          </w:tcPr>
          <w:p w14:paraId="1216C788" w14:textId="77777777" w:rsidR="003C4798" w:rsidRDefault="00417595">
            <w:pPr>
              <w:pStyle w:val="P68B1DB1-Normal85"/>
              <w:spacing w:line="240" w:lineRule="auto"/>
              <w:jc w:val="center"/>
              <w:textAlignment w:val="baseline"/>
              <w:rPr>
                <w:noProof/>
              </w:rPr>
            </w:pPr>
            <w:r>
              <w:rPr>
                <w:noProof/>
              </w:rPr>
              <w:t>Objectif</w:t>
            </w:r>
          </w:p>
        </w:tc>
        <w:tc>
          <w:tcPr>
            <w:tcW w:w="3969" w:type="dxa"/>
            <w:shd w:val="clear" w:color="auto" w:fill="C6EFCE"/>
          </w:tcPr>
          <w:p w14:paraId="1216C789" w14:textId="7F1445EA" w:rsidR="003C4798" w:rsidRDefault="00417595">
            <w:pPr>
              <w:pStyle w:val="P68B1DB1-Normal85"/>
              <w:spacing w:line="240" w:lineRule="auto"/>
              <w:textAlignment w:val="baseline"/>
              <w:rPr>
                <w:noProof/>
              </w:rPr>
            </w:pPr>
            <w:r>
              <w:rPr>
                <w:noProof/>
              </w:rPr>
              <w:t>Systèmes informatiques pour le gestionnaire de réseau de transport</w:t>
            </w:r>
          </w:p>
        </w:tc>
      </w:tr>
      <w:tr w:rsidR="003C4798" w14:paraId="1216C78F" w14:textId="77777777">
        <w:trPr>
          <w:trHeight w:val="300"/>
          <w:jc w:val="center"/>
        </w:trPr>
        <w:tc>
          <w:tcPr>
            <w:tcW w:w="1277" w:type="dxa"/>
            <w:shd w:val="clear" w:color="auto" w:fill="C6EFCE"/>
            <w:hideMark/>
          </w:tcPr>
          <w:p w14:paraId="1216C78B"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 xml:space="preserve"> </w:t>
            </w:r>
          </w:p>
        </w:tc>
        <w:tc>
          <w:tcPr>
            <w:tcW w:w="3402" w:type="dxa"/>
            <w:shd w:val="clear" w:color="auto" w:fill="C6EFCE"/>
            <w:hideMark/>
          </w:tcPr>
          <w:p w14:paraId="1216C78C" w14:textId="77777777" w:rsidR="003C4798" w:rsidRDefault="00417595">
            <w:pPr>
              <w:pStyle w:val="P68B1DB1-Normal85"/>
              <w:spacing w:line="240" w:lineRule="auto"/>
              <w:textAlignment w:val="baseline"/>
              <w:rPr>
                <w:rFonts w:eastAsia="Times New Roman" w:cs="Times New Roman"/>
                <w:noProof/>
                <w:sz w:val="24"/>
                <w:szCs w:val="24"/>
              </w:rPr>
            </w:pPr>
            <w:r>
              <w:rPr>
                <w:noProof/>
              </w:rPr>
              <w:t xml:space="preserve"> </w:t>
            </w:r>
          </w:p>
        </w:tc>
        <w:tc>
          <w:tcPr>
            <w:tcW w:w="1275" w:type="dxa"/>
            <w:shd w:val="clear" w:color="auto" w:fill="C6EFCE"/>
            <w:hideMark/>
          </w:tcPr>
          <w:p w14:paraId="1216C78D"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Montant des acomptes provisionnels</w:t>
            </w:r>
          </w:p>
        </w:tc>
        <w:tc>
          <w:tcPr>
            <w:tcW w:w="3969" w:type="dxa"/>
            <w:shd w:val="clear" w:color="auto" w:fill="C6EFCE"/>
            <w:hideMark/>
          </w:tcPr>
          <w:p w14:paraId="1216C78E" w14:textId="2C6E80DA" w:rsidR="003C4798" w:rsidRDefault="00417595">
            <w:pPr>
              <w:pStyle w:val="P68B1DB1-Normal85"/>
              <w:spacing w:line="240" w:lineRule="auto"/>
              <w:textAlignment w:val="baseline"/>
              <w:rPr>
                <w:rFonts w:eastAsia="Times New Roman" w:cs="Times New Roman"/>
                <w:noProof/>
                <w:sz w:val="24"/>
                <w:szCs w:val="24"/>
              </w:rPr>
            </w:pPr>
            <w:r>
              <w:rPr>
                <w:noProof/>
              </w:rPr>
              <w:t>4 149 683 785 EUR</w:t>
            </w:r>
          </w:p>
        </w:tc>
      </w:tr>
    </w:tbl>
    <w:p w14:paraId="1216C790" w14:textId="77777777" w:rsidR="003C4798" w:rsidRDefault="003C4798">
      <w:pPr>
        <w:spacing w:line="240" w:lineRule="auto"/>
        <w:ind w:left="-15"/>
        <w:textAlignment w:val="baseline"/>
        <w:rPr>
          <w:rFonts w:ascii="Times New Roman" w:hAnsi="Times New Roman"/>
          <w:noProof/>
        </w:rPr>
      </w:pPr>
    </w:p>
    <w:p w14:paraId="1216C791" w14:textId="5E22C24D" w:rsidR="003C4798" w:rsidRDefault="00417595">
      <w:pPr>
        <w:pStyle w:val="P68B1DB1-Normal85"/>
        <w:spacing w:line="240" w:lineRule="auto"/>
        <w:ind w:left="-15"/>
        <w:textAlignment w:val="baseline"/>
        <w:rPr>
          <w:rFonts w:ascii="Segoe UI" w:eastAsia="Times New Roman" w:hAnsi="Segoe UI" w:cs="Segoe UI"/>
          <w:noProof/>
          <w:sz w:val="18"/>
          <w:szCs w:val="18"/>
        </w:rPr>
      </w:pPr>
      <w:r>
        <w:rPr>
          <w:noProof/>
        </w:rPr>
        <w:t>2.1.9. Neuvième tranche (soutien non remboursable):</w:t>
      </w:r>
    </w:p>
    <w:tbl>
      <w:tblPr>
        <w:tblW w:w="964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3C4798" w14:paraId="1216C796" w14:textId="77777777">
        <w:trPr>
          <w:trHeight w:val="300"/>
          <w:tblHeader/>
          <w:jc w:val="center"/>
        </w:trPr>
        <w:tc>
          <w:tcPr>
            <w:tcW w:w="1277" w:type="dxa"/>
            <w:shd w:val="clear" w:color="auto" w:fill="C6D9F1" w:themeFill="text2" w:themeFillTint="33"/>
            <w:hideMark/>
          </w:tcPr>
          <w:p w14:paraId="1216C792" w14:textId="77777777" w:rsidR="003C4798" w:rsidRDefault="00417595">
            <w:pPr>
              <w:pStyle w:val="P68B1DB1-Normal99"/>
              <w:spacing w:line="240" w:lineRule="auto"/>
              <w:jc w:val="center"/>
              <w:textAlignment w:val="baseline"/>
              <w:rPr>
                <w:rFonts w:eastAsia="Times New Roman" w:cs="Times New Roman"/>
                <w:noProof/>
                <w:sz w:val="24"/>
                <w:szCs w:val="24"/>
              </w:rPr>
            </w:pPr>
            <w:r>
              <w:rPr>
                <w:noProof/>
              </w:rPr>
              <w:t>Numéro séquentiel</w:t>
            </w:r>
          </w:p>
        </w:tc>
        <w:tc>
          <w:tcPr>
            <w:tcW w:w="3402" w:type="dxa"/>
            <w:shd w:val="clear" w:color="auto" w:fill="C6D9F1" w:themeFill="text2" w:themeFillTint="33"/>
            <w:hideMark/>
          </w:tcPr>
          <w:p w14:paraId="1216C793" w14:textId="77777777" w:rsidR="003C4798" w:rsidRDefault="00417595">
            <w:pPr>
              <w:pStyle w:val="P68B1DB1-Normal99"/>
              <w:spacing w:line="240" w:lineRule="auto"/>
              <w:jc w:val="center"/>
              <w:textAlignment w:val="baseline"/>
              <w:rPr>
                <w:rFonts w:eastAsia="Times New Roman" w:cs="Times New Roman"/>
                <w:noProof/>
                <w:sz w:val="24"/>
                <w:szCs w:val="24"/>
              </w:rPr>
            </w:pPr>
            <w:r>
              <w:rPr>
                <w:noProof/>
              </w:rPr>
              <w:t>Mesure connexe (réforme ou investissement)</w:t>
            </w:r>
          </w:p>
        </w:tc>
        <w:tc>
          <w:tcPr>
            <w:tcW w:w="1275" w:type="dxa"/>
            <w:shd w:val="clear" w:color="auto" w:fill="C6D9F1" w:themeFill="text2" w:themeFillTint="33"/>
            <w:hideMark/>
          </w:tcPr>
          <w:p w14:paraId="1216C794" w14:textId="77777777" w:rsidR="003C4798" w:rsidRDefault="00417595">
            <w:pPr>
              <w:pStyle w:val="P68B1DB1-Normal99"/>
              <w:spacing w:line="240" w:lineRule="auto"/>
              <w:ind w:left="15"/>
              <w:jc w:val="center"/>
              <w:textAlignment w:val="baseline"/>
              <w:rPr>
                <w:rFonts w:eastAsia="Times New Roman" w:cs="Times New Roman"/>
                <w:noProof/>
                <w:sz w:val="24"/>
                <w:szCs w:val="24"/>
              </w:rPr>
            </w:pPr>
            <w:r>
              <w:rPr>
                <w:noProof/>
              </w:rPr>
              <w:t>Étape/cible</w:t>
            </w:r>
          </w:p>
        </w:tc>
        <w:tc>
          <w:tcPr>
            <w:tcW w:w="3686" w:type="dxa"/>
            <w:shd w:val="clear" w:color="auto" w:fill="C6D9F1" w:themeFill="text2" w:themeFillTint="33"/>
            <w:hideMark/>
          </w:tcPr>
          <w:p w14:paraId="1216C795" w14:textId="77777777" w:rsidR="003C4798" w:rsidRDefault="00417595">
            <w:pPr>
              <w:pStyle w:val="P68B1DB1-Normal99"/>
              <w:spacing w:line="240" w:lineRule="auto"/>
              <w:ind w:right="30"/>
              <w:jc w:val="center"/>
              <w:textAlignment w:val="baseline"/>
              <w:rPr>
                <w:rFonts w:eastAsia="Times New Roman" w:cs="Times New Roman"/>
                <w:noProof/>
                <w:sz w:val="24"/>
                <w:szCs w:val="24"/>
              </w:rPr>
            </w:pPr>
            <w:r>
              <w:rPr>
                <w:noProof/>
              </w:rPr>
              <w:t>Nom</w:t>
            </w:r>
          </w:p>
        </w:tc>
      </w:tr>
      <w:tr w:rsidR="003C4798" w14:paraId="1216C79B" w14:textId="77777777">
        <w:trPr>
          <w:trHeight w:val="300"/>
          <w:jc w:val="center"/>
        </w:trPr>
        <w:tc>
          <w:tcPr>
            <w:tcW w:w="1277" w:type="dxa"/>
            <w:shd w:val="clear" w:color="auto" w:fill="C6EFCE"/>
            <w:hideMark/>
          </w:tcPr>
          <w:p w14:paraId="1216C797"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 xml:space="preserve">A8G </w:t>
            </w:r>
          </w:p>
        </w:tc>
        <w:tc>
          <w:tcPr>
            <w:tcW w:w="3402" w:type="dxa"/>
            <w:shd w:val="clear" w:color="auto" w:fill="C6EFCE"/>
            <w:hideMark/>
          </w:tcPr>
          <w:p w14:paraId="1216C798" w14:textId="7D801CC7" w:rsidR="003C4798" w:rsidRDefault="00417595">
            <w:pPr>
              <w:pStyle w:val="P68B1DB1-Normal85"/>
              <w:spacing w:line="240" w:lineRule="auto"/>
              <w:textAlignment w:val="baseline"/>
              <w:rPr>
                <w:rFonts w:eastAsia="Times New Roman" w:cs="Times New Roman"/>
                <w:noProof/>
                <w:sz w:val="24"/>
                <w:szCs w:val="24"/>
              </w:rPr>
            </w:pPr>
            <w:r>
              <w:rPr>
                <w:noProof/>
              </w:rPr>
              <w:t>A1.2.1 Projets visant à diversifier ou à développer les activités commerciales</w:t>
            </w:r>
          </w:p>
        </w:tc>
        <w:tc>
          <w:tcPr>
            <w:tcW w:w="1275" w:type="dxa"/>
            <w:shd w:val="clear" w:color="auto" w:fill="C6EFCE"/>
            <w:hideMark/>
          </w:tcPr>
          <w:p w14:paraId="1216C799"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9A" w14:textId="22481505" w:rsidR="003C4798" w:rsidRDefault="00417595">
            <w:pPr>
              <w:pStyle w:val="P68B1DB1-Normal87"/>
              <w:spacing w:line="240" w:lineRule="auto"/>
              <w:ind w:right="15"/>
              <w:textAlignment w:val="baseline"/>
              <w:rPr>
                <w:noProof/>
                <w:sz w:val="24"/>
                <w:szCs w:val="24"/>
              </w:rPr>
            </w:pPr>
            <w:r>
              <w:rPr>
                <w:noProof/>
              </w:rPr>
              <w:t>Entreprises des secteurs HoReCa, de la culture ou du tourisme qui ont reçu un financement pour diversifier ou étendre leurs activités commerciales</w:t>
            </w:r>
          </w:p>
        </w:tc>
      </w:tr>
      <w:tr w:rsidR="003C4798" w14:paraId="1216C7A0" w14:textId="77777777">
        <w:trPr>
          <w:trHeight w:val="300"/>
          <w:jc w:val="center"/>
        </w:trPr>
        <w:tc>
          <w:tcPr>
            <w:tcW w:w="1277" w:type="dxa"/>
            <w:shd w:val="clear" w:color="auto" w:fill="C6EFCE"/>
            <w:hideMark/>
          </w:tcPr>
          <w:p w14:paraId="1216C79C"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 xml:space="preserve">A17G </w:t>
            </w:r>
          </w:p>
        </w:tc>
        <w:tc>
          <w:tcPr>
            <w:tcW w:w="3402" w:type="dxa"/>
            <w:shd w:val="clear" w:color="auto" w:fill="C6EFCE"/>
            <w:hideMark/>
          </w:tcPr>
          <w:p w14:paraId="1216C79D" w14:textId="77777777" w:rsidR="003C4798" w:rsidRDefault="00417595">
            <w:pPr>
              <w:pStyle w:val="P68B1DB1-Normal85"/>
              <w:spacing w:line="240" w:lineRule="auto"/>
              <w:textAlignment w:val="baseline"/>
              <w:rPr>
                <w:rFonts w:eastAsia="Times New Roman" w:cs="Times New Roman"/>
                <w:noProof/>
                <w:sz w:val="24"/>
                <w:szCs w:val="24"/>
              </w:rPr>
            </w:pPr>
            <w:r>
              <w:rPr>
                <w:noProof/>
              </w:rPr>
              <w:t>A1.3.1 Mise en œuvre de la réforme de l'aménagement du territoire</w:t>
            </w:r>
          </w:p>
        </w:tc>
        <w:tc>
          <w:tcPr>
            <w:tcW w:w="1275" w:type="dxa"/>
            <w:shd w:val="clear" w:color="auto" w:fill="C6EFCE"/>
            <w:hideMark/>
          </w:tcPr>
          <w:p w14:paraId="1216C79E"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9F" w14:textId="32D23D13" w:rsidR="003C4798" w:rsidRDefault="00417595">
            <w:pPr>
              <w:pStyle w:val="P68B1DB1-Normal87"/>
              <w:spacing w:line="240" w:lineRule="auto"/>
              <w:rPr>
                <w:noProof/>
              </w:rPr>
            </w:pPr>
            <w:r>
              <w:rPr>
                <w:noProof/>
              </w:rPr>
              <w:t>Municipalités ayant adopté des plans généraux d'aménagement du territoire</w:t>
            </w:r>
          </w:p>
        </w:tc>
      </w:tr>
      <w:tr w:rsidR="003C4798" w14:paraId="1216C7A5" w14:textId="77777777">
        <w:trPr>
          <w:trHeight w:val="300"/>
          <w:jc w:val="center"/>
        </w:trPr>
        <w:tc>
          <w:tcPr>
            <w:tcW w:w="1277" w:type="dxa"/>
            <w:shd w:val="clear" w:color="auto" w:fill="C6EFCE"/>
            <w:hideMark/>
          </w:tcPr>
          <w:p w14:paraId="1216C7A1"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 xml:space="preserve">A21G </w:t>
            </w:r>
          </w:p>
        </w:tc>
        <w:tc>
          <w:tcPr>
            <w:tcW w:w="3402" w:type="dxa"/>
            <w:shd w:val="clear" w:color="auto" w:fill="C6EFCE"/>
            <w:hideMark/>
          </w:tcPr>
          <w:p w14:paraId="1216C7A2" w14:textId="77777777" w:rsidR="003C4798" w:rsidRDefault="00417595">
            <w:pPr>
              <w:pStyle w:val="P68B1DB1-Normal85"/>
              <w:spacing w:line="240" w:lineRule="auto"/>
              <w:textAlignment w:val="baseline"/>
              <w:rPr>
                <w:rFonts w:eastAsia="Times New Roman" w:cs="Times New Roman"/>
                <w:noProof/>
                <w:sz w:val="24"/>
                <w:szCs w:val="24"/>
              </w:rPr>
            </w:pPr>
            <w:r>
              <w:rPr>
                <w:noProof/>
              </w:rPr>
              <w:t>A1.4.1 Modernisation des infrastructures ou des équipements dans le secteur agricole</w:t>
            </w:r>
          </w:p>
        </w:tc>
        <w:tc>
          <w:tcPr>
            <w:tcW w:w="1275" w:type="dxa"/>
            <w:shd w:val="clear" w:color="auto" w:fill="C6EFCE"/>
            <w:hideMark/>
          </w:tcPr>
          <w:p w14:paraId="1216C7A3"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A4" w14:textId="3EC23861" w:rsidR="003C4798" w:rsidRDefault="00417595">
            <w:pPr>
              <w:pStyle w:val="P68B1DB1-Normal87"/>
              <w:spacing w:line="240" w:lineRule="auto"/>
              <w:rPr>
                <w:noProof/>
              </w:rPr>
            </w:pPr>
            <w:r>
              <w:rPr>
                <w:noProof/>
              </w:rPr>
              <w:t>Ordres de paiement définitifs émis pour des projets soutenant le stockage ou la mise sur le marché de produits agricoles, de produits de la pêche, de produits de l’aquaculture ou de produits agroalimentaires</w:t>
            </w:r>
          </w:p>
        </w:tc>
      </w:tr>
      <w:tr w:rsidR="003C4798" w14:paraId="1216C7AA" w14:textId="77777777">
        <w:trPr>
          <w:trHeight w:val="300"/>
          <w:jc w:val="center"/>
        </w:trPr>
        <w:tc>
          <w:tcPr>
            <w:tcW w:w="1277" w:type="dxa"/>
            <w:shd w:val="clear" w:color="auto" w:fill="C6EFCE"/>
            <w:hideMark/>
          </w:tcPr>
          <w:p w14:paraId="1216C7A6"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 xml:space="preserve">A23G </w:t>
            </w:r>
          </w:p>
        </w:tc>
        <w:tc>
          <w:tcPr>
            <w:tcW w:w="3402" w:type="dxa"/>
            <w:shd w:val="clear" w:color="auto" w:fill="C6EFCE"/>
            <w:hideMark/>
          </w:tcPr>
          <w:p w14:paraId="1216C7A7" w14:textId="77777777" w:rsidR="003C4798" w:rsidRDefault="00417595">
            <w:pPr>
              <w:pStyle w:val="P68B1DB1-Normal85"/>
              <w:spacing w:line="240" w:lineRule="auto"/>
              <w:textAlignment w:val="baseline"/>
              <w:rPr>
                <w:rFonts w:eastAsia="Times New Roman" w:cs="Times New Roman"/>
                <w:noProof/>
                <w:sz w:val="24"/>
                <w:szCs w:val="24"/>
              </w:rPr>
            </w:pPr>
            <w:r>
              <w:rPr>
                <w:noProof/>
              </w:rPr>
              <w:t>A1.4.1 Modernisation des infrastructures ou des équipements dans le secteur agricole</w:t>
            </w:r>
          </w:p>
        </w:tc>
        <w:tc>
          <w:tcPr>
            <w:tcW w:w="1275" w:type="dxa"/>
            <w:shd w:val="clear" w:color="auto" w:fill="C6EFCE"/>
            <w:hideMark/>
          </w:tcPr>
          <w:p w14:paraId="1216C7A8"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A9" w14:textId="0E702FBA" w:rsidR="003C4798" w:rsidRDefault="00417595">
            <w:pPr>
              <w:pStyle w:val="P68B1DB1-Normal87"/>
              <w:spacing w:line="240" w:lineRule="auto"/>
              <w:textAlignment w:val="baseline"/>
              <w:rPr>
                <w:noProof/>
                <w:sz w:val="24"/>
                <w:szCs w:val="24"/>
              </w:rPr>
            </w:pPr>
            <w:r>
              <w:rPr>
                <w:noProof/>
              </w:rPr>
              <w:t>Ordres de paiement définitifs émis pour des projets de construction ou de modernisation d’infrastructures ou d’équipements d’entreprises du secteur de l’agriculture, de la pêche ou de l’aquaculture</w:t>
            </w:r>
          </w:p>
        </w:tc>
      </w:tr>
      <w:tr w:rsidR="003C4798" w14:paraId="1216C7AF" w14:textId="77777777">
        <w:trPr>
          <w:trHeight w:val="300"/>
          <w:jc w:val="center"/>
        </w:trPr>
        <w:tc>
          <w:tcPr>
            <w:tcW w:w="1277" w:type="dxa"/>
            <w:shd w:val="clear" w:color="auto" w:fill="C6EFCE"/>
            <w:hideMark/>
          </w:tcPr>
          <w:p w14:paraId="1216C7AB"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 xml:space="preserve">A26G </w:t>
            </w:r>
          </w:p>
        </w:tc>
        <w:tc>
          <w:tcPr>
            <w:tcW w:w="3402" w:type="dxa"/>
            <w:shd w:val="clear" w:color="auto" w:fill="C6EFCE"/>
            <w:hideMark/>
          </w:tcPr>
          <w:p w14:paraId="1216C7AC" w14:textId="77777777" w:rsidR="003C4798" w:rsidRDefault="00417595">
            <w:pPr>
              <w:pStyle w:val="P68B1DB1-Normal85"/>
              <w:spacing w:line="240" w:lineRule="auto"/>
              <w:textAlignment w:val="baseline"/>
              <w:rPr>
                <w:rFonts w:eastAsia="Times New Roman" w:cs="Times New Roman"/>
                <w:noProof/>
                <w:sz w:val="24"/>
                <w:szCs w:val="24"/>
              </w:rPr>
            </w:pPr>
            <w:r>
              <w:rPr>
                <w:noProof/>
              </w:rPr>
              <w:t>A1.4.1 Modernisation des infrastructures ou des équipements dans le secteur agricole</w:t>
            </w:r>
          </w:p>
        </w:tc>
        <w:tc>
          <w:tcPr>
            <w:tcW w:w="1275" w:type="dxa"/>
            <w:shd w:val="clear" w:color="auto" w:fill="C6EFCE"/>
            <w:hideMark/>
          </w:tcPr>
          <w:p w14:paraId="1216C7AD"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AE" w14:textId="00E3B1BD" w:rsidR="003C4798" w:rsidRDefault="00417595">
            <w:pPr>
              <w:pStyle w:val="P68B1DB1-Normal87"/>
              <w:spacing w:line="240" w:lineRule="auto"/>
              <w:rPr>
                <w:noProof/>
              </w:rPr>
            </w:pPr>
            <w:r>
              <w:rPr>
                <w:noProof/>
              </w:rPr>
              <w:t>Ordres de paiement définitifs pour des projets de construction ou de modernisation d'infrastructures ou d'équipements par des agriculteurs ou des pêcheurs</w:t>
            </w:r>
          </w:p>
        </w:tc>
      </w:tr>
      <w:tr w:rsidR="003C4798" w14:paraId="1216C7B4" w14:textId="77777777">
        <w:trPr>
          <w:trHeight w:val="300"/>
          <w:jc w:val="center"/>
        </w:trPr>
        <w:tc>
          <w:tcPr>
            <w:tcW w:w="1277" w:type="dxa"/>
            <w:shd w:val="clear" w:color="auto" w:fill="C6EFCE"/>
            <w:hideMark/>
          </w:tcPr>
          <w:p w14:paraId="1216C7B0"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 xml:space="preserve">A29G </w:t>
            </w:r>
          </w:p>
        </w:tc>
        <w:tc>
          <w:tcPr>
            <w:tcW w:w="3402" w:type="dxa"/>
            <w:shd w:val="clear" w:color="auto" w:fill="C6EFCE"/>
            <w:hideMark/>
          </w:tcPr>
          <w:p w14:paraId="1216C7B1" w14:textId="5671718E" w:rsidR="003C4798" w:rsidRDefault="00417595">
            <w:pPr>
              <w:pStyle w:val="P68B1DB1-Normal85"/>
              <w:spacing w:line="240" w:lineRule="auto"/>
              <w:rPr>
                <w:rFonts w:eastAsia="Times New Roman" w:cs="Times New Roman"/>
                <w:noProof/>
                <w:sz w:val="24"/>
                <w:szCs w:val="24"/>
              </w:rPr>
            </w:pPr>
            <w:r>
              <w:rPr>
                <w:noProof/>
              </w:rPr>
              <w:t xml:space="preserve">A2.1.1 Investissements dans la robotisation ou la numérisation dans les entreprises </w:t>
            </w:r>
          </w:p>
        </w:tc>
        <w:tc>
          <w:tcPr>
            <w:tcW w:w="1275" w:type="dxa"/>
            <w:shd w:val="clear" w:color="auto" w:fill="C6EFCE"/>
            <w:hideMark/>
          </w:tcPr>
          <w:p w14:paraId="1216C7B2"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B3" w14:textId="77777777" w:rsidR="003C4798" w:rsidRDefault="00417595">
            <w:pPr>
              <w:pStyle w:val="P68B1DB1-Normal87"/>
              <w:spacing w:line="240" w:lineRule="auto"/>
              <w:textAlignment w:val="baseline"/>
              <w:rPr>
                <w:noProof/>
              </w:rPr>
            </w:pPr>
            <w:r>
              <w:rPr>
                <w:noProof/>
              </w:rPr>
              <w:t>Projets liés à la robotisation, à l’intelligence artificielle ou à la numérisation de processus, de technologies, de produits ou de services dans les entreprises</w:t>
            </w:r>
          </w:p>
        </w:tc>
      </w:tr>
      <w:tr w:rsidR="003C4798" w14:paraId="1216C7B9" w14:textId="77777777">
        <w:trPr>
          <w:trHeight w:val="375"/>
          <w:jc w:val="center"/>
        </w:trPr>
        <w:tc>
          <w:tcPr>
            <w:tcW w:w="1277" w:type="dxa"/>
            <w:shd w:val="clear" w:color="auto" w:fill="C6EFCE"/>
            <w:hideMark/>
          </w:tcPr>
          <w:p w14:paraId="1216C7B5"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 xml:space="preserve">A35G </w:t>
            </w:r>
          </w:p>
        </w:tc>
        <w:tc>
          <w:tcPr>
            <w:tcW w:w="3402" w:type="dxa"/>
            <w:shd w:val="clear" w:color="auto" w:fill="C6EFCE"/>
            <w:hideMark/>
          </w:tcPr>
          <w:p w14:paraId="1216C7B6" w14:textId="77777777" w:rsidR="003C4798" w:rsidRDefault="00417595">
            <w:pPr>
              <w:pStyle w:val="P68B1DB1-Normal85"/>
              <w:spacing w:line="240" w:lineRule="auto"/>
              <w:textAlignment w:val="baseline"/>
              <w:rPr>
                <w:rFonts w:eastAsia="Times New Roman" w:cs="Times New Roman"/>
                <w:noProof/>
                <w:sz w:val="24"/>
                <w:szCs w:val="24"/>
              </w:rPr>
            </w:pPr>
            <w:r>
              <w:rPr>
                <w:noProof/>
              </w:rPr>
              <w:t>A2.3.1 Centres de compétence locaux pour véhicules aériens sans pilote</w:t>
            </w:r>
          </w:p>
        </w:tc>
        <w:tc>
          <w:tcPr>
            <w:tcW w:w="1275" w:type="dxa"/>
            <w:shd w:val="clear" w:color="auto" w:fill="C6EFCE"/>
            <w:hideMark/>
          </w:tcPr>
          <w:p w14:paraId="1216C7B7"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B8" w14:textId="6961997B" w:rsidR="003C4798" w:rsidRDefault="00417595">
            <w:pPr>
              <w:pStyle w:val="P68B1DB1-Normal85"/>
              <w:spacing w:line="240" w:lineRule="auto"/>
              <w:textAlignment w:val="baseline"/>
              <w:rPr>
                <w:bCs/>
                <w:noProof/>
              </w:rPr>
            </w:pPr>
            <w:r>
              <w:rPr>
                <w:noProof/>
              </w:rPr>
              <w:t>Centres de compétence locaux pour véhicules aériens sans pilote</w:t>
            </w:r>
          </w:p>
        </w:tc>
      </w:tr>
      <w:tr w:rsidR="003C4798" w14:paraId="1216C7BE" w14:textId="77777777">
        <w:trPr>
          <w:trHeight w:val="300"/>
          <w:jc w:val="center"/>
        </w:trPr>
        <w:tc>
          <w:tcPr>
            <w:tcW w:w="1277" w:type="dxa"/>
            <w:shd w:val="clear" w:color="auto" w:fill="C6EFCE"/>
            <w:hideMark/>
          </w:tcPr>
          <w:p w14:paraId="1216C7BA"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 xml:space="preserve">A40G </w:t>
            </w:r>
          </w:p>
        </w:tc>
        <w:tc>
          <w:tcPr>
            <w:tcW w:w="3402" w:type="dxa"/>
            <w:shd w:val="clear" w:color="auto" w:fill="C6EFCE"/>
            <w:hideMark/>
          </w:tcPr>
          <w:p w14:paraId="1216C7BB" w14:textId="77777777" w:rsidR="003C4798" w:rsidRDefault="00417595">
            <w:pPr>
              <w:pStyle w:val="P68B1DB1-Normal85"/>
              <w:spacing w:line="240" w:lineRule="auto"/>
              <w:textAlignment w:val="baseline"/>
              <w:rPr>
                <w:rFonts w:eastAsia="Times New Roman" w:cs="Times New Roman"/>
                <w:noProof/>
                <w:sz w:val="24"/>
                <w:szCs w:val="24"/>
              </w:rPr>
            </w:pPr>
            <w:r>
              <w:rPr>
                <w:noProof/>
              </w:rPr>
              <w:t>A2.4.1 Investissements dans les capacités de recherche</w:t>
            </w:r>
          </w:p>
        </w:tc>
        <w:tc>
          <w:tcPr>
            <w:tcW w:w="1275" w:type="dxa"/>
            <w:shd w:val="clear" w:color="auto" w:fill="C6EFCE"/>
            <w:hideMark/>
          </w:tcPr>
          <w:p w14:paraId="1216C7BC"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Objectif</w:t>
            </w:r>
          </w:p>
        </w:tc>
        <w:tc>
          <w:tcPr>
            <w:tcW w:w="3686" w:type="dxa"/>
            <w:shd w:val="clear" w:color="auto" w:fill="C6EFCE"/>
            <w:hideMark/>
          </w:tcPr>
          <w:p w14:paraId="1216C7BD" w14:textId="77777777" w:rsidR="003C4798" w:rsidRDefault="00417595">
            <w:pPr>
              <w:pStyle w:val="P68B1DB1-Normal87"/>
              <w:spacing w:line="240" w:lineRule="auto"/>
              <w:textAlignment w:val="baseline"/>
              <w:rPr>
                <w:noProof/>
              </w:rPr>
            </w:pPr>
            <w:r>
              <w:rPr>
                <w:noProof/>
              </w:rPr>
              <w:t>Projets pour les laboratoires disposant d'une infrastructure de recherche ou d'analyse</w:t>
            </w:r>
          </w:p>
        </w:tc>
      </w:tr>
      <w:tr w:rsidR="003C4798" w14:paraId="1216C7C3" w14:textId="77777777">
        <w:trPr>
          <w:trHeight w:val="300"/>
          <w:jc w:val="center"/>
        </w:trPr>
        <w:tc>
          <w:tcPr>
            <w:tcW w:w="1277" w:type="dxa"/>
            <w:shd w:val="clear" w:color="auto" w:fill="C6EFCE"/>
            <w:hideMark/>
          </w:tcPr>
          <w:p w14:paraId="1216C7BF"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 xml:space="preserve">A55G </w:t>
            </w:r>
          </w:p>
        </w:tc>
        <w:tc>
          <w:tcPr>
            <w:tcW w:w="3402" w:type="dxa"/>
            <w:shd w:val="clear" w:color="auto" w:fill="C6EFCE"/>
            <w:hideMark/>
          </w:tcPr>
          <w:p w14:paraId="1216C7C0" w14:textId="77777777" w:rsidR="003C4798" w:rsidRDefault="00417595">
            <w:pPr>
              <w:pStyle w:val="P68B1DB1-Normal85"/>
              <w:spacing w:line="240" w:lineRule="auto"/>
              <w:textAlignment w:val="baseline"/>
              <w:rPr>
                <w:rFonts w:eastAsia="Times New Roman" w:cs="Times New Roman"/>
                <w:noProof/>
                <w:sz w:val="24"/>
                <w:szCs w:val="24"/>
              </w:rPr>
            </w:pPr>
            <w:r>
              <w:rPr>
                <w:noProof/>
              </w:rPr>
              <w:t>A4.1.1 Investissements à l'appui de la réforme des institutions du marché du travail</w:t>
            </w:r>
          </w:p>
        </w:tc>
        <w:tc>
          <w:tcPr>
            <w:tcW w:w="1275" w:type="dxa"/>
            <w:shd w:val="clear" w:color="auto" w:fill="C6EFCE"/>
            <w:hideMark/>
          </w:tcPr>
          <w:p w14:paraId="1216C7C1"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Étape</w:t>
            </w:r>
          </w:p>
        </w:tc>
        <w:tc>
          <w:tcPr>
            <w:tcW w:w="3686" w:type="dxa"/>
            <w:shd w:val="clear" w:color="auto" w:fill="C6EFCE"/>
            <w:hideMark/>
          </w:tcPr>
          <w:p w14:paraId="1216C7C2" w14:textId="77777777" w:rsidR="003C4798" w:rsidRDefault="00417595">
            <w:pPr>
              <w:pStyle w:val="P68B1DB1-Normal87"/>
              <w:spacing w:line="240" w:lineRule="auto"/>
              <w:textAlignment w:val="baseline"/>
              <w:rPr>
                <w:noProof/>
              </w:rPr>
            </w:pPr>
            <w:r>
              <w:rPr>
                <w:noProof/>
              </w:rPr>
              <w:t>Numérisation des services publics de l’emploi (SPE)</w:t>
            </w:r>
          </w:p>
        </w:tc>
      </w:tr>
      <w:tr w:rsidR="003C4798" w14:paraId="1216C7C8" w14:textId="77777777">
        <w:trPr>
          <w:trHeight w:val="300"/>
          <w:jc w:val="center"/>
        </w:trPr>
        <w:tc>
          <w:tcPr>
            <w:tcW w:w="1277" w:type="dxa"/>
            <w:shd w:val="clear" w:color="auto" w:fill="C6EFCE"/>
            <w:hideMark/>
          </w:tcPr>
          <w:p w14:paraId="1216C7C4"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 xml:space="preserve">A56G </w:t>
            </w:r>
          </w:p>
        </w:tc>
        <w:tc>
          <w:tcPr>
            <w:tcW w:w="3402" w:type="dxa"/>
            <w:shd w:val="clear" w:color="auto" w:fill="C6EFCE"/>
            <w:hideMark/>
          </w:tcPr>
          <w:p w14:paraId="1216C7C5" w14:textId="77777777" w:rsidR="003C4798" w:rsidRDefault="00417595">
            <w:pPr>
              <w:pStyle w:val="P68B1DB1-Normal85"/>
              <w:spacing w:line="240" w:lineRule="auto"/>
              <w:textAlignment w:val="baseline"/>
              <w:rPr>
                <w:rFonts w:eastAsia="Times New Roman" w:cs="Times New Roman"/>
                <w:noProof/>
                <w:sz w:val="24"/>
                <w:szCs w:val="24"/>
              </w:rPr>
            </w:pPr>
            <w:r>
              <w:rPr>
                <w:noProof/>
              </w:rPr>
              <w:t>A4.1.1 Investissements à l'appui de la réforme des institutions du marché du travail</w:t>
            </w:r>
          </w:p>
        </w:tc>
        <w:tc>
          <w:tcPr>
            <w:tcW w:w="1275" w:type="dxa"/>
            <w:shd w:val="clear" w:color="auto" w:fill="C6EFCE"/>
            <w:hideMark/>
          </w:tcPr>
          <w:p w14:paraId="1216C7C6"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Étape</w:t>
            </w:r>
          </w:p>
        </w:tc>
        <w:tc>
          <w:tcPr>
            <w:tcW w:w="3686" w:type="dxa"/>
            <w:shd w:val="clear" w:color="auto" w:fill="C6EFCE"/>
            <w:hideMark/>
          </w:tcPr>
          <w:p w14:paraId="1216C7C7" w14:textId="77777777" w:rsidR="003C4798" w:rsidRDefault="00417595">
            <w:pPr>
              <w:pStyle w:val="P68B1DB1-Normal87"/>
              <w:spacing w:line="240" w:lineRule="auto"/>
              <w:textAlignment w:val="baseline"/>
              <w:rPr>
                <w:noProof/>
              </w:rPr>
            </w:pPr>
            <w:r>
              <w:rPr>
                <w:noProof/>
              </w:rPr>
              <w:t>Formations sur l'application des nouvelles procédures</w:t>
            </w:r>
          </w:p>
        </w:tc>
      </w:tr>
      <w:tr w:rsidR="003C4798" w14:paraId="1216C7CD" w14:textId="77777777">
        <w:trPr>
          <w:trHeight w:val="300"/>
          <w:jc w:val="center"/>
        </w:trPr>
        <w:tc>
          <w:tcPr>
            <w:tcW w:w="1277" w:type="dxa"/>
            <w:shd w:val="clear" w:color="auto" w:fill="C6EFCE"/>
            <w:hideMark/>
          </w:tcPr>
          <w:p w14:paraId="1216C7C9"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A61G </w:t>
            </w:r>
          </w:p>
        </w:tc>
        <w:tc>
          <w:tcPr>
            <w:tcW w:w="3402" w:type="dxa"/>
            <w:shd w:val="clear" w:color="auto" w:fill="C6EFCE"/>
            <w:hideMark/>
          </w:tcPr>
          <w:p w14:paraId="1216C7CA" w14:textId="77777777" w:rsidR="003C4798" w:rsidRDefault="00417595">
            <w:pPr>
              <w:pStyle w:val="P68B1DB1-Normal85"/>
              <w:spacing w:line="240" w:lineRule="auto"/>
              <w:textAlignment w:val="baseline"/>
              <w:rPr>
                <w:rFonts w:eastAsia="Times New Roman" w:cs="Times New Roman"/>
                <w:noProof/>
              </w:rPr>
            </w:pPr>
            <w:r>
              <w:rPr>
                <w:noProof/>
              </w:rPr>
              <w:t>A4.2.1 Soutien aux structures de garde d’enfants pour les enfants de moins de trois ans relevant de la catégorie «Enfants en bas âge actifs» (ancien Maluch+)</w:t>
            </w:r>
          </w:p>
        </w:tc>
        <w:tc>
          <w:tcPr>
            <w:tcW w:w="1275" w:type="dxa"/>
            <w:shd w:val="clear" w:color="auto" w:fill="C6EFCE"/>
            <w:hideMark/>
          </w:tcPr>
          <w:p w14:paraId="1216C7CB"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7CC" w14:textId="77777777" w:rsidR="003C4798" w:rsidRDefault="00417595">
            <w:pPr>
              <w:pStyle w:val="P68B1DB1-Normal87"/>
              <w:spacing w:line="240" w:lineRule="auto"/>
              <w:textAlignment w:val="baseline"/>
              <w:rPr>
                <w:noProof/>
              </w:rPr>
            </w:pPr>
            <w:r>
              <w:rPr>
                <w:noProof/>
              </w:rPr>
              <w:t>Construction, rénovation ou adaptation de structures d'accueil pour les enfants de moins de trois ans</w:t>
            </w:r>
          </w:p>
        </w:tc>
      </w:tr>
      <w:tr w:rsidR="003C4798" w14:paraId="4B5A8DFC" w14:textId="77777777">
        <w:trPr>
          <w:trHeight w:val="300"/>
          <w:jc w:val="center"/>
        </w:trPr>
        <w:tc>
          <w:tcPr>
            <w:tcW w:w="1277" w:type="dxa"/>
            <w:shd w:val="clear" w:color="auto" w:fill="C6EFCE"/>
            <w:hideMark/>
          </w:tcPr>
          <w:p w14:paraId="6F04B112" w14:textId="77777777" w:rsidR="003C4798" w:rsidRDefault="00417595">
            <w:pPr>
              <w:pStyle w:val="P68B1DB1-Normal85"/>
              <w:spacing w:line="240" w:lineRule="auto"/>
              <w:jc w:val="center"/>
              <w:rPr>
                <w:rFonts w:eastAsia="Times New Roman" w:cs="Times New Roman"/>
                <w:noProof/>
                <w:sz w:val="24"/>
                <w:szCs w:val="24"/>
              </w:rPr>
            </w:pPr>
            <w:r>
              <w:rPr>
                <w:noProof/>
              </w:rPr>
              <w:t xml:space="preserve">A70G </w:t>
            </w:r>
          </w:p>
        </w:tc>
        <w:tc>
          <w:tcPr>
            <w:tcW w:w="3402" w:type="dxa"/>
            <w:shd w:val="clear" w:color="auto" w:fill="C6EFCE"/>
            <w:hideMark/>
          </w:tcPr>
          <w:p w14:paraId="786DFBEB" w14:textId="77777777" w:rsidR="003C4798" w:rsidRDefault="00417595">
            <w:pPr>
              <w:pStyle w:val="P68B1DB1-Normal85"/>
              <w:spacing w:line="240" w:lineRule="auto"/>
              <w:rPr>
                <w:rFonts w:eastAsia="Times New Roman" w:cs="Times New Roman"/>
                <w:noProof/>
                <w:sz w:val="24"/>
                <w:szCs w:val="24"/>
              </w:rPr>
            </w:pPr>
            <w:r>
              <w:rPr>
                <w:noProof/>
              </w:rPr>
              <w:t>A4.6 Accroître la participation de certains groupes au marché du travail en développant les soins de longue durée</w:t>
            </w:r>
          </w:p>
        </w:tc>
        <w:tc>
          <w:tcPr>
            <w:tcW w:w="1275" w:type="dxa"/>
            <w:shd w:val="clear" w:color="auto" w:fill="C6EFCE"/>
            <w:hideMark/>
          </w:tcPr>
          <w:p w14:paraId="1194C1F7" w14:textId="77777777" w:rsidR="003C4798" w:rsidRDefault="00417595">
            <w:pPr>
              <w:pStyle w:val="P68B1DB1-Normal85"/>
              <w:spacing w:line="240" w:lineRule="auto"/>
              <w:jc w:val="center"/>
              <w:rPr>
                <w:rFonts w:eastAsia="Times New Roman" w:cs="Times New Roman"/>
                <w:noProof/>
                <w:sz w:val="24"/>
                <w:szCs w:val="24"/>
              </w:rPr>
            </w:pPr>
            <w:r>
              <w:rPr>
                <w:noProof/>
              </w:rPr>
              <w:t>Étape</w:t>
            </w:r>
          </w:p>
        </w:tc>
        <w:tc>
          <w:tcPr>
            <w:tcW w:w="3686" w:type="dxa"/>
            <w:shd w:val="clear" w:color="auto" w:fill="C6EFCE"/>
            <w:hideMark/>
          </w:tcPr>
          <w:p w14:paraId="3F36BF05" w14:textId="1FD487FD" w:rsidR="003C4798" w:rsidRDefault="00417595">
            <w:pPr>
              <w:pStyle w:val="P68B1DB1-Normal85"/>
              <w:spacing w:line="240" w:lineRule="auto"/>
              <w:rPr>
                <w:rFonts w:eastAsia="Times New Roman" w:cs="Times New Roman"/>
                <w:noProof/>
                <w:sz w:val="24"/>
                <w:szCs w:val="24"/>
              </w:rPr>
            </w:pPr>
            <w:r>
              <w:rPr>
                <w:noProof/>
              </w:rPr>
              <w:t>Entrée en vigueur du ou des actes juridiques et publication de documents non législatifs</w:t>
            </w:r>
          </w:p>
        </w:tc>
      </w:tr>
      <w:tr w:rsidR="003C4798" w14:paraId="1216C7D2" w14:textId="77777777">
        <w:trPr>
          <w:trHeight w:val="300"/>
          <w:jc w:val="center"/>
        </w:trPr>
        <w:tc>
          <w:tcPr>
            <w:tcW w:w="1277" w:type="dxa"/>
            <w:shd w:val="clear" w:color="auto" w:fill="C6EFCE"/>
            <w:hideMark/>
          </w:tcPr>
          <w:p w14:paraId="1216C7CE" w14:textId="77777777" w:rsidR="003C4798" w:rsidRDefault="00417595">
            <w:pPr>
              <w:pStyle w:val="P68B1DB1-Normal85"/>
              <w:spacing w:line="240" w:lineRule="auto"/>
              <w:jc w:val="center"/>
              <w:textAlignment w:val="baseline"/>
              <w:rPr>
                <w:rFonts w:eastAsia="Times New Roman" w:cs="Times New Roman"/>
                <w:noProof/>
              </w:rPr>
            </w:pPr>
            <w:r>
              <w:rPr>
                <w:noProof/>
              </w:rPr>
              <w:t>A74G </w:t>
            </w:r>
          </w:p>
        </w:tc>
        <w:tc>
          <w:tcPr>
            <w:tcW w:w="3402" w:type="dxa"/>
            <w:shd w:val="clear" w:color="auto" w:fill="C6EFCE"/>
            <w:hideMark/>
          </w:tcPr>
          <w:p w14:paraId="1216C7CF" w14:textId="77777777" w:rsidR="003C4798" w:rsidRDefault="00417595">
            <w:pPr>
              <w:pStyle w:val="P68B1DB1-Normal85"/>
              <w:spacing w:line="240" w:lineRule="auto"/>
              <w:textAlignment w:val="baseline"/>
              <w:rPr>
                <w:rFonts w:eastAsia="Times New Roman" w:cs="Times New Roman"/>
                <w:noProof/>
              </w:rPr>
            </w:pPr>
            <w:r>
              <w:rPr>
                <w:noProof/>
              </w:rPr>
              <w:t>A5.1 Contribution au compartiment «États membres» au titre du programme InvestEU</w:t>
            </w:r>
          </w:p>
        </w:tc>
        <w:tc>
          <w:tcPr>
            <w:tcW w:w="1275" w:type="dxa"/>
            <w:shd w:val="clear" w:color="auto" w:fill="C6EFCE"/>
            <w:hideMark/>
          </w:tcPr>
          <w:p w14:paraId="1216C7D0" w14:textId="77777777" w:rsidR="003C4798" w:rsidRDefault="00417595">
            <w:pPr>
              <w:pStyle w:val="P68B1DB1-Normal85"/>
              <w:spacing w:line="240" w:lineRule="auto"/>
              <w:jc w:val="center"/>
              <w:textAlignment w:val="baseline"/>
              <w:rPr>
                <w:rFonts w:eastAsia="Times New Roman" w:cs="Times New Roman"/>
                <w:noProof/>
              </w:rPr>
            </w:pPr>
            <w:r>
              <w:rPr>
                <w:noProof/>
              </w:rPr>
              <w:t>Objectif</w:t>
            </w:r>
          </w:p>
        </w:tc>
        <w:tc>
          <w:tcPr>
            <w:tcW w:w="3686" w:type="dxa"/>
            <w:shd w:val="clear" w:color="auto" w:fill="C6EFCE"/>
            <w:hideMark/>
          </w:tcPr>
          <w:p w14:paraId="1216C7D1" w14:textId="77777777" w:rsidR="003C4798" w:rsidRDefault="00417595">
            <w:pPr>
              <w:pStyle w:val="P68B1DB1-Normal87"/>
              <w:spacing w:line="240" w:lineRule="auto"/>
              <w:textAlignment w:val="baseline"/>
              <w:rPr>
                <w:noProof/>
              </w:rPr>
            </w:pPr>
            <w:r>
              <w:rPr>
                <w:noProof/>
              </w:rPr>
              <w:t>Opérations de financement ou d’investissement approuvées par le comité d’investissement InvestEU</w:t>
            </w:r>
          </w:p>
        </w:tc>
      </w:tr>
      <w:tr w:rsidR="003C4798" w14:paraId="1216C7D7" w14:textId="77777777">
        <w:trPr>
          <w:trHeight w:val="300"/>
          <w:jc w:val="center"/>
        </w:trPr>
        <w:tc>
          <w:tcPr>
            <w:tcW w:w="1277" w:type="dxa"/>
            <w:shd w:val="clear" w:color="auto" w:fill="C6EFCE"/>
          </w:tcPr>
          <w:p w14:paraId="1216C7D3" w14:textId="77777777" w:rsidR="003C4798" w:rsidRDefault="00417595">
            <w:pPr>
              <w:pStyle w:val="P68B1DB1-Normal85"/>
              <w:spacing w:line="240" w:lineRule="auto"/>
              <w:jc w:val="center"/>
              <w:textAlignment w:val="baseline"/>
              <w:rPr>
                <w:noProof/>
              </w:rPr>
            </w:pPr>
            <w:r>
              <w:rPr>
                <w:noProof/>
              </w:rPr>
              <w:t>A75G</w:t>
            </w:r>
          </w:p>
        </w:tc>
        <w:tc>
          <w:tcPr>
            <w:tcW w:w="3402" w:type="dxa"/>
            <w:shd w:val="clear" w:color="auto" w:fill="C6EFCE"/>
          </w:tcPr>
          <w:p w14:paraId="1216C7D4" w14:textId="77777777" w:rsidR="003C4798" w:rsidRDefault="00417595">
            <w:pPr>
              <w:spacing w:line="240" w:lineRule="auto"/>
              <w:textAlignment w:val="baseline"/>
              <w:rPr>
                <w:rFonts w:ascii="Times New Roman" w:hAnsi="Times New Roman"/>
                <w:noProof/>
              </w:rPr>
            </w:pPr>
            <w:r>
              <w:rPr>
                <w:rFonts w:ascii="Times New Roman" w:hAnsi="Times New Roman"/>
                <w:noProof/>
              </w:rPr>
              <w:t>A6.1 Contribution volontaire au programme de l’UE pour une connectivité sécurisée (IRIS</w:t>
            </w:r>
            <w:r>
              <w:rPr>
                <w:rFonts w:ascii="Times New Roman" w:eastAsia="Times New Roman" w:hAnsi="Times New Roman" w:cs="Times New Roman"/>
                <w:noProof/>
                <w:u w:val="single"/>
                <w:vertAlign w:val="superscript"/>
              </w:rPr>
              <w:t xml:space="preserve"> 2)</w:t>
            </w:r>
          </w:p>
        </w:tc>
        <w:tc>
          <w:tcPr>
            <w:tcW w:w="1275" w:type="dxa"/>
            <w:shd w:val="clear" w:color="auto" w:fill="C6EFCE"/>
          </w:tcPr>
          <w:p w14:paraId="1216C7D5" w14:textId="77777777" w:rsidR="003C4798" w:rsidRDefault="00417595">
            <w:pPr>
              <w:pStyle w:val="P68B1DB1-Normal85"/>
              <w:spacing w:line="240" w:lineRule="auto"/>
              <w:jc w:val="center"/>
              <w:textAlignment w:val="baseline"/>
              <w:rPr>
                <w:noProof/>
              </w:rPr>
            </w:pPr>
            <w:r>
              <w:rPr>
                <w:noProof/>
              </w:rPr>
              <w:t>Étape</w:t>
            </w:r>
          </w:p>
        </w:tc>
        <w:tc>
          <w:tcPr>
            <w:tcW w:w="3686" w:type="dxa"/>
            <w:shd w:val="clear" w:color="auto" w:fill="C6EFCE"/>
          </w:tcPr>
          <w:p w14:paraId="1216C7D6" w14:textId="77777777" w:rsidR="003C4798" w:rsidRDefault="00417595">
            <w:pPr>
              <w:pStyle w:val="P68B1DB1-Normal87"/>
              <w:spacing w:line="240" w:lineRule="auto"/>
              <w:textAlignment w:val="baseline"/>
              <w:rPr>
                <w:noProof/>
              </w:rPr>
            </w:pPr>
            <w:r>
              <w:rPr>
                <w:noProof/>
              </w:rPr>
              <w:t>Signature de l’accord de contribution entre le gouvernement polonais et la Commission européenne et affectation d’une contribution volontaire au programme de l’UE pour une connectivité sécurisée (IRIS</w:t>
            </w:r>
            <w:r>
              <w:rPr>
                <w:noProof/>
                <w:vertAlign w:val="superscript"/>
              </w:rPr>
              <w:t xml:space="preserve"> 2)</w:t>
            </w:r>
          </w:p>
        </w:tc>
      </w:tr>
      <w:tr w:rsidR="003C4798" w14:paraId="1216C7DC" w14:textId="77777777">
        <w:trPr>
          <w:trHeight w:val="300"/>
          <w:jc w:val="center"/>
        </w:trPr>
        <w:tc>
          <w:tcPr>
            <w:tcW w:w="1277" w:type="dxa"/>
            <w:shd w:val="clear" w:color="auto" w:fill="C6EFCE"/>
            <w:hideMark/>
          </w:tcPr>
          <w:p w14:paraId="1216C7D8"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B7G </w:t>
            </w:r>
          </w:p>
        </w:tc>
        <w:tc>
          <w:tcPr>
            <w:tcW w:w="3402" w:type="dxa"/>
            <w:shd w:val="clear" w:color="auto" w:fill="C6EFCE"/>
            <w:hideMark/>
          </w:tcPr>
          <w:p w14:paraId="1216C7D9" w14:textId="77777777" w:rsidR="003C4798" w:rsidRDefault="00417595">
            <w:pPr>
              <w:pStyle w:val="P68B1DB1-Normal85"/>
              <w:spacing w:line="240" w:lineRule="auto"/>
              <w:textAlignment w:val="baseline"/>
              <w:rPr>
                <w:rFonts w:eastAsia="Times New Roman" w:cs="Times New Roman"/>
                <w:noProof/>
              </w:rPr>
            </w:pPr>
            <w:r>
              <w:rPr>
                <w:noProof/>
              </w:rPr>
              <w:t>B1.1.1 Investissements dans les sources de chaleur dans les systèmes de chauffage urbain</w:t>
            </w:r>
          </w:p>
        </w:tc>
        <w:tc>
          <w:tcPr>
            <w:tcW w:w="1275" w:type="dxa"/>
            <w:shd w:val="clear" w:color="auto" w:fill="C6EFCE"/>
            <w:hideMark/>
          </w:tcPr>
          <w:p w14:paraId="1216C7DA"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7DB" w14:textId="77777777" w:rsidR="003C4798" w:rsidRDefault="00417595">
            <w:pPr>
              <w:pStyle w:val="P68B1DB1-Normal87"/>
              <w:spacing w:line="240" w:lineRule="auto"/>
              <w:textAlignment w:val="baseline"/>
              <w:rPr>
                <w:noProof/>
              </w:rPr>
            </w:pPr>
            <w:r>
              <w:rPr>
                <w:noProof/>
              </w:rPr>
              <w:t>T1 – Sources de chaleur dans les systèmes de chauffage urbain</w:t>
            </w:r>
          </w:p>
        </w:tc>
      </w:tr>
      <w:tr w:rsidR="003C4798" w14:paraId="1216C7E1" w14:textId="77777777">
        <w:trPr>
          <w:trHeight w:val="300"/>
          <w:jc w:val="center"/>
        </w:trPr>
        <w:tc>
          <w:tcPr>
            <w:tcW w:w="1277" w:type="dxa"/>
            <w:shd w:val="clear" w:color="auto" w:fill="C6EFCE"/>
            <w:hideMark/>
          </w:tcPr>
          <w:p w14:paraId="1216C7DD"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B9G </w:t>
            </w:r>
          </w:p>
        </w:tc>
        <w:tc>
          <w:tcPr>
            <w:tcW w:w="3402" w:type="dxa"/>
            <w:shd w:val="clear" w:color="auto" w:fill="C6EFCE"/>
            <w:hideMark/>
          </w:tcPr>
          <w:p w14:paraId="1216C7DE" w14:textId="77777777" w:rsidR="003C4798" w:rsidRDefault="00417595">
            <w:pPr>
              <w:pStyle w:val="P68B1DB1-Normal85"/>
              <w:spacing w:line="240" w:lineRule="auto"/>
              <w:textAlignment w:val="baseline"/>
              <w:rPr>
                <w:rFonts w:eastAsia="Times New Roman" w:cs="Times New Roman"/>
                <w:noProof/>
              </w:rPr>
            </w:pPr>
            <w:r>
              <w:rPr>
                <w:noProof/>
              </w:rPr>
              <w:t>B1.1.2 Remplacement des sources de chaleur et amélioration de l'efficacité énergétique dans les bâtiments résidentiels unifamiliaux</w:t>
            </w:r>
          </w:p>
        </w:tc>
        <w:tc>
          <w:tcPr>
            <w:tcW w:w="1275" w:type="dxa"/>
            <w:shd w:val="clear" w:color="auto" w:fill="C6EFCE"/>
            <w:hideMark/>
          </w:tcPr>
          <w:p w14:paraId="1216C7DF"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7E0" w14:textId="77777777" w:rsidR="003C4798" w:rsidRDefault="00417595">
            <w:pPr>
              <w:pStyle w:val="P68B1DB1-Normal87"/>
              <w:spacing w:line="240" w:lineRule="auto"/>
              <w:textAlignment w:val="baseline"/>
              <w:rPr>
                <w:noProof/>
              </w:rPr>
            </w:pPr>
            <w:r>
              <w:rPr>
                <w:noProof/>
              </w:rPr>
              <w:t>Remplacement de la source de chaleur, installation de SER et modernisation thermique</w:t>
            </w:r>
          </w:p>
        </w:tc>
      </w:tr>
      <w:tr w:rsidR="003C4798" w14:paraId="1216C7E6" w14:textId="77777777">
        <w:trPr>
          <w:trHeight w:val="300"/>
          <w:jc w:val="center"/>
        </w:trPr>
        <w:tc>
          <w:tcPr>
            <w:tcW w:w="1277" w:type="dxa"/>
            <w:shd w:val="clear" w:color="auto" w:fill="C6EFCE"/>
            <w:hideMark/>
          </w:tcPr>
          <w:p w14:paraId="1216C7E2"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 B12G </w:t>
            </w:r>
          </w:p>
        </w:tc>
        <w:tc>
          <w:tcPr>
            <w:tcW w:w="3402" w:type="dxa"/>
            <w:shd w:val="clear" w:color="auto" w:fill="C6EFCE"/>
            <w:hideMark/>
          </w:tcPr>
          <w:p w14:paraId="1216C7E3" w14:textId="77777777" w:rsidR="003C4798" w:rsidRDefault="00417595">
            <w:pPr>
              <w:pStyle w:val="P68B1DB1-Normal85"/>
              <w:spacing w:line="240" w:lineRule="auto"/>
              <w:textAlignment w:val="baseline"/>
              <w:rPr>
                <w:rFonts w:eastAsia="Times New Roman" w:cs="Times New Roman"/>
                <w:noProof/>
              </w:rPr>
            </w:pPr>
            <w:r>
              <w:rPr>
                <w:noProof/>
              </w:rPr>
              <w:t>B1.1.3 Modernisation thermique des établissements d'enseignement</w:t>
            </w:r>
          </w:p>
        </w:tc>
        <w:tc>
          <w:tcPr>
            <w:tcW w:w="1275" w:type="dxa"/>
            <w:shd w:val="clear" w:color="auto" w:fill="C6EFCE"/>
            <w:hideMark/>
          </w:tcPr>
          <w:p w14:paraId="1216C7E4"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7E5" w14:textId="77777777" w:rsidR="003C4798" w:rsidRDefault="00417595">
            <w:pPr>
              <w:pStyle w:val="P68B1DB1-Normal87"/>
              <w:spacing w:line="240" w:lineRule="auto"/>
              <w:textAlignment w:val="baseline"/>
              <w:rPr>
                <w:noProof/>
              </w:rPr>
            </w:pPr>
            <w:r>
              <w:rPr>
                <w:noProof/>
              </w:rPr>
              <w:t>Nombre de bâtiments d’établissements d’enseignement ayant signé des contrats pour des installations ou des modernisations de sources de chaleur, des installations de sources d’énergie renouvelables ou des modernisations thermiques.</w:t>
            </w:r>
          </w:p>
        </w:tc>
      </w:tr>
      <w:tr w:rsidR="003C4798" w14:paraId="1216C7EB" w14:textId="77777777">
        <w:trPr>
          <w:trHeight w:val="300"/>
          <w:jc w:val="center"/>
        </w:trPr>
        <w:tc>
          <w:tcPr>
            <w:tcW w:w="1277" w:type="dxa"/>
            <w:shd w:val="clear" w:color="auto" w:fill="C6EFCE"/>
            <w:hideMark/>
          </w:tcPr>
          <w:p w14:paraId="1216C7E7" w14:textId="77777777" w:rsidR="003C4798" w:rsidRDefault="00417595">
            <w:pPr>
              <w:pStyle w:val="P68B1DB1-Normal85"/>
              <w:spacing w:line="240" w:lineRule="auto"/>
              <w:jc w:val="center"/>
              <w:rPr>
                <w:noProof/>
              </w:rPr>
            </w:pPr>
            <w:r>
              <w:rPr>
                <w:noProof/>
              </w:rPr>
              <w:t>B15G</w:t>
            </w:r>
          </w:p>
        </w:tc>
        <w:tc>
          <w:tcPr>
            <w:tcW w:w="3402" w:type="dxa"/>
            <w:shd w:val="clear" w:color="auto" w:fill="C6EFCE"/>
            <w:hideMark/>
          </w:tcPr>
          <w:p w14:paraId="1216C7E8" w14:textId="77777777" w:rsidR="003C4798" w:rsidRDefault="00417595">
            <w:pPr>
              <w:pStyle w:val="P68B1DB1-Normal85"/>
              <w:spacing w:line="240" w:lineRule="auto"/>
              <w:rPr>
                <w:noProof/>
              </w:rPr>
            </w:pPr>
            <w:r>
              <w:rPr>
                <w:noProof/>
              </w:rPr>
              <w:t>B1.1.4 Accroître l'efficacité énergétique des installations d'activités sociales</w:t>
            </w:r>
          </w:p>
        </w:tc>
        <w:tc>
          <w:tcPr>
            <w:tcW w:w="1275" w:type="dxa"/>
            <w:shd w:val="clear" w:color="auto" w:fill="C6EFCE"/>
            <w:hideMark/>
          </w:tcPr>
          <w:p w14:paraId="1216C7E9" w14:textId="77777777" w:rsidR="003C4798" w:rsidRDefault="00417595">
            <w:pPr>
              <w:pStyle w:val="P68B1DB1-Normal85"/>
              <w:spacing w:line="240" w:lineRule="auto"/>
              <w:jc w:val="center"/>
              <w:rPr>
                <w:noProof/>
              </w:rPr>
            </w:pPr>
            <w:r>
              <w:rPr>
                <w:noProof/>
              </w:rPr>
              <w:t>Objectif</w:t>
            </w:r>
          </w:p>
        </w:tc>
        <w:tc>
          <w:tcPr>
            <w:tcW w:w="3686" w:type="dxa"/>
            <w:shd w:val="clear" w:color="auto" w:fill="C6EFCE"/>
            <w:hideMark/>
          </w:tcPr>
          <w:p w14:paraId="1216C7EA" w14:textId="66C2C5FD" w:rsidR="003C4798" w:rsidRDefault="00417595">
            <w:pPr>
              <w:pStyle w:val="P68B1DB1-Normal87"/>
              <w:spacing w:line="240" w:lineRule="auto"/>
              <w:rPr>
                <w:noProof/>
              </w:rPr>
            </w:pPr>
            <w:r>
              <w:rPr>
                <w:noProof/>
              </w:rPr>
              <w:t xml:space="preserve">Thermo-modernisation des installations d'activité sociale </w:t>
            </w:r>
          </w:p>
        </w:tc>
      </w:tr>
      <w:tr w:rsidR="003C4798" w14:paraId="1216C7F0" w14:textId="77777777">
        <w:trPr>
          <w:trHeight w:val="300"/>
          <w:jc w:val="center"/>
        </w:trPr>
        <w:tc>
          <w:tcPr>
            <w:tcW w:w="1277" w:type="dxa"/>
            <w:shd w:val="clear" w:color="auto" w:fill="C6EFCE"/>
            <w:hideMark/>
          </w:tcPr>
          <w:p w14:paraId="1216C7EC"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B20G </w:t>
            </w:r>
          </w:p>
        </w:tc>
        <w:tc>
          <w:tcPr>
            <w:tcW w:w="3402" w:type="dxa"/>
            <w:shd w:val="clear" w:color="auto" w:fill="C6EFCE"/>
            <w:hideMark/>
          </w:tcPr>
          <w:p w14:paraId="1216C7ED" w14:textId="77777777" w:rsidR="003C4798" w:rsidRDefault="00417595">
            <w:pPr>
              <w:pStyle w:val="P68B1DB1-Normal85"/>
              <w:spacing w:line="240" w:lineRule="auto"/>
              <w:textAlignment w:val="baseline"/>
              <w:rPr>
                <w:rFonts w:eastAsia="Times New Roman" w:cs="Times New Roman"/>
                <w:noProof/>
              </w:rPr>
            </w:pPr>
            <w:r>
              <w:rPr>
                <w:noProof/>
              </w:rPr>
              <w:t>B2.1.1 Investissements dans l’hydrogène, la fabrication, le stockage et le transport de l’hydrogène</w:t>
            </w:r>
          </w:p>
        </w:tc>
        <w:tc>
          <w:tcPr>
            <w:tcW w:w="1275" w:type="dxa"/>
            <w:shd w:val="clear" w:color="auto" w:fill="C6EFCE"/>
            <w:hideMark/>
          </w:tcPr>
          <w:p w14:paraId="1216C7EE"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7EF" w14:textId="6049F426" w:rsidR="003C4798" w:rsidRDefault="00417595">
            <w:pPr>
              <w:pStyle w:val="P68B1DB1-Normal87"/>
              <w:spacing w:line="240" w:lineRule="auto"/>
              <w:textAlignment w:val="baseline"/>
              <w:rPr>
                <w:noProof/>
              </w:rPr>
            </w:pPr>
            <w:r>
              <w:rPr>
                <w:noProof/>
              </w:rPr>
              <w:t>Projet(s) de recherche et d'innovation</w:t>
            </w:r>
          </w:p>
        </w:tc>
      </w:tr>
      <w:tr w:rsidR="003C4798" w14:paraId="1216C7F5" w14:textId="77777777">
        <w:trPr>
          <w:trHeight w:val="300"/>
          <w:jc w:val="center"/>
        </w:trPr>
        <w:tc>
          <w:tcPr>
            <w:tcW w:w="1277" w:type="dxa"/>
            <w:shd w:val="clear" w:color="auto" w:fill="C6EFCE"/>
            <w:hideMark/>
          </w:tcPr>
          <w:p w14:paraId="1216C7F1"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B37G </w:t>
            </w:r>
          </w:p>
        </w:tc>
        <w:tc>
          <w:tcPr>
            <w:tcW w:w="3402" w:type="dxa"/>
            <w:shd w:val="clear" w:color="auto" w:fill="C6EFCE"/>
            <w:hideMark/>
          </w:tcPr>
          <w:p w14:paraId="1216C7F2" w14:textId="77777777" w:rsidR="003C4798" w:rsidRDefault="00417595">
            <w:pPr>
              <w:pStyle w:val="P68B1DB1-Normal85"/>
              <w:spacing w:line="240" w:lineRule="auto"/>
              <w:textAlignment w:val="baseline"/>
              <w:rPr>
                <w:rFonts w:eastAsia="Times New Roman" w:cs="Times New Roman"/>
                <w:noProof/>
              </w:rPr>
            </w:pPr>
            <w:r>
              <w:rPr>
                <w:noProof/>
              </w:rPr>
              <w:t>B2.2.3 Construction d'infrastructures de terminaux offshore</w:t>
            </w:r>
          </w:p>
        </w:tc>
        <w:tc>
          <w:tcPr>
            <w:tcW w:w="1275" w:type="dxa"/>
            <w:shd w:val="clear" w:color="auto" w:fill="C6EFCE"/>
            <w:hideMark/>
          </w:tcPr>
          <w:p w14:paraId="1216C7F3" w14:textId="77777777" w:rsidR="003C4798" w:rsidRDefault="00417595">
            <w:pPr>
              <w:pStyle w:val="P68B1DB1-Normal85"/>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7F4" w14:textId="1028484C" w:rsidR="003C4798" w:rsidRDefault="00417595">
            <w:pPr>
              <w:pStyle w:val="P68B1DB1-Normal87"/>
              <w:spacing w:line="240" w:lineRule="auto"/>
              <w:textAlignment w:val="baseline"/>
              <w:rPr>
                <w:noProof/>
              </w:rPr>
            </w:pPr>
            <w:r>
              <w:rPr>
                <w:noProof/>
              </w:rPr>
              <w:t>Construction d'un nouveau terminal pour les installations éoliennes offshore</w:t>
            </w:r>
          </w:p>
        </w:tc>
      </w:tr>
      <w:tr w:rsidR="003C4798" w14:paraId="1216C7FA" w14:textId="77777777">
        <w:trPr>
          <w:trHeight w:val="300"/>
          <w:jc w:val="center"/>
        </w:trPr>
        <w:tc>
          <w:tcPr>
            <w:tcW w:w="1277" w:type="dxa"/>
            <w:shd w:val="clear" w:color="auto" w:fill="C6EFCE"/>
            <w:hideMark/>
          </w:tcPr>
          <w:p w14:paraId="1216C7F6"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B38G </w:t>
            </w:r>
          </w:p>
        </w:tc>
        <w:tc>
          <w:tcPr>
            <w:tcW w:w="3402" w:type="dxa"/>
            <w:shd w:val="clear" w:color="auto" w:fill="C6EFCE"/>
            <w:hideMark/>
          </w:tcPr>
          <w:p w14:paraId="1216C7F7" w14:textId="77777777" w:rsidR="003C4798" w:rsidRDefault="00417595">
            <w:pPr>
              <w:pStyle w:val="P68B1DB1-Normal85"/>
              <w:spacing w:line="240" w:lineRule="auto"/>
              <w:textAlignment w:val="baseline"/>
              <w:rPr>
                <w:rFonts w:eastAsia="Times New Roman" w:cs="Times New Roman"/>
                <w:noProof/>
              </w:rPr>
            </w:pPr>
            <w:r>
              <w:rPr>
                <w:noProof/>
              </w:rPr>
              <w:t>B2.2.3 Construction d'infrastructures de terminaux offshore</w:t>
            </w:r>
          </w:p>
        </w:tc>
        <w:tc>
          <w:tcPr>
            <w:tcW w:w="1275" w:type="dxa"/>
            <w:shd w:val="clear" w:color="auto" w:fill="C6EFCE"/>
            <w:hideMark/>
          </w:tcPr>
          <w:p w14:paraId="1216C7F8"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7F9" w14:textId="77777777" w:rsidR="003C4798" w:rsidRDefault="00417595">
            <w:pPr>
              <w:pStyle w:val="P68B1DB1-Normal87"/>
              <w:spacing w:line="240" w:lineRule="auto"/>
              <w:rPr>
                <w:noProof/>
              </w:rPr>
            </w:pPr>
            <w:r>
              <w:rPr>
                <w:noProof/>
              </w:rPr>
              <w:t>Travaux de construction pour la modernisation / extension des installations dans les ports de Łeba, Ustka et Darłowo</w:t>
            </w:r>
          </w:p>
        </w:tc>
      </w:tr>
      <w:tr w:rsidR="003C4798" w14:paraId="1216C7FF" w14:textId="77777777">
        <w:trPr>
          <w:trHeight w:val="405"/>
          <w:jc w:val="center"/>
        </w:trPr>
        <w:tc>
          <w:tcPr>
            <w:tcW w:w="1277" w:type="dxa"/>
            <w:shd w:val="clear" w:color="auto" w:fill="C6EFCE"/>
          </w:tcPr>
          <w:p w14:paraId="1216C7FB" w14:textId="77777777" w:rsidR="003C4798" w:rsidRDefault="00417595">
            <w:pPr>
              <w:pStyle w:val="P68B1DB1-Normal85"/>
              <w:spacing w:line="240" w:lineRule="auto"/>
              <w:ind w:right="30"/>
              <w:jc w:val="center"/>
              <w:textAlignment w:val="baseline"/>
              <w:rPr>
                <w:noProof/>
              </w:rPr>
            </w:pPr>
            <w:r>
              <w:rPr>
                <w:noProof/>
              </w:rPr>
              <w:t>B41aG</w:t>
            </w:r>
          </w:p>
        </w:tc>
        <w:tc>
          <w:tcPr>
            <w:tcW w:w="3402" w:type="dxa"/>
            <w:shd w:val="clear" w:color="auto" w:fill="C6EFCE"/>
          </w:tcPr>
          <w:p w14:paraId="1216C7FC" w14:textId="208ED608" w:rsidR="003C4798" w:rsidRDefault="00417595">
            <w:pPr>
              <w:pStyle w:val="P68B1DB1-Normal85"/>
              <w:spacing w:line="240" w:lineRule="auto"/>
              <w:textAlignment w:val="baseline"/>
              <w:rPr>
                <w:noProof/>
              </w:rPr>
            </w:pPr>
            <w:r>
              <w:rPr>
                <w:noProof/>
              </w:rPr>
              <w:t>B3.1.1 Investissements dans les infrastructures de traitement des eaux usées et d'approvisionnement en eau</w:t>
            </w:r>
          </w:p>
        </w:tc>
        <w:tc>
          <w:tcPr>
            <w:tcW w:w="1275" w:type="dxa"/>
            <w:shd w:val="clear" w:color="auto" w:fill="C6EFCE"/>
          </w:tcPr>
          <w:p w14:paraId="1216C7FD" w14:textId="77777777" w:rsidR="003C4798" w:rsidRDefault="00417595">
            <w:pPr>
              <w:pStyle w:val="P68B1DB1-Normal85"/>
              <w:spacing w:line="240" w:lineRule="auto"/>
              <w:ind w:right="30"/>
              <w:jc w:val="center"/>
              <w:textAlignment w:val="baseline"/>
              <w:rPr>
                <w:noProof/>
              </w:rPr>
            </w:pPr>
            <w:r>
              <w:rPr>
                <w:noProof/>
              </w:rPr>
              <w:t>Objectif</w:t>
            </w:r>
          </w:p>
        </w:tc>
        <w:tc>
          <w:tcPr>
            <w:tcW w:w="3686" w:type="dxa"/>
            <w:shd w:val="clear" w:color="auto" w:fill="C6EFCE"/>
          </w:tcPr>
          <w:p w14:paraId="1216C7FE" w14:textId="22B5BFF5" w:rsidR="003C4798" w:rsidRDefault="00417595">
            <w:pPr>
              <w:pStyle w:val="P68B1DB1-Normal85"/>
              <w:spacing w:line="240" w:lineRule="auto"/>
              <w:textAlignment w:val="baseline"/>
              <w:rPr>
                <w:noProof/>
              </w:rPr>
            </w:pPr>
            <w:r>
              <w:rPr>
                <w:noProof/>
              </w:rPr>
              <w:t xml:space="preserve">Soutien aux eaux usées et à l'approvisionnement en eau </w:t>
            </w:r>
          </w:p>
        </w:tc>
      </w:tr>
      <w:tr w:rsidR="003C4798" w14:paraId="1216C804" w14:textId="77777777">
        <w:trPr>
          <w:trHeight w:val="300"/>
          <w:jc w:val="center"/>
        </w:trPr>
        <w:tc>
          <w:tcPr>
            <w:tcW w:w="1277" w:type="dxa"/>
            <w:shd w:val="clear" w:color="auto" w:fill="C6EFCE"/>
            <w:hideMark/>
          </w:tcPr>
          <w:p w14:paraId="1216C800" w14:textId="77777777" w:rsidR="003C4798" w:rsidRDefault="00417595">
            <w:pPr>
              <w:pStyle w:val="P68B1DB1-Normal85"/>
              <w:spacing w:line="240" w:lineRule="auto"/>
              <w:ind w:right="30"/>
              <w:jc w:val="center"/>
              <w:textAlignment w:val="baseline"/>
              <w:rPr>
                <w:rFonts w:eastAsia="Times New Roman" w:cs="Times New Roman"/>
                <w:noProof/>
              </w:rPr>
            </w:pPr>
            <w:r>
              <w:rPr>
                <w:noProof/>
              </w:rPr>
              <w:t>B43G </w:t>
            </w:r>
          </w:p>
        </w:tc>
        <w:tc>
          <w:tcPr>
            <w:tcW w:w="3402" w:type="dxa"/>
            <w:shd w:val="clear" w:color="auto" w:fill="C6EFCE"/>
            <w:hideMark/>
          </w:tcPr>
          <w:p w14:paraId="1216C801" w14:textId="77777777" w:rsidR="003C4798" w:rsidRDefault="00417595">
            <w:pPr>
              <w:pStyle w:val="P68B1DB1-Normal85"/>
              <w:spacing w:line="240" w:lineRule="auto"/>
              <w:textAlignment w:val="baseline"/>
              <w:rPr>
                <w:rFonts w:eastAsia="Times New Roman" w:cs="Times New Roman"/>
                <w:noProof/>
              </w:rPr>
            </w:pPr>
            <w:r>
              <w:rPr>
                <w:noProof/>
              </w:rPr>
              <w:t>B1.1.5 Investissements dans l'efficacité énergétique des immeubles résidentiels comprenant plusieurs appartements</w:t>
            </w:r>
          </w:p>
        </w:tc>
        <w:tc>
          <w:tcPr>
            <w:tcW w:w="1275" w:type="dxa"/>
            <w:shd w:val="clear" w:color="auto" w:fill="C6EFCE"/>
            <w:hideMark/>
          </w:tcPr>
          <w:p w14:paraId="1216C802"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03" w14:textId="77777777" w:rsidR="003C4798" w:rsidRDefault="00417595">
            <w:pPr>
              <w:pStyle w:val="P68B1DB1-Normal87"/>
              <w:spacing w:line="240" w:lineRule="auto"/>
              <w:textAlignment w:val="baseline"/>
              <w:rPr>
                <w:noProof/>
              </w:rPr>
            </w:pPr>
            <w:r>
              <w:rPr>
                <w:noProof/>
              </w:rPr>
              <w:t>T2 – Installations d’énergie renouvelable ou modernisations thermiques dans des immeubles comprenant plusieurs appartements</w:t>
            </w:r>
          </w:p>
        </w:tc>
      </w:tr>
      <w:tr w:rsidR="003C4798" w14:paraId="2098A0A7" w14:textId="77777777">
        <w:trPr>
          <w:trHeight w:val="300"/>
          <w:jc w:val="center"/>
        </w:trPr>
        <w:tc>
          <w:tcPr>
            <w:tcW w:w="1277" w:type="dxa"/>
            <w:shd w:val="clear" w:color="auto" w:fill="C6EFCE"/>
            <w:hideMark/>
          </w:tcPr>
          <w:p w14:paraId="1EA53CC0" w14:textId="0A7381C6" w:rsidR="003C4798" w:rsidRDefault="00417595">
            <w:pPr>
              <w:pStyle w:val="P68B1DB1-Normal85"/>
              <w:spacing w:line="240" w:lineRule="auto"/>
              <w:jc w:val="center"/>
              <w:rPr>
                <w:noProof/>
              </w:rPr>
            </w:pPr>
            <w:r>
              <w:rPr>
                <w:noProof/>
              </w:rPr>
              <w:t>B44G</w:t>
            </w:r>
          </w:p>
        </w:tc>
        <w:tc>
          <w:tcPr>
            <w:tcW w:w="3402" w:type="dxa"/>
            <w:shd w:val="clear" w:color="auto" w:fill="C6EFCE"/>
            <w:hideMark/>
          </w:tcPr>
          <w:p w14:paraId="2BE8EEF7" w14:textId="0BAF2AE5" w:rsidR="003C4798" w:rsidRDefault="00417595">
            <w:pPr>
              <w:pStyle w:val="P68B1DB1-Normal85"/>
              <w:spacing w:line="240" w:lineRule="auto"/>
              <w:rPr>
                <w:noProof/>
              </w:rPr>
            </w:pPr>
            <w:r>
              <w:rPr>
                <w:noProof/>
              </w:rPr>
              <w:t>B4.1 Réduire la dépendance à l'égard du charbon</w:t>
            </w:r>
          </w:p>
        </w:tc>
        <w:tc>
          <w:tcPr>
            <w:tcW w:w="1275" w:type="dxa"/>
            <w:shd w:val="clear" w:color="auto" w:fill="C6EFCE"/>
            <w:hideMark/>
          </w:tcPr>
          <w:p w14:paraId="034F954F" w14:textId="7FF9E872" w:rsidR="003C4798" w:rsidRDefault="00417595">
            <w:pPr>
              <w:pStyle w:val="P68B1DB1-Normal85"/>
              <w:spacing w:line="240" w:lineRule="auto"/>
              <w:jc w:val="center"/>
              <w:rPr>
                <w:noProof/>
              </w:rPr>
            </w:pPr>
            <w:r>
              <w:rPr>
                <w:noProof/>
              </w:rPr>
              <w:t>Étape</w:t>
            </w:r>
          </w:p>
        </w:tc>
        <w:tc>
          <w:tcPr>
            <w:tcW w:w="3686" w:type="dxa"/>
            <w:shd w:val="clear" w:color="auto" w:fill="C6EFCE"/>
            <w:hideMark/>
          </w:tcPr>
          <w:p w14:paraId="7C0C1348" w14:textId="21593089" w:rsidR="003C4798" w:rsidRDefault="00417595">
            <w:pPr>
              <w:pStyle w:val="P68B1DB1-Normal87"/>
              <w:spacing w:line="240" w:lineRule="auto"/>
              <w:rPr>
                <w:noProof/>
              </w:rPr>
            </w:pPr>
            <w:r>
              <w:rPr>
                <w:noProof/>
              </w:rPr>
              <w:t xml:space="preserve">Fonds de transformation du chauffage urbain </w:t>
            </w:r>
          </w:p>
        </w:tc>
      </w:tr>
      <w:tr w:rsidR="003C4798" w14:paraId="3434E7F2" w14:textId="77777777">
        <w:trPr>
          <w:trHeight w:val="300"/>
          <w:jc w:val="center"/>
        </w:trPr>
        <w:tc>
          <w:tcPr>
            <w:tcW w:w="1277" w:type="dxa"/>
            <w:shd w:val="clear" w:color="auto" w:fill="C6EFCE"/>
            <w:hideMark/>
          </w:tcPr>
          <w:p w14:paraId="35B3B561" w14:textId="7D5B0EF5" w:rsidR="003C4798" w:rsidRDefault="00417595">
            <w:pPr>
              <w:pStyle w:val="P68B1DB1-Normal85"/>
              <w:spacing w:line="240" w:lineRule="auto"/>
              <w:jc w:val="center"/>
              <w:rPr>
                <w:noProof/>
              </w:rPr>
            </w:pPr>
            <w:r>
              <w:rPr>
                <w:noProof/>
              </w:rPr>
              <w:t>B45G</w:t>
            </w:r>
          </w:p>
        </w:tc>
        <w:tc>
          <w:tcPr>
            <w:tcW w:w="3402" w:type="dxa"/>
            <w:shd w:val="clear" w:color="auto" w:fill="C6EFCE"/>
            <w:hideMark/>
          </w:tcPr>
          <w:p w14:paraId="549D6423" w14:textId="3E7AE960" w:rsidR="003C4798" w:rsidRDefault="00417595">
            <w:pPr>
              <w:pStyle w:val="P68B1DB1-Normal85"/>
              <w:spacing w:line="240" w:lineRule="auto"/>
              <w:rPr>
                <w:noProof/>
              </w:rPr>
            </w:pPr>
            <w:r>
              <w:rPr>
                <w:noProof/>
              </w:rPr>
              <w:t xml:space="preserve">B4.1 Réduire la dépendance à l'égard du charbon </w:t>
            </w:r>
          </w:p>
        </w:tc>
        <w:tc>
          <w:tcPr>
            <w:tcW w:w="1275" w:type="dxa"/>
            <w:shd w:val="clear" w:color="auto" w:fill="C6EFCE"/>
            <w:hideMark/>
          </w:tcPr>
          <w:p w14:paraId="4290565B" w14:textId="6A688F8E" w:rsidR="003C4798" w:rsidRDefault="00417595">
            <w:pPr>
              <w:pStyle w:val="P68B1DB1-Normal85"/>
              <w:spacing w:line="240" w:lineRule="auto"/>
              <w:jc w:val="center"/>
              <w:rPr>
                <w:noProof/>
              </w:rPr>
            </w:pPr>
            <w:r>
              <w:rPr>
                <w:noProof/>
              </w:rPr>
              <w:t>Étape</w:t>
            </w:r>
          </w:p>
        </w:tc>
        <w:tc>
          <w:tcPr>
            <w:tcW w:w="3686" w:type="dxa"/>
            <w:shd w:val="clear" w:color="auto" w:fill="C6EFCE"/>
            <w:hideMark/>
          </w:tcPr>
          <w:p w14:paraId="2A0CF02B" w14:textId="6D07AA2D" w:rsidR="003C4798" w:rsidRDefault="00417595">
            <w:pPr>
              <w:pStyle w:val="P68B1DB1-Normal87"/>
              <w:spacing w:line="240" w:lineRule="auto"/>
              <w:rPr>
                <w:noProof/>
              </w:rPr>
            </w:pPr>
            <w:r>
              <w:rPr>
                <w:noProof/>
              </w:rPr>
              <w:t>Entrée en vigueur des modifications apportées à la loi sur le fonctionnement de l'industrie minière de houille</w:t>
            </w:r>
          </w:p>
        </w:tc>
      </w:tr>
      <w:tr w:rsidR="003C4798" w14:paraId="1216C809" w14:textId="77777777">
        <w:trPr>
          <w:trHeight w:val="300"/>
          <w:jc w:val="center"/>
        </w:trPr>
        <w:tc>
          <w:tcPr>
            <w:tcW w:w="1277" w:type="dxa"/>
            <w:shd w:val="clear" w:color="auto" w:fill="C6EFCE"/>
            <w:hideMark/>
          </w:tcPr>
          <w:p w14:paraId="1216C805"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C6G </w:t>
            </w:r>
          </w:p>
        </w:tc>
        <w:tc>
          <w:tcPr>
            <w:tcW w:w="3402" w:type="dxa"/>
            <w:shd w:val="clear" w:color="auto" w:fill="C6EFCE"/>
            <w:hideMark/>
          </w:tcPr>
          <w:p w14:paraId="1216C806" w14:textId="77777777" w:rsidR="003C4798" w:rsidRDefault="00417595">
            <w:pPr>
              <w:pStyle w:val="P68B1DB1-Normal85"/>
              <w:spacing w:line="240" w:lineRule="auto"/>
              <w:textAlignment w:val="baseline"/>
              <w:rPr>
                <w:rFonts w:eastAsia="Times New Roman" w:cs="Times New Roman"/>
                <w:noProof/>
              </w:rPr>
            </w:pPr>
            <w:r>
              <w:rPr>
                <w:noProof/>
              </w:rPr>
              <w:t>C1.1.1 Accès au réseau à haut débit</w:t>
            </w:r>
          </w:p>
        </w:tc>
        <w:tc>
          <w:tcPr>
            <w:tcW w:w="1275" w:type="dxa"/>
            <w:shd w:val="clear" w:color="auto" w:fill="C6EFCE"/>
            <w:hideMark/>
          </w:tcPr>
          <w:p w14:paraId="1216C807" w14:textId="77777777" w:rsidR="003C4798" w:rsidRDefault="00417595">
            <w:pPr>
              <w:pStyle w:val="P68B1DB1-Normal85"/>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08" w14:textId="2E27DC74" w:rsidR="003C4798" w:rsidRDefault="00417595">
            <w:pPr>
              <w:pStyle w:val="P68B1DB1-Normal87"/>
              <w:spacing w:line="240" w:lineRule="auto"/>
              <w:textAlignment w:val="baseline"/>
              <w:rPr>
                <w:noProof/>
              </w:rPr>
            </w:pPr>
            <w:r>
              <w:rPr>
                <w:noProof/>
              </w:rPr>
              <w:t>Unités résidentielles avec accès au haut débit de 100 Mb/s</w:t>
            </w:r>
          </w:p>
        </w:tc>
      </w:tr>
      <w:tr w:rsidR="003C4798" w14:paraId="1216C813" w14:textId="77777777">
        <w:trPr>
          <w:trHeight w:val="300"/>
          <w:jc w:val="center"/>
        </w:trPr>
        <w:tc>
          <w:tcPr>
            <w:tcW w:w="1277" w:type="dxa"/>
            <w:shd w:val="clear" w:color="auto" w:fill="C6EFCE"/>
            <w:hideMark/>
          </w:tcPr>
          <w:p w14:paraId="1216C80F"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C12G </w:t>
            </w:r>
          </w:p>
        </w:tc>
        <w:tc>
          <w:tcPr>
            <w:tcW w:w="3402" w:type="dxa"/>
            <w:shd w:val="clear" w:color="auto" w:fill="C6EFCE"/>
            <w:hideMark/>
          </w:tcPr>
          <w:p w14:paraId="1216C810" w14:textId="77777777" w:rsidR="003C4798" w:rsidRDefault="00417595">
            <w:pPr>
              <w:pStyle w:val="P68B1DB1-Normal85"/>
              <w:spacing w:line="240" w:lineRule="auto"/>
              <w:textAlignment w:val="baseline"/>
              <w:rPr>
                <w:rFonts w:eastAsia="Times New Roman" w:cs="Times New Roman"/>
                <w:noProof/>
              </w:rPr>
            </w:pPr>
            <w:r>
              <w:rPr>
                <w:noProof/>
              </w:rPr>
              <w:t>C2.1.1 Services publics en ligne et solutions informatiques pour l'administration publique</w:t>
            </w:r>
          </w:p>
        </w:tc>
        <w:tc>
          <w:tcPr>
            <w:tcW w:w="1275" w:type="dxa"/>
            <w:shd w:val="clear" w:color="auto" w:fill="C6EFCE"/>
            <w:hideMark/>
          </w:tcPr>
          <w:p w14:paraId="1216C811"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12" w14:textId="77777777" w:rsidR="003C4798" w:rsidRDefault="00417595">
            <w:pPr>
              <w:pStyle w:val="P68B1DB1-Normal87"/>
              <w:spacing w:line="240" w:lineRule="auto"/>
              <w:rPr>
                <w:noProof/>
              </w:rPr>
            </w:pPr>
            <w:r>
              <w:rPr>
                <w:noProof/>
              </w:rPr>
              <w:t>Services publics en ligne</w:t>
            </w:r>
          </w:p>
        </w:tc>
      </w:tr>
      <w:tr w:rsidR="003C4798" w14:paraId="1216C818" w14:textId="77777777">
        <w:trPr>
          <w:trHeight w:val="300"/>
          <w:jc w:val="center"/>
        </w:trPr>
        <w:tc>
          <w:tcPr>
            <w:tcW w:w="1277" w:type="dxa"/>
            <w:shd w:val="clear" w:color="auto" w:fill="C6EFCE"/>
            <w:hideMark/>
          </w:tcPr>
          <w:p w14:paraId="1216C814"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C13aG </w:t>
            </w:r>
          </w:p>
        </w:tc>
        <w:tc>
          <w:tcPr>
            <w:tcW w:w="3402" w:type="dxa"/>
            <w:shd w:val="clear" w:color="auto" w:fill="C6EFCE"/>
            <w:hideMark/>
          </w:tcPr>
          <w:p w14:paraId="1216C815" w14:textId="77777777" w:rsidR="003C4798" w:rsidRDefault="00417595">
            <w:pPr>
              <w:pStyle w:val="P68B1DB1-Normal85"/>
              <w:spacing w:line="240" w:lineRule="auto"/>
              <w:textAlignment w:val="baseline"/>
              <w:rPr>
                <w:rFonts w:eastAsia="Times New Roman" w:cs="Times New Roman"/>
                <w:noProof/>
              </w:rPr>
            </w:pPr>
            <w:r>
              <w:rPr>
                <w:noProof/>
              </w:rPr>
              <w:t>C2.1.1 Services publics en ligne et solutions informatiques pour l'administration publique</w:t>
            </w:r>
          </w:p>
        </w:tc>
        <w:tc>
          <w:tcPr>
            <w:tcW w:w="1275" w:type="dxa"/>
            <w:shd w:val="clear" w:color="auto" w:fill="C6EFCE"/>
            <w:hideMark/>
          </w:tcPr>
          <w:p w14:paraId="1216C816"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17" w14:textId="77777777" w:rsidR="003C4798" w:rsidRDefault="00417595">
            <w:pPr>
              <w:pStyle w:val="P68B1DB1-Normal87"/>
              <w:spacing w:line="240" w:lineRule="auto"/>
              <w:textAlignment w:val="baseline"/>
              <w:rPr>
                <w:noProof/>
              </w:rPr>
            </w:pPr>
            <w:r>
              <w:rPr>
                <w:noProof/>
              </w:rPr>
              <w:t>Systèmes informatiques publics</w:t>
            </w:r>
          </w:p>
        </w:tc>
      </w:tr>
      <w:tr w:rsidR="003C4798" w14:paraId="1216C81D" w14:textId="77777777">
        <w:trPr>
          <w:trHeight w:val="300"/>
          <w:jc w:val="center"/>
        </w:trPr>
        <w:tc>
          <w:tcPr>
            <w:tcW w:w="1277" w:type="dxa"/>
            <w:shd w:val="clear" w:color="auto" w:fill="C6EFCE"/>
            <w:hideMark/>
          </w:tcPr>
          <w:p w14:paraId="1216C819" w14:textId="77777777" w:rsidR="003C4798" w:rsidRDefault="00417595">
            <w:pPr>
              <w:pStyle w:val="P68B1DB1-Normal85"/>
              <w:spacing w:line="240" w:lineRule="auto"/>
              <w:jc w:val="center"/>
              <w:rPr>
                <w:noProof/>
              </w:rPr>
            </w:pPr>
            <w:r>
              <w:rPr>
                <w:noProof/>
              </w:rPr>
              <w:t>C13bG</w:t>
            </w:r>
          </w:p>
        </w:tc>
        <w:tc>
          <w:tcPr>
            <w:tcW w:w="3402" w:type="dxa"/>
            <w:shd w:val="clear" w:color="auto" w:fill="C6EFCE"/>
            <w:hideMark/>
          </w:tcPr>
          <w:p w14:paraId="1216C81A" w14:textId="77777777" w:rsidR="003C4798" w:rsidRDefault="00417595">
            <w:pPr>
              <w:pStyle w:val="P68B1DB1-Normal85"/>
              <w:spacing w:line="240" w:lineRule="auto"/>
              <w:rPr>
                <w:noProof/>
              </w:rPr>
            </w:pPr>
            <w:r>
              <w:rPr>
                <w:noProof/>
              </w:rPr>
              <w:t>C2.1.1 Services publics en ligne et solutions informatiques pour l'administration publique</w:t>
            </w:r>
          </w:p>
        </w:tc>
        <w:tc>
          <w:tcPr>
            <w:tcW w:w="1275" w:type="dxa"/>
            <w:shd w:val="clear" w:color="auto" w:fill="C6EFCE"/>
            <w:hideMark/>
          </w:tcPr>
          <w:p w14:paraId="1216C81B" w14:textId="77777777" w:rsidR="003C4798" w:rsidRDefault="00417595">
            <w:pPr>
              <w:pStyle w:val="P68B1DB1-Normal85"/>
              <w:spacing w:line="240" w:lineRule="auto"/>
              <w:jc w:val="center"/>
              <w:rPr>
                <w:noProof/>
              </w:rPr>
            </w:pPr>
            <w:r>
              <w:rPr>
                <w:noProof/>
              </w:rPr>
              <w:t>Étape</w:t>
            </w:r>
          </w:p>
        </w:tc>
        <w:tc>
          <w:tcPr>
            <w:tcW w:w="3686" w:type="dxa"/>
            <w:shd w:val="clear" w:color="auto" w:fill="C6EFCE"/>
            <w:hideMark/>
          </w:tcPr>
          <w:p w14:paraId="1216C81C" w14:textId="77777777" w:rsidR="003C4798" w:rsidRDefault="00417595">
            <w:pPr>
              <w:pStyle w:val="P68B1DB1-Normal87"/>
              <w:spacing w:line="240" w:lineRule="auto"/>
              <w:rPr>
                <w:noProof/>
              </w:rPr>
            </w:pPr>
            <w:r>
              <w:rPr>
                <w:noProof/>
              </w:rPr>
              <w:t>Numérisation de l'administration publique</w:t>
            </w:r>
          </w:p>
        </w:tc>
      </w:tr>
      <w:tr w:rsidR="003C4798" w14:paraId="1216C822" w14:textId="77777777">
        <w:trPr>
          <w:trHeight w:val="300"/>
          <w:jc w:val="center"/>
        </w:trPr>
        <w:tc>
          <w:tcPr>
            <w:tcW w:w="1277" w:type="dxa"/>
            <w:shd w:val="clear" w:color="auto" w:fill="C6EFCE"/>
            <w:hideMark/>
          </w:tcPr>
          <w:p w14:paraId="1216C81E" w14:textId="77777777" w:rsidR="003C4798" w:rsidRDefault="00417595">
            <w:pPr>
              <w:pStyle w:val="P68B1DB1-Normal85"/>
              <w:spacing w:line="240" w:lineRule="auto"/>
              <w:ind w:right="30"/>
              <w:jc w:val="center"/>
              <w:textAlignment w:val="baseline"/>
              <w:rPr>
                <w:rFonts w:eastAsia="Times New Roman" w:cs="Times New Roman"/>
                <w:noProof/>
              </w:rPr>
            </w:pPr>
            <w:r>
              <w:rPr>
                <w:noProof/>
              </w:rPr>
              <w:t>C13cG </w:t>
            </w:r>
          </w:p>
        </w:tc>
        <w:tc>
          <w:tcPr>
            <w:tcW w:w="3402" w:type="dxa"/>
            <w:shd w:val="clear" w:color="auto" w:fill="C6EFCE"/>
            <w:hideMark/>
          </w:tcPr>
          <w:p w14:paraId="1216C81F" w14:textId="77777777" w:rsidR="003C4798" w:rsidRDefault="00417595">
            <w:pPr>
              <w:pStyle w:val="P68B1DB1-Normal85"/>
              <w:spacing w:line="240" w:lineRule="auto"/>
              <w:textAlignment w:val="baseline"/>
              <w:rPr>
                <w:rFonts w:eastAsia="Times New Roman" w:cs="Times New Roman"/>
                <w:noProof/>
              </w:rPr>
            </w:pPr>
            <w:r>
              <w:rPr>
                <w:noProof/>
              </w:rPr>
              <w:t>C2.1.1 Services publics en ligne et solutions informatiques pour l'administration publique</w:t>
            </w:r>
          </w:p>
        </w:tc>
        <w:tc>
          <w:tcPr>
            <w:tcW w:w="1275" w:type="dxa"/>
            <w:shd w:val="clear" w:color="auto" w:fill="C6EFCE"/>
            <w:hideMark/>
          </w:tcPr>
          <w:p w14:paraId="1216C820" w14:textId="77777777" w:rsidR="003C4798" w:rsidRDefault="00417595">
            <w:pPr>
              <w:pStyle w:val="P68B1DB1-Normal85"/>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21" w14:textId="77777777" w:rsidR="003C4798" w:rsidRDefault="00417595">
            <w:pPr>
              <w:pStyle w:val="P68B1DB1-Normal87"/>
              <w:spacing w:line="240" w:lineRule="auto"/>
              <w:textAlignment w:val="baseline"/>
              <w:rPr>
                <w:noProof/>
              </w:rPr>
            </w:pPr>
            <w:r>
              <w:rPr>
                <w:noProof/>
              </w:rPr>
              <w:t>Lancement du système national de facturation électronique</w:t>
            </w:r>
          </w:p>
        </w:tc>
      </w:tr>
      <w:tr w:rsidR="003C4798" w14:paraId="1216C827" w14:textId="77777777">
        <w:trPr>
          <w:trHeight w:val="300"/>
          <w:jc w:val="center"/>
        </w:trPr>
        <w:tc>
          <w:tcPr>
            <w:tcW w:w="1277" w:type="dxa"/>
            <w:shd w:val="clear" w:color="auto" w:fill="C6EFCE"/>
            <w:hideMark/>
          </w:tcPr>
          <w:p w14:paraId="1216C823" w14:textId="77777777" w:rsidR="003C4798" w:rsidRDefault="00417595">
            <w:pPr>
              <w:pStyle w:val="P68B1DB1-Normal85"/>
              <w:spacing w:line="240" w:lineRule="auto"/>
              <w:ind w:right="30"/>
              <w:jc w:val="center"/>
              <w:textAlignment w:val="baseline"/>
              <w:rPr>
                <w:rFonts w:eastAsia="Times New Roman" w:cs="Times New Roman"/>
                <w:noProof/>
              </w:rPr>
            </w:pPr>
            <w:r>
              <w:rPr>
                <w:noProof/>
              </w:rPr>
              <w:t>C13dG </w:t>
            </w:r>
          </w:p>
        </w:tc>
        <w:tc>
          <w:tcPr>
            <w:tcW w:w="3402" w:type="dxa"/>
            <w:shd w:val="clear" w:color="auto" w:fill="C6EFCE"/>
            <w:hideMark/>
          </w:tcPr>
          <w:p w14:paraId="1216C824" w14:textId="77777777" w:rsidR="003C4798" w:rsidRDefault="00417595">
            <w:pPr>
              <w:pStyle w:val="P68B1DB1-Normal85"/>
              <w:textAlignment w:val="baseline"/>
              <w:rPr>
                <w:noProof/>
              </w:rPr>
            </w:pPr>
            <w:r>
              <w:rPr>
                <w:noProof/>
              </w:rPr>
              <w:t xml:space="preserve">C2.1.1 Services publics en ligne et solutions informatiques pour l'administration publique </w:t>
            </w:r>
          </w:p>
        </w:tc>
        <w:tc>
          <w:tcPr>
            <w:tcW w:w="1275" w:type="dxa"/>
            <w:shd w:val="clear" w:color="auto" w:fill="C6EFCE"/>
            <w:hideMark/>
          </w:tcPr>
          <w:p w14:paraId="1216C825"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 </w:t>
            </w:r>
          </w:p>
        </w:tc>
        <w:tc>
          <w:tcPr>
            <w:tcW w:w="3686" w:type="dxa"/>
            <w:shd w:val="clear" w:color="auto" w:fill="C6EFCE"/>
            <w:hideMark/>
          </w:tcPr>
          <w:p w14:paraId="1216C826" w14:textId="77777777" w:rsidR="003C4798" w:rsidRDefault="00417595">
            <w:pPr>
              <w:pStyle w:val="P68B1DB1-Normal87"/>
              <w:spacing w:line="240" w:lineRule="auto"/>
              <w:textAlignment w:val="baseline"/>
              <w:rPr>
                <w:noProof/>
              </w:rPr>
            </w:pPr>
            <w:r>
              <w:rPr>
                <w:noProof/>
              </w:rPr>
              <w:t>Lancement de services en ligne nouveaux ou améliorés dans le bureau de la fiscalité en ligne</w:t>
            </w:r>
          </w:p>
        </w:tc>
      </w:tr>
      <w:tr w:rsidR="003C4798" w14:paraId="1216C82C" w14:textId="77777777">
        <w:trPr>
          <w:trHeight w:val="300"/>
          <w:jc w:val="center"/>
        </w:trPr>
        <w:tc>
          <w:tcPr>
            <w:tcW w:w="1277" w:type="dxa"/>
            <w:shd w:val="clear" w:color="auto" w:fill="C6EFCE"/>
            <w:hideMark/>
          </w:tcPr>
          <w:p w14:paraId="1216C828"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C20G </w:t>
            </w:r>
          </w:p>
        </w:tc>
        <w:tc>
          <w:tcPr>
            <w:tcW w:w="3402" w:type="dxa"/>
            <w:shd w:val="clear" w:color="auto" w:fill="C6EFCE"/>
            <w:hideMark/>
          </w:tcPr>
          <w:p w14:paraId="1216C829" w14:textId="77777777" w:rsidR="003C4798" w:rsidRDefault="00417595">
            <w:pPr>
              <w:pStyle w:val="P68B1DB1-Normal85"/>
              <w:spacing w:line="240" w:lineRule="auto"/>
              <w:textAlignment w:val="baseline"/>
              <w:rPr>
                <w:rFonts w:eastAsia="Times New Roman" w:cs="Times New Roman"/>
                <w:noProof/>
              </w:rPr>
            </w:pPr>
            <w:r>
              <w:rPr>
                <w:noProof/>
              </w:rPr>
              <w:t>C2.1.3 Compétences en ligne</w:t>
            </w:r>
          </w:p>
        </w:tc>
        <w:tc>
          <w:tcPr>
            <w:tcW w:w="1275" w:type="dxa"/>
            <w:shd w:val="clear" w:color="auto" w:fill="C6EFCE"/>
            <w:hideMark/>
          </w:tcPr>
          <w:p w14:paraId="1216C82A"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2B" w14:textId="77777777" w:rsidR="003C4798" w:rsidRDefault="00417595">
            <w:pPr>
              <w:pStyle w:val="P68B1DB1-Normal87"/>
              <w:spacing w:line="240" w:lineRule="auto"/>
              <w:textAlignment w:val="baseline"/>
              <w:rPr>
                <w:noProof/>
              </w:rPr>
            </w:pPr>
            <w:r>
              <w:rPr>
                <w:noProof/>
              </w:rPr>
              <w:t>Formations sur les compétences numériques</w:t>
            </w:r>
          </w:p>
        </w:tc>
      </w:tr>
      <w:tr w:rsidR="003C4798" w14:paraId="1216C831" w14:textId="77777777">
        <w:trPr>
          <w:trHeight w:val="300"/>
          <w:jc w:val="center"/>
        </w:trPr>
        <w:tc>
          <w:tcPr>
            <w:tcW w:w="1277" w:type="dxa"/>
            <w:shd w:val="clear" w:color="auto" w:fill="C6EFCE"/>
            <w:hideMark/>
          </w:tcPr>
          <w:p w14:paraId="1216C82D"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C23G </w:t>
            </w:r>
          </w:p>
        </w:tc>
        <w:tc>
          <w:tcPr>
            <w:tcW w:w="3402" w:type="dxa"/>
            <w:shd w:val="clear" w:color="auto" w:fill="C6EFCE"/>
            <w:hideMark/>
          </w:tcPr>
          <w:p w14:paraId="1216C82E" w14:textId="77777777" w:rsidR="003C4798" w:rsidRDefault="00417595">
            <w:pPr>
              <w:pStyle w:val="P68B1DB1-Normal85"/>
              <w:spacing w:line="240" w:lineRule="auto"/>
              <w:textAlignment w:val="baseline"/>
              <w:rPr>
                <w:rFonts w:eastAsia="Times New Roman" w:cs="Times New Roman"/>
                <w:noProof/>
              </w:rPr>
            </w:pPr>
            <w:r>
              <w:rPr>
                <w:noProof/>
              </w:rPr>
              <w:t>C3.1.1 Cybersécurité – CyberPL, infrastructure de traitement des données et optimisation de l’infrastructure des services répressifs</w:t>
            </w:r>
          </w:p>
        </w:tc>
        <w:tc>
          <w:tcPr>
            <w:tcW w:w="1275" w:type="dxa"/>
            <w:shd w:val="clear" w:color="auto" w:fill="C6EFCE"/>
            <w:hideMark/>
          </w:tcPr>
          <w:p w14:paraId="1216C82F" w14:textId="77777777" w:rsidR="003C4798" w:rsidRDefault="00417595">
            <w:pPr>
              <w:pStyle w:val="P68B1DB1-Normal85"/>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30" w14:textId="77777777" w:rsidR="003C4798" w:rsidRDefault="00417595">
            <w:pPr>
              <w:pStyle w:val="P68B1DB1-Normal87"/>
              <w:spacing w:line="240" w:lineRule="auto"/>
              <w:textAlignment w:val="baseline"/>
              <w:rPr>
                <w:noProof/>
              </w:rPr>
            </w:pPr>
            <w:r>
              <w:rPr>
                <w:noProof/>
              </w:rPr>
              <w:t>Actions en matière de cybersécurité</w:t>
            </w:r>
          </w:p>
        </w:tc>
      </w:tr>
      <w:tr w:rsidR="003C4798" w14:paraId="1216C836" w14:textId="77777777">
        <w:trPr>
          <w:trHeight w:val="300"/>
          <w:jc w:val="center"/>
        </w:trPr>
        <w:tc>
          <w:tcPr>
            <w:tcW w:w="1277" w:type="dxa"/>
            <w:shd w:val="clear" w:color="auto" w:fill="C6EFCE"/>
            <w:hideMark/>
          </w:tcPr>
          <w:p w14:paraId="1216C832"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C25G </w:t>
            </w:r>
          </w:p>
        </w:tc>
        <w:tc>
          <w:tcPr>
            <w:tcW w:w="3402" w:type="dxa"/>
            <w:shd w:val="clear" w:color="auto" w:fill="C6EFCE"/>
            <w:hideMark/>
          </w:tcPr>
          <w:p w14:paraId="1216C833" w14:textId="77777777" w:rsidR="003C4798" w:rsidRDefault="00417595">
            <w:pPr>
              <w:pStyle w:val="P68B1DB1-Normal85"/>
              <w:spacing w:line="240" w:lineRule="auto"/>
              <w:textAlignment w:val="baseline"/>
              <w:rPr>
                <w:rFonts w:eastAsia="Times New Roman" w:cs="Times New Roman"/>
                <w:noProof/>
              </w:rPr>
            </w:pPr>
            <w:r>
              <w:rPr>
                <w:noProof/>
              </w:rPr>
              <w:t>C3.1.1 Cybersécurité – CyberPL, infrastructure de traitement des données et optimisation de l’infrastructure des services répressifs</w:t>
            </w:r>
          </w:p>
        </w:tc>
        <w:tc>
          <w:tcPr>
            <w:tcW w:w="1275" w:type="dxa"/>
            <w:shd w:val="clear" w:color="auto" w:fill="C6EFCE"/>
            <w:hideMark/>
          </w:tcPr>
          <w:p w14:paraId="1216C834" w14:textId="77777777" w:rsidR="003C4798" w:rsidRDefault="00417595">
            <w:pPr>
              <w:pStyle w:val="P68B1DB1-Normal85"/>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35" w14:textId="77777777" w:rsidR="003C4798" w:rsidRDefault="00417595">
            <w:pPr>
              <w:pStyle w:val="P68B1DB1-Normal87"/>
              <w:spacing w:line="240" w:lineRule="auto"/>
              <w:textAlignment w:val="baseline"/>
              <w:rPr>
                <w:noProof/>
              </w:rPr>
            </w:pPr>
            <w:r>
              <w:rPr>
                <w:noProof/>
              </w:rPr>
              <w:t>Construction d'un bâtiment de centre de données</w:t>
            </w:r>
          </w:p>
        </w:tc>
      </w:tr>
      <w:tr w:rsidR="003C4798" w14:paraId="1216C83B" w14:textId="77777777">
        <w:trPr>
          <w:trHeight w:val="300"/>
          <w:jc w:val="center"/>
        </w:trPr>
        <w:tc>
          <w:tcPr>
            <w:tcW w:w="1277" w:type="dxa"/>
            <w:shd w:val="clear" w:color="auto" w:fill="C6EFCE"/>
            <w:hideMark/>
          </w:tcPr>
          <w:p w14:paraId="1216C837"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D6G </w:t>
            </w:r>
          </w:p>
        </w:tc>
        <w:tc>
          <w:tcPr>
            <w:tcW w:w="3402" w:type="dxa"/>
            <w:shd w:val="clear" w:color="auto" w:fill="C6EFCE"/>
            <w:hideMark/>
          </w:tcPr>
          <w:p w14:paraId="1216C838" w14:textId="77777777" w:rsidR="003C4798" w:rsidRDefault="00417595">
            <w:pPr>
              <w:pStyle w:val="P68B1DB1-Normal85"/>
              <w:spacing w:line="240" w:lineRule="auto"/>
              <w:textAlignment w:val="baseline"/>
              <w:rPr>
                <w:rFonts w:eastAsia="Times New Roman" w:cs="Times New Roman"/>
                <w:noProof/>
              </w:rPr>
            </w:pPr>
            <w:r>
              <w:rPr>
                <w:noProof/>
              </w:rPr>
              <w:t>D1.1 Améliorer l'efficacité, l'accessibilité et la qualité des services de santé</w:t>
            </w:r>
          </w:p>
        </w:tc>
        <w:tc>
          <w:tcPr>
            <w:tcW w:w="1275" w:type="dxa"/>
            <w:shd w:val="clear" w:color="auto" w:fill="C6EFCE"/>
            <w:hideMark/>
          </w:tcPr>
          <w:p w14:paraId="1216C839" w14:textId="77777777" w:rsidR="003C4798" w:rsidRDefault="00417595">
            <w:pPr>
              <w:pStyle w:val="P68B1DB1-Normal85"/>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3A" w14:textId="77777777" w:rsidR="003C4798" w:rsidRDefault="00417595">
            <w:pPr>
              <w:pStyle w:val="P68B1DB1-Normal87"/>
              <w:spacing w:line="240" w:lineRule="auto"/>
              <w:textAlignment w:val="baseline"/>
              <w:rPr>
                <w:noProof/>
              </w:rPr>
            </w:pPr>
            <w:r>
              <w:rPr>
                <w:noProof/>
              </w:rPr>
              <w:t>Entrée en vigueur du ou des actes juridiques permettant la fourniture de services de santé en ligne</w:t>
            </w:r>
          </w:p>
        </w:tc>
      </w:tr>
      <w:tr w:rsidR="003C4798" w14:paraId="1216C840" w14:textId="77777777">
        <w:trPr>
          <w:trHeight w:val="300"/>
          <w:jc w:val="center"/>
        </w:trPr>
        <w:tc>
          <w:tcPr>
            <w:tcW w:w="1277" w:type="dxa"/>
            <w:shd w:val="clear" w:color="auto" w:fill="C6EFCE"/>
            <w:hideMark/>
          </w:tcPr>
          <w:p w14:paraId="1216C83C"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D13G </w:t>
            </w:r>
          </w:p>
        </w:tc>
        <w:tc>
          <w:tcPr>
            <w:tcW w:w="3402" w:type="dxa"/>
            <w:shd w:val="clear" w:color="auto" w:fill="C6EFCE"/>
            <w:hideMark/>
          </w:tcPr>
          <w:p w14:paraId="1216C83D" w14:textId="77777777" w:rsidR="003C4798" w:rsidRDefault="00417595">
            <w:pPr>
              <w:pStyle w:val="P68B1DB1-Normal85"/>
              <w:spacing w:line="240" w:lineRule="auto"/>
              <w:textAlignment w:val="baseline"/>
              <w:rPr>
                <w:rFonts w:eastAsia="Times New Roman" w:cs="Times New Roman"/>
                <w:noProof/>
              </w:rPr>
            </w:pPr>
            <w:r>
              <w:rPr>
                <w:noProof/>
              </w:rPr>
              <w:t>D1.1.1 Modernisation des centres de soins hautement spécialisés et des autres prestataires de soins de santé</w:t>
            </w:r>
          </w:p>
        </w:tc>
        <w:tc>
          <w:tcPr>
            <w:tcW w:w="1275" w:type="dxa"/>
            <w:shd w:val="clear" w:color="auto" w:fill="C6EFCE"/>
            <w:hideMark/>
          </w:tcPr>
          <w:p w14:paraId="1216C83E"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3F" w14:textId="45252F95" w:rsidR="003C4798" w:rsidRDefault="00417595">
            <w:pPr>
              <w:pStyle w:val="P68B1DB1-Normal87"/>
              <w:spacing w:line="240" w:lineRule="auto"/>
              <w:rPr>
                <w:noProof/>
              </w:rPr>
            </w:pPr>
            <w:r>
              <w:rPr>
                <w:noProof/>
              </w:rPr>
              <w:t>Hôpitaux du Réseau Oncologique National avec des investissements de construction ou de reconstruction ou des équipements médicaux achetés</w:t>
            </w:r>
          </w:p>
        </w:tc>
      </w:tr>
      <w:tr w:rsidR="003C4798" w14:paraId="1216C845" w14:textId="77777777">
        <w:trPr>
          <w:trHeight w:val="300"/>
          <w:jc w:val="center"/>
        </w:trPr>
        <w:tc>
          <w:tcPr>
            <w:tcW w:w="1277" w:type="dxa"/>
            <w:shd w:val="clear" w:color="auto" w:fill="C6EFCE"/>
            <w:hideMark/>
          </w:tcPr>
          <w:p w14:paraId="1216C841"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D14G </w:t>
            </w:r>
          </w:p>
        </w:tc>
        <w:tc>
          <w:tcPr>
            <w:tcW w:w="3402" w:type="dxa"/>
            <w:shd w:val="clear" w:color="auto" w:fill="C6EFCE"/>
            <w:hideMark/>
          </w:tcPr>
          <w:p w14:paraId="1216C842" w14:textId="77777777" w:rsidR="003C4798" w:rsidRDefault="00417595">
            <w:pPr>
              <w:pStyle w:val="P68B1DB1-Normal85"/>
              <w:spacing w:line="240" w:lineRule="auto"/>
              <w:textAlignment w:val="baseline"/>
              <w:rPr>
                <w:rFonts w:eastAsia="Times New Roman" w:cs="Times New Roman"/>
                <w:noProof/>
              </w:rPr>
            </w:pPr>
            <w:r>
              <w:rPr>
                <w:noProof/>
              </w:rPr>
              <w:t>D1.1.1 Modernisation des centres de soins hautement spécialisés et des autres prestataires de soins de santé</w:t>
            </w:r>
          </w:p>
        </w:tc>
        <w:tc>
          <w:tcPr>
            <w:tcW w:w="1275" w:type="dxa"/>
            <w:shd w:val="clear" w:color="auto" w:fill="C6EFCE"/>
            <w:hideMark/>
          </w:tcPr>
          <w:p w14:paraId="1216C843"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44" w14:textId="3E9F4C22" w:rsidR="003C4798" w:rsidRDefault="00417595">
            <w:pPr>
              <w:pStyle w:val="P68B1DB1-Normal87"/>
              <w:spacing w:line="240" w:lineRule="auto"/>
              <w:rPr>
                <w:noProof/>
              </w:rPr>
            </w:pPr>
            <w:r>
              <w:rPr>
                <w:noProof/>
              </w:rPr>
              <w:t>Hôpitaux du Réseau national de cardiologie ayant fait l'objet d'investissements dans la construction ou la reconstruction ou d'achats de matériel médical</w:t>
            </w:r>
          </w:p>
        </w:tc>
      </w:tr>
      <w:tr w:rsidR="003C4798" w14:paraId="1216C84A" w14:textId="77777777">
        <w:trPr>
          <w:trHeight w:val="300"/>
          <w:jc w:val="center"/>
        </w:trPr>
        <w:tc>
          <w:tcPr>
            <w:tcW w:w="1277" w:type="dxa"/>
            <w:shd w:val="clear" w:color="auto" w:fill="C6EFCE"/>
            <w:hideMark/>
          </w:tcPr>
          <w:p w14:paraId="1216C846"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D15G </w:t>
            </w:r>
          </w:p>
        </w:tc>
        <w:tc>
          <w:tcPr>
            <w:tcW w:w="3402" w:type="dxa"/>
            <w:shd w:val="clear" w:color="auto" w:fill="C6EFCE"/>
            <w:hideMark/>
          </w:tcPr>
          <w:p w14:paraId="1216C847" w14:textId="77777777" w:rsidR="003C4798" w:rsidRDefault="00417595">
            <w:pPr>
              <w:pStyle w:val="P68B1DB1-Normal85"/>
              <w:spacing w:line="240" w:lineRule="auto"/>
              <w:textAlignment w:val="baseline"/>
              <w:rPr>
                <w:rFonts w:eastAsia="Times New Roman" w:cs="Times New Roman"/>
                <w:noProof/>
              </w:rPr>
            </w:pPr>
            <w:r>
              <w:rPr>
                <w:noProof/>
              </w:rPr>
              <w:t>D1.1.2 Transformation numérique des soins de santé</w:t>
            </w:r>
          </w:p>
        </w:tc>
        <w:tc>
          <w:tcPr>
            <w:tcW w:w="1275" w:type="dxa"/>
            <w:shd w:val="clear" w:color="auto" w:fill="C6EFCE"/>
            <w:hideMark/>
          </w:tcPr>
          <w:p w14:paraId="1216C848" w14:textId="77777777" w:rsidR="003C4798" w:rsidRDefault="00417595">
            <w:pPr>
              <w:pStyle w:val="P68B1DB1-Normal85"/>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49" w14:textId="77777777" w:rsidR="003C4798" w:rsidRDefault="00417595">
            <w:pPr>
              <w:pStyle w:val="P68B1DB1-Normal87"/>
              <w:spacing w:line="240" w:lineRule="auto"/>
              <w:textAlignment w:val="baseline"/>
              <w:rPr>
                <w:noProof/>
              </w:rPr>
            </w:pPr>
            <w:r>
              <w:rPr>
                <w:noProof/>
              </w:rPr>
              <w:t>Lancement d'un outil d'analyse de la santé des patients</w:t>
            </w:r>
          </w:p>
        </w:tc>
      </w:tr>
      <w:tr w:rsidR="003C4798" w14:paraId="1216C84F" w14:textId="77777777">
        <w:trPr>
          <w:trHeight w:val="300"/>
          <w:jc w:val="center"/>
        </w:trPr>
        <w:tc>
          <w:tcPr>
            <w:tcW w:w="1277" w:type="dxa"/>
            <w:shd w:val="clear" w:color="auto" w:fill="C6EFCE"/>
          </w:tcPr>
          <w:p w14:paraId="1216C84B" w14:textId="77777777" w:rsidR="003C4798" w:rsidRDefault="00417595">
            <w:pPr>
              <w:pStyle w:val="P68B1DB1-Normal85"/>
              <w:spacing w:line="240" w:lineRule="auto"/>
              <w:ind w:right="30"/>
              <w:jc w:val="center"/>
              <w:textAlignment w:val="baseline"/>
              <w:rPr>
                <w:noProof/>
              </w:rPr>
            </w:pPr>
            <w:r>
              <w:rPr>
                <w:noProof/>
              </w:rPr>
              <w:t xml:space="preserve">D17G </w:t>
            </w:r>
          </w:p>
        </w:tc>
        <w:tc>
          <w:tcPr>
            <w:tcW w:w="3402" w:type="dxa"/>
            <w:shd w:val="clear" w:color="auto" w:fill="C6EFCE"/>
          </w:tcPr>
          <w:p w14:paraId="1216C84C" w14:textId="77777777" w:rsidR="003C4798" w:rsidRDefault="00417595">
            <w:pPr>
              <w:pStyle w:val="P68B1DB1-Normal85"/>
              <w:spacing w:line="240" w:lineRule="auto"/>
              <w:textAlignment w:val="baseline"/>
              <w:rPr>
                <w:noProof/>
              </w:rPr>
            </w:pPr>
            <w:r>
              <w:rPr>
                <w:noProof/>
              </w:rPr>
              <w:t>D1.1.2 Transformation numérique des soins de santé</w:t>
            </w:r>
          </w:p>
        </w:tc>
        <w:tc>
          <w:tcPr>
            <w:tcW w:w="1275" w:type="dxa"/>
            <w:shd w:val="clear" w:color="auto" w:fill="C6EFCE"/>
          </w:tcPr>
          <w:p w14:paraId="1216C84D" w14:textId="77777777" w:rsidR="003C4798" w:rsidRDefault="00417595">
            <w:pPr>
              <w:pStyle w:val="P68B1DB1-Normal85"/>
              <w:spacing w:line="240" w:lineRule="auto"/>
              <w:ind w:right="30"/>
              <w:jc w:val="center"/>
              <w:textAlignment w:val="baseline"/>
              <w:rPr>
                <w:noProof/>
              </w:rPr>
            </w:pPr>
            <w:r>
              <w:rPr>
                <w:noProof/>
              </w:rPr>
              <w:t>Étape</w:t>
            </w:r>
          </w:p>
        </w:tc>
        <w:tc>
          <w:tcPr>
            <w:tcW w:w="3686" w:type="dxa"/>
            <w:shd w:val="clear" w:color="auto" w:fill="C6EFCE"/>
          </w:tcPr>
          <w:p w14:paraId="1216C84E" w14:textId="77777777" w:rsidR="003C4798" w:rsidRDefault="00417595">
            <w:pPr>
              <w:pStyle w:val="P68B1DB1-Normal85"/>
              <w:spacing w:line="240" w:lineRule="auto"/>
              <w:textAlignment w:val="baseline"/>
              <w:rPr>
                <w:noProof/>
              </w:rPr>
            </w:pPr>
            <w:r>
              <w:rPr>
                <w:noProof/>
              </w:rPr>
              <w:t>Centre de numérisation de la documentation médicale</w:t>
            </w:r>
          </w:p>
        </w:tc>
      </w:tr>
      <w:tr w:rsidR="003C4798" w14:paraId="1216C854" w14:textId="77777777">
        <w:trPr>
          <w:trHeight w:val="300"/>
          <w:jc w:val="center"/>
        </w:trPr>
        <w:tc>
          <w:tcPr>
            <w:tcW w:w="1277" w:type="dxa"/>
            <w:shd w:val="clear" w:color="auto" w:fill="C6EFCE"/>
            <w:hideMark/>
          </w:tcPr>
          <w:p w14:paraId="1216C850"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D18G </w:t>
            </w:r>
          </w:p>
        </w:tc>
        <w:tc>
          <w:tcPr>
            <w:tcW w:w="3402" w:type="dxa"/>
            <w:shd w:val="clear" w:color="auto" w:fill="C6EFCE"/>
            <w:hideMark/>
          </w:tcPr>
          <w:p w14:paraId="1216C851" w14:textId="77777777" w:rsidR="003C4798" w:rsidRDefault="00417595">
            <w:pPr>
              <w:pStyle w:val="P68B1DB1-Normal85"/>
              <w:spacing w:line="240" w:lineRule="auto"/>
              <w:textAlignment w:val="baseline"/>
              <w:rPr>
                <w:rFonts w:eastAsia="Times New Roman" w:cs="Times New Roman"/>
                <w:noProof/>
              </w:rPr>
            </w:pPr>
            <w:r>
              <w:rPr>
                <w:noProof/>
              </w:rPr>
              <w:t>D1.1.2 Transformation numérique des soins de santé</w:t>
            </w:r>
          </w:p>
        </w:tc>
        <w:tc>
          <w:tcPr>
            <w:tcW w:w="1275" w:type="dxa"/>
            <w:shd w:val="clear" w:color="auto" w:fill="C6EFCE"/>
            <w:hideMark/>
          </w:tcPr>
          <w:p w14:paraId="1216C852" w14:textId="77777777" w:rsidR="003C4798" w:rsidRDefault="00417595">
            <w:pPr>
              <w:pStyle w:val="P68B1DB1-Normal85"/>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53" w14:textId="77777777" w:rsidR="003C4798" w:rsidRDefault="00417595">
            <w:pPr>
              <w:pStyle w:val="P68B1DB1-Normal87"/>
              <w:spacing w:line="240" w:lineRule="auto"/>
              <w:textAlignment w:val="baseline"/>
              <w:rPr>
                <w:noProof/>
              </w:rPr>
            </w:pPr>
            <w:r>
              <w:rPr>
                <w:noProof/>
              </w:rPr>
              <w:t>Numérisation des rapports de sortie d'hôpital</w:t>
            </w:r>
          </w:p>
        </w:tc>
      </w:tr>
      <w:tr w:rsidR="003C4798" w14:paraId="1216C859" w14:textId="77777777">
        <w:trPr>
          <w:trHeight w:val="300"/>
          <w:jc w:val="center"/>
        </w:trPr>
        <w:tc>
          <w:tcPr>
            <w:tcW w:w="1277" w:type="dxa"/>
            <w:shd w:val="clear" w:color="auto" w:fill="C6EFCE"/>
            <w:hideMark/>
          </w:tcPr>
          <w:p w14:paraId="1216C855"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D20G </w:t>
            </w:r>
          </w:p>
        </w:tc>
        <w:tc>
          <w:tcPr>
            <w:tcW w:w="3402" w:type="dxa"/>
            <w:shd w:val="clear" w:color="auto" w:fill="C6EFCE"/>
            <w:hideMark/>
          </w:tcPr>
          <w:p w14:paraId="1216C856" w14:textId="77777777" w:rsidR="003C4798" w:rsidRDefault="00417595">
            <w:pPr>
              <w:pStyle w:val="P68B1DB1-Normal85"/>
              <w:spacing w:line="240" w:lineRule="auto"/>
              <w:textAlignment w:val="baseline"/>
              <w:rPr>
                <w:rFonts w:eastAsia="Times New Roman" w:cs="Times New Roman"/>
                <w:noProof/>
              </w:rPr>
            </w:pPr>
            <w:r>
              <w:rPr>
                <w:noProof/>
              </w:rPr>
              <w:t>D1.1.2 Transformation numérique des soins de santé</w:t>
            </w:r>
          </w:p>
        </w:tc>
        <w:tc>
          <w:tcPr>
            <w:tcW w:w="1275" w:type="dxa"/>
            <w:shd w:val="clear" w:color="auto" w:fill="C6EFCE"/>
            <w:hideMark/>
          </w:tcPr>
          <w:p w14:paraId="1216C857"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58" w14:textId="77777777" w:rsidR="003C4798" w:rsidRDefault="00417595">
            <w:pPr>
              <w:pStyle w:val="P68B1DB1-Normal87"/>
              <w:spacing w:line="240" w:lineRule="auto"/>
              <w:textAlignment w:val="baseline"/>
              <w:rPr>
                <w:noProof/>
              </w:rPr>
            </w:pPr>
            <w:r>
              <w:rPr>
                <w:noProof/>
              </w:rPr>
              <w:t>Nouveaux modèles numériques pour les documents médicaux</w:t>
            </w:r>
          </w:p>
        </w:tc>
      </w:tr>
      <w:tr w:rsidR="003C4798" w14:paraId="1216C85E" w14:textId="77777777">
        <w:trPr>
          <w:trHeight w:val="300"/>
          <w:jc w:val="center"/>
        </w:trPr>
        <w:tc>
          <w:tcPr>
            <w:tcW w:w="1277" w:type="dxa"/>
            <w:shd w:val="clear" w:color="auto" w:fill="C6EFCE"/>
            <w:hideMark/>
          </w:tcPr>
          <w:p w14:paraId="1216C85A"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D21G </w:t>
            </w:r>
          </w:p>
        </w:tc>
        <w:tc>
          <w:tcPr>
            <w:tcW w:w="3402" w:type="dxa"/>
            <w:shd w:val="clear" w:color="auto" w:fill="C6EFCE"/>
            <w:hideMark/>
          </w:tcPr>
          <w:p w14:paraId="1216C85B" w14:textId="77777777" w:rsidR="003C4798" w:rsidRDefault="00417595">
            <w:pPr>
              <w:pStyle w:val="P68B1DB1-Normal85"/>
              <w:spacing w:line="240" w:lineRule="auto"/>
              <w:textAlignment w:val="baseline"/>
              <w:rPr>
                <w:rFonts w:eastAsia="Times New Roman" w:cs="Times New Roman"/>
                <w:noProof/>
              </w:rPr>
            </w:pPr>
            <w:r>
              <w:rPr>
                <w:noProof/>
              </w:rPr>
              <w:t>D1.1.2 Transformation numérique des soins de santé</w:t>
            </w:r>
          </w:p>
        </w:tc>
        <w:tc>
          <w:tcPr>
            <w:tcW w:w="1275" w:type="dxa"/>
            <w:shd w:val="clear" w:color="auto" w:fill="C6EFCE"/>
            <w:hideMark/>
          </w:tcPr>
          <w:p w14:paraId="1216C85C" w14:textId="77777777" w:rsidR="003C4798" w:rsidRDefault="00417595">
            <w:pPr>
              <w:pStyle w:val="P68B1DB1-Normal85"/>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5D" w14:textId="77777777" w:rsidR="003C4798" w:rsidRDefault="00417595">
            <w:pPr>
              <w:pStyle w:val="P68B1DB1-Normal87"/>
              <w:spacing w:line="240" w:lineRule="auto"/>
              <w:textAlignment w:val="baseline"/>
              <w:rPr>
                <w:noProof/>
              </w:rPr>
            </w:pPr>
            <w:r>
              <w:rPr>
                <w:noProof/>
              </w:rPr>
              <w:t>Lancement d'un outil de soutien basé sur l'IA pour les médecins</w:t>
            </w:r>
          </w:p>
        </w:tc>
      </w:tr>
      <w:tr w:rsidR="003C4798" w14:paraId="1216C863" w14:textId="77777777">
        <w:trPr>
          <w:trHeight w:val="300"/>
          <w:jc w:val="center"/>
        </w:trPr>
        <w:tc>
          <w:tcPr>
            <w:tcW w:w="1277" w:type="dxa"/>
            <w:shd w:val="clear" w:color="auto" w:fill="C6EFCE"/>
            <w:hideMark/>
          </w:tcPr>
          <w:p w14:paraId="1216C85F"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D30G </w:t>
            </w:r>
          </w:p>
        </w:tc>
        <w:tc>
          <w:tcPr>
            <w:tcW w:w="3402" w:type="dxa"/>
            <w:shd w:val="clear" w:color="auto" w:fill="C6EFCE"/>
            <w:hideMark/>
          </w:tcPr>
          <w:p w14:paraId="1216C860" w14:textId="45FDC5AB" w:rsidR="003C4798" w:rsidRDefault="00417595">
            <w:pPr>
              <w:pStyle w:val="P68B1DB1-Normal85"/>
              <w:spacing w:line="240" w:lineRule="auto"/>
              <w:textAlignment w:val="baseline"/>
              <w:rPr>
                <w:rFonts w:eastAsia="Times New Roman" w:cs="Times New Roman"/>
                <w:noProof/>
              </w:rPr>
            </w:pPr>
            <w:r>
              <w:rPr>
                <w:noProof/>
              </w:rPr>
              <w:t>D2.1.1. Investissements liés à la modernisation et à la modernisation des établissements d’enseignement et à l’augmentation du nombre d’admissions aux études médicales</w:t>
            </w:r>
          </w:p>
        </w:tc>
        <w:tc>
          <w:tcPr>
            <w:tcW w:w="1275" w:type="dxa"/>
            <w:shd w:val="clear" w:color="auto" w:fill="C6EFCE"/>
            <w:hideMark/>
          </w:tcPr>
          <w:p w14:paraId="1216C861"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62" w14:textId="77777777" w:rsidR="003C4798" w:rsidRDefault="00417595">
            <w:pPr>
              <w:pStyle w:val="P68B1DB1-Normal87"/>
              <w:spacing w:line="240" w:lineRule="auto"/>
              <w:textAlignment w:val="baseline"/>
              <w:rPr>
                <w:noProof/>
              </w:rPr>
            </w:pPr>
            <w:r>
              <w:rPr>
                <w:noProof/>
              </w:rPr>
              <w:t>Bourses d'études ou cofinancement pour les étudiants en médecine</w:t>
            </w:r>
          </w:p>
        </w:tc>
      </w:tr>
      <w:tr w:rsidR="003C4798" w14:paraId="1216C868" w14:textId="77777777">
        <w:trPr>
          <w:trHeight w:val="300"/>
          <w:jc w:val="center"/>
        </w:trPr>
        <w:tc>
          <w:tcPr>
            <w:tcW w:w="1277" w:type="dxa"/>
            <w:shd w:val="clear" w:color="auto" w:fill="C6EFCE"/>
          </w:tcPr>
          <w:p w14:paraId="1216C864" w14:textId="77777777" w:rsidR="003C4798" w:rsidRDefault="00417595">
            <w:pPr>
              <w:pStyle w:val="P68B1DB1-Normal85"/>
              <w:spacing w:line="240" w:lineRule="auto"/>
              <w:ind w:right="30"/>
              <w:jc w:val="center"/>
              <w:textAlignment w:val="baseline"/>
              <w:rPr>
                <w:noProof/>
              </w:rPr>
            </w:pPr>
            <w:r>
              <w:rPr>
                <w:noProof/>
              </w:rPr>
              <w:t xml:space="preserve">D31G </w:t>
            </w:r>
          </w:p>
        </w:tc>
        <w:tc>
          <w:tcPr>
            <w:tcW w:w="3402" w:type="dxa"/>
            <w:shd w:val="clear" w:color="auto" w:fill="C6EFCE"/>
          </w:tcPr>
          <w:p w14:paraId="1216C865" w14:textId="36D07CCF" w:rsidR="003C4798" w:rsidRDefault="00417595">
            <w:pPr>
              <w:pStyle w:val="P68B1DB1-Normal85"/>
              <w:spacing w:line="240" w:lineRule="auto"/>
              <w:textAlignment w:val="baseline"/>
              <w:rPr>
                <w:noProof/>
              </w:rPr>
            </w:pPr>
            <w:r>
              <w:rPr>
                <w:noProof/>
              </w:rPr>
              <w:t>D2.1.1. Investissements liés à la modernisation et à la modernisation des établissements d’enseignement et à l’augmentation du nombre d’admissions aux études médicales</w:t>
            </w:r>
          </w:p>
        </w:tc>
        <w:tc>
          <w:tcPr>
            <w:tcW w:w="1275" w:type="dxa"/>
            <w:shd w:val="clear" w:color="auto" w:fill="C6EFCE"/>
          </w:tcPr>
          <w:p w14:paraId="1216C866" w14:textId="77777777" w:rsidR="003C4798" w:rsidRDefault="00417595">
            <w:pPr>
              <w:pStyle w:val="P68B1DB1-Normal85"/>
              <w:spacing w:line="240" w:lineRule="auto"/>
              <w:ind w:right="30"/>
              <w:jc w:val="center"/>
              <w:textAlignment w:val="baseline"/>
              <w:rPr>
                <w:noProof/>
              </w:rPr>
            </w:pPr>
            <w:r>
              <w:rPr>
                <w:noProof/>
              </w:rPr>
              <w:t>Objectif</w:t>
            </w:r>
          </w:p>
        </w:tc>
        <w:tc>
          <w:tcPr>
            <w:tcW w:w="3686" w:type="dxa"/>
            <w:shd w:val="clear" w:color="auto" w:fill="C6EFCE"/>
          </w:tcPr>
          <w:p w14:paraId="1216C867" w14:textId="7F0598E8" w:rsidR="003C4798" w:rsidRDefault="00417595">
            <w:pPr>
              <w:pStyle w:val="P68B1DB1-Normal85"/>
              <w:spacing w:line="240" w:lineRule="auto"/>
              <w:textAlignment w:val="baseline"/>
              <w:rPr>
                <w:noProof/>
              </w:rPr>
            </w:pPr>
            <w:r>
              <w:rPr>
                <w:noProof/>
              </w:rPr>
              <w:t xml:space="preserve">Établissements d'enseignement médical, bibliothèques ou dortoirs d'étudiants construits ou reconstruits, rénovés ou réaménagés </w:t>
            </w:r>
          </w:p>
        </w:tc>
      </w:tr>
      <w:tr w:rsidR="003C4798" w14:paraId="1216C86D" w14:textId="77777777">
        <w:trPr>
          <w:trHeight w:val="300"/>
          <w:jc w:val="center"/>
        </w:trPr>
        <w:tc>
          <w:tcPr>
            <w:tcW w:w="1277" w:type="dxa"/>
            <w:shd w:val="clear" w:color="auto" w:fill="C6EFCE"/>
            <w:hideMark/>
          </w:tcPr>
          <w:p w14:paraId="1216C869"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D36G </w:t>
            </w:r>
          </w:p>
        </w:tc>
        <w:tc>
          <w:tcPr>
            <w:tcW w:w="3402" w:type="dxa"/>
            <w:shd w:val="clear" w:color="auto" w:fill="C6EFCE"/>
            <w:hideMark/>
          </w:tcPr>
          <w:p w14:paraId="1216C86A" w14:textId="71580C3B" w:rsidR="003C4798" w:rsidRDefault="00417595">
            <w:pPr>
              <w:pStyle w:val="P68B1DB1-Normal85"/>
              <w:spacing w:line="240" w:lineRule="auto"/>
              <w:textAlignment w:val="baseline"/>
              <w:rPr>
                <w:rFonts w:eastAsia="Times New Roman" w:cs="Times New Roman"/>
                <w:noProof/>
              </w:rPr>
            </w:pPr>
            <w:r>
              <w:rPr>
                <w:noProof/>
              </w:rPr>
              <w:t>D3.1.1 Recherche dans le secteur biomédical et création ou développement de centres de soutien aux essais cliniques</w:t>
            </w:r>
          </w:p>
        </w:tc>
        <w:tc>
          <w:tcPr>
            <w:tcW w:w="1275" w:type="dxa"/>
            <w:shd w:val="clear" w:color="auto" w:fill="C6EFCE"/>
            <w:hideMark/>
          </w:tcPr>
          <w:p w14:paraId="1216C86B"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6C" w14:textId="3ED1D54D" w:rsidR="003C4798" w:rsidRDefault="00417595">
            <w:pPr>
              <w:pStyle w:val="P68B1DB1-Normal87"/>
              <w:spacing w:line="240" w:lineRule="auto"/>
              <w:textAlignment w:val="baseline"/>
              <w:rPr>
                <w:noProof/>
              </w:rPr>
            </w:pPr>
            <w:r>
              <w:rPr>
                <w:noProof/>
              </w:rPr>
              <w:t>Projets de recherche dans le secteur biomédical pour des unités de recherche ou des entrepreneurs</w:t>
            </w:r>
          </w:p>
        </w:tc>
      </w:tr>
      <w:tr w:rsidR="003C4798" w14:paraId="1216C872" w14:textId="77777777">
        <w:trPr>
          <w:trHeight w:val="300"/>
          <w:jc w:val="center"/>
        </w:trPr>
        <w:tc>
          <w:tcPr>
            <w:tcW w:w="1277" w:type="dxa"/>
            <w:shd w:val="clear" w:color="auto" w:fill="C6EFCE"/>
            <w:hideMark/>
          </w:tcPr>
          <w:p w14:paraId="1216C86E"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D37G </w:t>
            </w:r>
          </w:p>
        </w:tc>
        <w:tc>
          <w:tcPr>
            <w:tcW w:w="3402" w:type="dxa"/>
            <w:shd w:val="clear" w:color="auto" w:fill="C6EFCE"/>
            <w:hideMark/>
          </w:tcPr>
          <w:p w14:paraId="1216C86F" w14:textId="65F1C52D" w:rsidR="003C4798" w:rsidRDefault="00417595">
            <w:pPr>
              <w:pStyle w:val="P68B1DB1-Normal85"/>
              <w:spacing w:line="240" w:lineRule="auto"/>
              <w:textAlignment w:val="baseline"/>
              <w:rPr>
                <w:rFonts w:eastAsia="Times New Roman" w:cs="Times New Roman"/>
                <w:noProof/>
              </w:rPr>
            </w:pPr>
            <w:r>
              <w:rPr>
                <w:noProof/>
              </w:rPr>
              <w:t>D3.1.1 Recherche dans le secteur biomédical et création ou développement de centres de soutien aux essais cliniques</w:t>
            </w:r>
          </w:p>
        </w:tc>
        <w:tc>
          <w:tcPr>
            <w:tcW w:w="1275" w:type="dxa"/>
            <w:shd w:val="clear" w:color="auto" w:fill="C6EFCE"/>
            <w:hideMark/>
          </w:tcPr>
          <w:p w14:paraId="1216C870"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71" w14:textId="3A46CF4A" w:rsidR="003C4798" w:rsidRDefault="00417595">
            <w:pPr>
              <w:pStyle w:val="P68B1DB1-Normal87"/>
              <w:spacing w:line="240" w:lineRule="auto"/>
              <w:textAlignment w:val="baseline"/>
              <w:rPr>
                <w:noProof/>
              </w:rPr>
            </w:pPr>
            <w:r>
              <w:rPr>
                <w:noProof/>
              </w:rPr>
              <w:t>Centres de soutien aux essais cliniques</w:t>
            </w:r>
          </w:p>
        </w:tc>
      </w:tr>
      <w:tr w:rsidR="003C4798" w14:paraId="1216C877" w14:textId="77777777">
        <w:trPr>
          <w:trHeight w:val="300"/>
          <w:jc w:val="center"/>
        </w:trPr>
        <w:tc>
          <w:tcPr>
            <w:tcW w:w="1277" w:type="dxa"/>
            <w:shd w:val="clear" w:color="auto" w:fill="C6EFCE"/>
            <w:hideMark/>
          </w:tcPr>
          <w:p w14:paraId="1216C873"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D40G </w:t>
            </w:r>
          </w:p>
        </w:tc>
        <w:tc>
          <w:tcPr>
            <w:tcW w:w="3402" w:type="dxa"/>
            <w:shd w:val="clear" w:color="auto" w:fill="C6EFCE"/>
            <w:hideMark/>
          </w:tcPr>
          <w:p w14:paraId="1216C874" w14:textId="77777777" w:rsidR="003C4798" w:rsidRDefault="00417595">
            <w:pPr>
              <w:pStyle w:val="P68B1DB1-Normal85"/>
              <w:spacing w:line="240" w:lineRule="auto"/>
              <w:textAlignment w:val="baseline"/>
              <w:rPr>
                <w:rFonts w:eastAsia="Times New Roman" w:cs="Times New Roman"/>
                <w:noProof/>
              </w:rPr>
            </w:pPr>
            <w:r>
              <w:rPr>
                <w:noProof/>
              </w:rPr>
              <w:t>D4.1.1 Accroître la fourniture de soins de longue durée par la modernisation des entités médicales au niveau des districts</w:t>
            </w:r>
          </w:p>
        </w:tc>
        <w:tc>
          <w:tcPr>
            <w:tcW w:w="1275" w:type="dxa"/>
            <w:shd w:val="clear" w:color="auto" w:fill="C6EFCE"/>
            <w:hideMark/>
          </w:tcPr>
          <w:p w14:paraId="1216C875"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76" w14:textId="11DDEEA9" w:rsidR="003C4798" w:rsidRDefault="00417595">
            <w:pPr>
              <w:pStyle w:val="P68B1DB1-Normal87"/>
              <w:spacing w:line="240" w:lineRule="auto"/>
              <w:textAlignment w:val="baseline"/>
              <w:rPr>
                <w:noProof/>
              </w:rPr>
            </w:pPr>
            <w:r>
              <w:rPr>
                <w:noProof/>
              </w:rPr>
              <w:t>Hôpitaux ayant fait l'objet d'investissements dans la construction ou la rénovation ou d'achats de matériel médical</w:t>
            </w:r>
          </w:p>
        </w:tc>
      </w:tr>
      <w:tr w:rsidR="003C4798" w14:paraId="1216C886" w14:textId="77777777">
        <w:trPr>
          <w:trHeight w:val="300"/>
          <w:jc w:val="center"/>
        </w:trPr>
        <w:tc>
          <w:tcPr>
            <w:tcW w:w="1277" w:type="dxa"/>
            <w:shd w:val="clear" w:color="auto" w:fill="C6EFCE"/>
            <w:hideMark/>
          </w:tcPr>
          <w:p w14:paraId="1216C882" w14:textId="77777777" w:rsidR="003C4798" w:rsidRDefault="00417595">
            <w:pPr>
              <w:pStyle w:val="P68B1DB1-Normal85"/>
              <w:spacing w:line="240" w:lineRule="auto"/>
              <w:ind w:right="30"/>
              <w:jc w:val="center"/>
              <w:textAlignment w:val="baseline"/>
              <w:rPr>
                <w:rFonts w:eastAsia="Times New Roman" w:cs="Times New Roman"/>
                <w:noProof/>
              </w:rPr>
            </w:pPr>
            <w:r>
              <w:rPr>
                <w:noProof/>
              </w:rPr>
              <w:t>E4cG </w:t>
            </w:r>
          </w:p>
        </w:tc>
        <w:tc>
          <w:tcPr>
            <w:tcW w:w="3402" w:type="dxa"/>
            <w:shd w:val="clear" w:color="auto" w:fill="C6EFCE"/>
            <w:hideMark/>
          </w:tcPr>
          <w:p w14:paraId="1216C883" w14:textId="77777777" w:rsidR="003C4798" w:rsidRDefault="00417595">
            <w:pPr>
              <w:pStyle w:val="P68B1DB1-Normal85"/>
              <w:spacing w:line="240" w:lineRule="auto"/>
              <w:textAlignment w:val="baseline"/>
              <w:rPr>
                <w:rFonts w:eastAsia="Times New Roman" w:cs="Times New Roman"/>
                <w:noProof/>
              </w:rPr>
            </w:pPr>
            <w:r>
              <w:rPr>
                <w:noProof/>
              </w:rPr>
              <w:t>E1.1 Augmentation de l ' utilisation de moyens de transport respectueux de l ' environnement</w:t>
            </w:r>
          </w:p>
        </w:tc>
        <w:tc>
          <w:tcPr>
            <w:tcW w:w="1275" w:type="dxa"/>
            <w:shd w:val="clear" w:color="auto" w:fill="C6EFCE"/>
            <w:hideMark/>
          </w:tcPr>
          <w:p w14:paraId="1216C884" w14:textId="77777777" w:rsidR="003C4798" w:rsidRDefault="00417595">
            <w:pPr>
              <w:pStyle w:val="P68B1DB1-Normal85"/>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85" w14:textId="498B1C87" w:rsidR="003C4798" w:rsidRDefault="00417595">
            <w:pPr>
              <w:pStyle w:val="P68B1DB1-Normal87"/>
              <w:spacing w:line="240" w:lineRule="auto"/>
              <w:textAlignment w:val="baseline"/>
              <w:rPr>
                <w:noProof/>
              </w:rPr>
            </w:pPr>
            <w:r>
              <w:rPr>
                <w:noProof/>
              </w:rPr>
              <w:t>Décaissement(s) de fonds</w:t>
            </w:r>
          </w:p>
        </w:tc>
      </w:tr>
      <w:tr w:rsidR="003C4798" w14:paraId="1216C88B" w14:textId="77777777">
        <w:trPr>
          <w:trHeight w:val="300"/>
          <w:jc w:val="center"/>
        </w:trPr>
        <w:tc>
          <w:tcPr>
            <w:tcW w:w="1277" w:type="dxa"/>
            <w:shd w:val="clear" w:color="auto" w:fill="C6EFCE"/>
          </w:tcPr>
          <w:p w14:paraId="1216C887" w14:textId="77777777" w:rsidR="003C4798" w:rsidRDefault="00417595">
            <w:pPr>
              <w:pStyle w:val="P68B1DB1-Normal85"/>
              <w:spacing w:line="240" w:lineRule="auto"/>
              <w:ind w:right="30"/>
              <w:jc w:val="center"/>
              <w:textAlignment w:val="baseline"/>
              <w:rPr>
                <w:noProof/>
              </w:rPr>
            </w:pPr>
            <w:r>
              <w:rPr>
                <w:noProof/>
              </w:rPr>
              <w:t>E7G</w:t>
            </w:r>
          </w:p>
        </w:tc>
        <w:tc>
          <w:tcPr>
            <w:tcW w:w="3402" w:type="dxa"/>
            <w:shd w:val="clear" w:color="auto" w:fill="C6EFCE"/>
          </w:tcPr>
          <w:p w14:paraId="1216C888" w14:textId="77777777" w:rsidR="003C4798" w:rsidRDefault="00417595">
            <w:pPr>
              <w:pStyle w:val="P68B1DB1-Normal85"/>
              <w:spacing w:line="240" w:lineRule="auto"/>
              <w:textAlignment w:val="baseline"/>
              <w:rPr>
                <w:noProof/>
              </w:rPr>
            </w:pPr>
            <w:r>
              <w:rPr>
                <w:noProof/>
              </w:rPr>
              <w:t>E.1.1 Augmentation de l ' utilisation de moyens de transport respectueux de l ' environnement</w:t>
            </w:r>
          </w:p>
        </w:tc>
        <w:tc>
          <w:tcPr>
            <w:tcW w:w="1275" w:type="dxa"/>
            <w:shd w:val="clear" w:color="auto" w:fill="C6EFCE"/>
          </w:tcPr>
          <w:p w14:paraId="1216C889" w14:textId="77777777" w:rsidR="003C4798" w:rsidRDefault="00417595">
            <w:pPr>
              <w:pStyle w:val="P68B1DB1-Normal85"/>
              <w:spacing w:line="240" w:lineRule="auto"/>
              <w:ind w:right="30"/>
              <w:jc w:val="center"/>
              <w:textAlignment w:val="baseline"/>
              <w:rPr>
                <w:noProof/>
              </w:rPr>
            </w:pPr>
            <w:r>
              <w:rPr>
                <w:noProof/>
              </w:rPr>
              <w:t>Objectif</w:t>
            </w:r>
          </w:p>
        </w:tc>
        <w:tc>
          <w:tcPr>
            <w:tcW w:w="3686" w:type="dxa"/>
            <w:shd w:val="clear" w:color="auto" w:fill="C6EFCE"/>
          </w:tcPr>
          <w:p w14:paraId="1216C88A" w14:textId="77777777" w:rsidR="003C4798" w:rsidRDefault="00417595">
            <w:pPr>
              <w:pStyle w:val="P68B1DB1-Normal87"/>
              <w:spacing w:line="240" w:lineRule="auto"/>
              <w:textAlignment w:val="baseline"/>
              <w:rPr>
                <w:noProof/>
              </w:rPr>
            </w:pPr>
            <w:r>
              <w:rPr>
                <w:noProof/>
              </w:rPr>
              <w:t xml:space="preserve">Véhicules électriques. </w:t>
            </w:r>
          </w:p>
        </w:tc>
      </w:tr>
      <w:tr w:rsidR="003C4798" w14:paraId="1216C890" w14:textId="77777777">
        <w:trPr>
          <w:trHeight w:val="300"/>
          <w:jc w:val="center"/>
        </w:trPr>
        <w:tc>
          <w:tcPr>
            <w:tcW w:w="1277" w:type="dxa"/>
            <w:shd w:val="clear" w:color="auto" w:fill="C6EFCE"/>
            <w:hideMark/>
          </w:tcPr>
          <w:p w14:paraId="1216C88C"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E14G </w:t>
            </w:r>
          </w:p>
        </w:tc>
        <w:tc>
          <w:tcPr>
            <w:tcW w:w="3402" w:type="dxa"/>
            <w:shd w:val="clear" w:color="auto" w:fill="C6EFCE"/>
            <w:hideMark/>
          </w:tcPr>
          <w:p w14:paraId="1216C88D" w14:textId="77777777" w:rsidR="003C4798" w:rsidRDefault="00417595">
            <w:pPr>
              <w:pStyle w:val="P68B1DB1-Normal85"/>
              <w:spacing w:line="240" w:lineRule="auto"/>
              <w:textAlignment w:val="baseline"/>
              <w:rPr>
                <w:rFonts w:eastAsia="Times New Roman" w:cs="Times New Roman"/>
                <w:noProof/>
              </w:rPr>
            </w:pPr>
            <w:r>
              <w:rPr>
                <w:noProof/>
              </w:rPr>
              <w:t>E1.1.2 Autobus et tramways à émissions nulles et faibles</w:t>
            </w:r>
          </w:p>
        </w:tc>
        <w:tc>
          <w:tcPr>
            <w:tcW w:w="1275" w:type="dxa"/>
            <w:shd w:val="clear" w:color="auto" w:fill="C6EFCE"/>
            <w:hideMark/>
          </w:tcPr>
          <w:p w14:paraId="1216C88E"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8F" w14:textId="77777777" w:rsidR="003C4798" w:rsidRDefault="00417595">
            <w:pPr>
              <w:pStyle w:val="P68B1DB1-Normal87"/>
              <w:spacing w:line="240" w:lineRule="auto"/>
              <w:textAlignment w:val="baseline"/>
              <w:rPr>
                <w:noProof/>
              </w:rPr>
            </w:pPr>
            <w:r>
              <w:rPr>
                <w:noProof/>
              </w:rPr>
              <w:t>Bus et tramways à émissions nulles et faibles</w:t>
            </w:r>
          </w:p>
        </w:tc>
      </w:tr>
      <w:tr w:rsidR="003C4798" w14:paraId="1216C895" w14:textId="77777777">
        <w:trPr>
          <w:trHeight w:val="300"/>
          <w:jc w:val="center"/>
        </w:trPr>
        <w:tc>
          <w:tcPr>
            <w:tcW w:w="1277" w:type="dxa"/>
            <w:shd w:val="clear" w:color="auto" w:fill="C6EFCE"/>
            <w:hideMark/>
          </w:tcPr>
          <w:p w14:paraId="1216C891"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E18G </w:t>
            </w:r>
          </w:p>
        </w:tc>
        <w:tc>
          <w:tcPr>
            <w:tcW w:w="3402" w:type="dxa"/>
            <w:shd w:val="clear" w:color="auto" w:fill="C6EFCE"/>
            <w:hideMark/>
          </w:tcPr>
          <w:p w14:paraId="1216C892" w14:textId="02D473D8" w:rsidR="003C4798" w:rsidRDefault="00417595">
            <w:pPr>
              <w:pStyle w:val="P68B1DB1-Normal85"/>
              <w:spacing w:line="240" w:lineRule="auto"/>
              <w:textAlignment w:val="baseline"/>
              <w:rPr>
                <w:rFonts w:eastAsia="Times New Roman" w:cs="Times New Roman"/>
                <w:noProof/>
              </w:rPr>
            </w:pPr>
            <w:r>
              <w:rPr>
                <w:noProof/>
              </w:rPr>
              <w:t>E2.1.1 Lignes de chemin de fer</w:t>
            </w:r>
          </w:p>
        </w:tc>
        <w:tc>
          <w:tcPr>
            <w:tcW w:w="1275" w:type="dxa"/>
            <w:shd w:val="clear" w:color="auto" w:fill="C6EFCE"/>
            <w:hideMark/>
          </w:tcPr>
          <w:p w14:paraId="1216C893"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94" w14:textId="40291F8C" w:rsidR="003C4798" w:rsidRDefault="00417595">
            <w:pPr>
              <w:pStyle w:val="P68B1DB1-Normal87"/>
              <w:spacing w:line="240" w:lineRule="auto"/>
              <w:textAlignment w:val="baseline"/>
              <w:rPr>
                <w:noProof/>
              </w:rPr>
            </w:pPr>
            <w:r>
              <w:rPr>
                <w:noProof/>
              </w:rPr>
              <w:t>Travaux sur 500 km de lignes ferroviaires</w:t>
            </w:r>
          </w:p>
        </w:tc>
      </w:tr>
      <w:tr w:rsidR="003C4798" w14:paraId="1216C89A" w14:textId="77777777">
        <w:trPr>
          <w:trHeight w:val="300"/>
          <w:jc w:val="center"/>
        </w:trPr>
        <w:tc>
          <w:tcPr>
            <w:tcW w:w="1277" w:type="dxa"/>
            <w:shd w:val="clear" w:color="auto" w:fill="C6EFCE"/>
            <w:hideMark/>
          </w:tcPr>
          <w:p w14:paraId="1216C896" w14:textId="77777777" w:rsidR="003C4798" w:rsidRDefault="00417595">
            <w:pPr>
              <w:pStyle w:val="P68B1DB1-Normal85"/>
              <w:spacing w:line="240" w:lineRule="auto"/>
              <w:ind w:right="30"/>
              <w:jc w:val="center"/>
              <w:textAlignment w:val="baseline"/>
              <w:rPr>
                <w:rFonts w:eastAsia="Times New Roman" w:cs="Times New Roman"/>
                <w:noProof/>
              </w:rPr>
            </w:pPr>
            <w:r>
              <w:rPr>
                <w:noProof/>
              </w:rPr>
              <w:t>E18aG </w:t>
            </w:r>
          </w:p>
        </w:tc>
        <w:tc>
          <w:tcPr>
            <w:tcW w:w="3402" w:type="dxa"/>
            <w:shd w:val="clear" w:color="auto" w:fill="C6EFCE"/>
            <w:hideMark/>
          </w:tcPr>
          <w:p w14:paraId="1216C897" w14:textId="2B6CE0BD" w:rsidR="003C4798" w:rsidRDefault="00417595">
            <w:pPr>
              <w:pStyle w:val="P68B1DB1-Normal85"/>
              <w:spacing w:line="240" w:lineRule="auto"/>
              <w:textAlignment w:val="baseline"/>
              <w:rPr>
                <w:rFonts w:eastAsia="Times New Roman" w:cs="Times New Roman"/>
                <w:noProof/>
              </w:rPr>
            </w:pPr>
            <w:r>
              <w:rPr>
                <w:noProof/>
              </w:rPr>
              <w:t>E2.1.1 Lignes de chemin de fer</w:t>
            </w:r>
          </w:p>
        </w:tc>
        <w:tc>
          <w:tcPr>
            <w:tcW w:w="1275" w:type="dxa"/>
            <w:shd w:val="clear" w:color="auto" w:fill="C6EFCE"/>
            <w:hideMark/>
          </w:tcPr>
          <w:p w14:paraId="1216C898" w14:textId="77777777" w:rsidR="003C4798" w:rsidRDefault="00417595">
            <w:pPr>
              <w:pStyle w:val="P68B1DB1-Normal85"/>
              <w:spacing w:line="240" w:lineRule="auto"/>
              <w:jc w:val="center"/>
              <w:textAlignment w:val="baseline"/>
              <w:rPr>
                <w:rFonts w:eastAsia="Times New Roman" w:cs="Times New Roman"/>
                <w:noProof/>
              </w:rPr>
            </w:pPr>
            <w:r>
              <w:rPr>
                <w:noProof/>
              </w:rPr>
              <w:t>Objectif</w:t>
            </w:r>
          </w:p>
        </w:tc>
        <w:tc>
          <w:tcPr>
            <w:tcW w:w="3686" w:type="dxa"/>
            <w:shd w:val="clear" w:color="auto" w:fill="C6EFCE"/>
            <w:hideMark/>
          </w:tcPr>
          <w:p w14:paraId="1216C899" w14:textId="3E5343F0" w:rsidR="003C4798" w:rsidRDefault="00417595">
            <w:pPr>
              <w:pStyle w:val="P68B1DB1-Normal87"/>
              <w:spacing w:line="240" w:lineRule="auto"/>
              <w:textAlignment w:val="baseline"/>
              <w:rPr>
                <w:noProof/>
              </w:rPr>
            </w:pPr>
            <w:r>
              <w:rPr>
                <w:noProof/>
              </w:rPr>
              <w:t xml:space="preserve">Travaux sur 180 passages à niveau ou autres goulets d'étranglement </w:t>
            </w:r>
          </w:p>
        </w:tc>
      </w:tr>
      <w:tr w:rsidR="003C4798" w14:paraId="1216C89F" w14:textId="77777777">
        <w:trPr>
          <w:trHeight w:val="300"/>
          <w:jc w:val="center"/>
        </w:trPr>
        <w:tc>
          <w:tcPr>
            <w:tcW w:w="1277" w:type="dxa"/>
            <w:shd w:val="clear" w:color="auto" w:fill="C6EFCE"/>
            <w:hideMark/>
          </w:tcPr>
          <w:p w14:paraId="1216C89B"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E20G </w:t>
            </w:r>
          </w:p>
        </w:tc>
        <w:tc>
          <w:tcPr>
            <w:tcW w:w="3402" w:type="dxa"/>
            <w:shd w:val="clear" w:color="auto" w:fill="C6EFCE"/>
            <w:hideMark/>
          </w:tcPr>
          <w:p w14:paraId="1216C89C" w14:textId="77777777" w:rsidR="003C4798" w:rsidRDefault="00417595">
            <w:pPr>
              <w:pStyle w:val="P68B1DB1-Normal85"/>
              <w:spacing w:line="240" w:lineRule="auto"/>
              <w:textAlignment w:val="baseline"/>
              <w:rPr>
                <w:rFonts w:eastAsia="Times New Roman" w:cs="Times New Roman"/>
                <w:noProof/>
              </w:rPr>
            </w:pPr>
            <w:r>
              <w:rPr>
                <w:noProof/>
              </w:rPr>
              <w:t>E2.1.2 Matériel roulant ferroviaire destiné au transport de voyageurs</w:t>
            </w:r>
          </w:p>
        </w:tc>
        <w:tc>
          <w:tcPr>
            <w:tcW w:w="1275" w:type="dxa"/>
            <w:shd w:val="clear" w:color="auto" w:fill="C6EFCE"/>
            <w:hideMark/>
          </w:tcPr>
          <w:p w14:paraId="1216C89D"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9E" w14:textId="3246F14B" w:rsidR="003C4798" w:rsidRDefault="00417595">
            <w:pPr>
              <w:pStyle w:val="P68B1DB1-Normal87"/>
              <w:spacing w:line="240" w:lineRule="auto"/>
              <w:textAlignment w:val="baseline"/>
              <w:rPr>
                <w:noProof/>
              </w:rPr>
            </w:pPr>
            <w:r>
              <w:rPr>
                <w:noProof/>
              </w:rPr>
              <w:t>Matériel roulant ferroviaire</w:t>
            </w:r>
          </w:p>
        </w:tc>
      </w:tr>
      <w:tr w:rsidR="003C4798" w14:paraId="1216C8A4" w14:textId="77777777">
        <w:trPr>
          <w:trHeight w:val="300"/>
          <w:jc w:val="center"/>
        </w:trPr>
        <w:tc>
          <w:tcPr>
            <w:tcW w:w="1277" w:type="dxa"/>
            <w:shd w:val="clear" w:color="auto" w:fill="C6EFCE"/>
            <w:hideMark/>
          </w:tcPr>
          <w:p w14:paraId="1216C8A0"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E22G </w:t>
            </w:r>
          </w:p>
        </w:tc>
        <w:tc>
          <w:tcPr>
            <w:tcW w:w="3402" w:type="dxa"/>
            <w:shd w:val="clear" w:color="auto" w:fill="C6EFCE"/>
            <w:hideMark/>
          </w:tcPr>
          <w:p w14:paraId="1216C8A1" w14:textId="77777777" w:rsidR="003C4798" w:rsidRDefault="00417595">
            <w:pPr>
              <w:pStyle w:val="P68B1DB1-Normal85"/>
              <w:spacing w:line="240" w:lineRule="auto"/>
              <w:textAlignment w:val="baseline"/>
              <w:rPr>
                <w:rFonts w:eastAsia="Times New Roman" w:cs="Times New Roman"/>
                <w:noProof/>
              </w:rPr>
            </w:pPr>
            <w:r>
              <w:rPr>
                <w:noProof/>
              </w:rPr>
              <w:t>E2.1.3 Projets intermodaux</w:t>
            </w:r>
          </w:p>
        </w:tc>
        <w:tc>
          <w:tcPr>
            <w:tcW w:w="1275" w:type="dxa"/>
            <w:shd w:val="clear" w:color="auto" w:fill="C6EFCE"/>
            <w:hideMark/>
          </w:tcPr>
          <w:p w14:paraId="1216C8A2"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A3" w14:textId="77777777" w:rsidR="003C4798" w:rsidRDefault="00417595">
            <w:pPr>
              <w:pStyle w:val="P68B1DB1-Normal87"/>
              <w:spacing w:line="240" w:lineRule="auto"/>
              <w:textAlignment w:val="baseline"/>
              <w:rPr>
                <w:noProof/>
              </w:rPr>
            </w:pPr>
            <w:r>
              <w:rPr>
                <w:noProof/>
              </w:rPr>
              <w:t>Investissements dans les terminaux intermodaux et le matériel roulant</w:t>
            </w:r>
          </w:p>
        </w:tc>
      </w:tr>
      <w:tr w:rsidR="003C4798" w14:paraId="1216C8A9" w14:textId="77777777">
        <w:trPr>
          <w:trHeight w:val="300"/>
          <w:jc w:val="center"/>
        </w:trPr>
        <w:tc>
          <w:tcPr>
            <w:tcW w:w="1277" w:type="dxa"/>
            <w:shd w:val="clear" w:color="auto" w:fill="C6EFCE"/>
            <w:hideMark/>
          </w:tcPr>
          <w:p w14:paraId="1216C8A5"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E25G </w:t>
            </w:r>
          </w:p>
        </w:tc>
        <w:tc>
          <w:tcPr>
            <w:tcW w:w="3402" w:type="dxa"/>
            <w:shd w:val="clear" w:color="auto" w:fill="C6EFCE"/>
            <w:hideMark/>
          </w:tcPr>
          <w:p w14:paraId="1216C8A6" w14:textId="77777777" w:rsidR="003C4798" w:rsidRDefault="00417595">
            <w:pPr>
              <w:pStyle w:val="P68B1DB1-Normal85"/>
              <w:spacing w:line="240" w:lineRule="auto"/>
              <w:textAlignment w:val="baseline"/>
              <w:rPr>
                <w:rFonts w:eastAsia="Times New Roman" w:cs="Times New Roman"/>
                <w:noProof/>
              </w:rPr>
            </w:pPr>
            <w:r>
              <w:rPr>
                <w:noProof/>
              </w:rPr>
              <w:t>E2.2.1 Investissements dans la sécurité des transports</w:t>
            </w:r>
          </w:p>
        </w:tc>
        <w:tc>
          <w:tcPr>
            <w:tcW w:w="1275" w:type="dxa"/>
            <w:shd w:val="clear" w:color="auto" w:fill="C6EFCE"/>
            <w:hideMark/>
          </w:tcPr>
          <w:p w14:paraId="1216C8A7"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A8" w14:textId="3E219B22" w:rsidR="003C4798" w:rsidRDefault="00417595">
            <w:pPr>
              <w:pStyle w:val="P68B1DB1-Normal87"/>
              <w:spacing w:line="240" w:lineRule="auto"/>
              <w:textAlignment w:val="baseline"/>
              <w:rPr>
                <w:noProof/>
              </w:rPr>
            </w:pPr>
            <w:r>
              <w:rPr>
                <w:noProof/>
              </w:rPr>
              <w:t>Travaux sur les hotspots de sécurité routière, installation de dispositifs de surveillance routière</w:t>
            </w:r>
          </w:p>
        </w:tc>
      </w:tr>
      <w:tr w:rsidR="003C4798" w14:paraId="1983E461" w14:textId="77777777">
        <w:trPr>
          <w:trHeight w:val="300"/>
          <w:jc w:val="center"/>
        </w:trPr>
        <w:tc>
          <w:tcPr>
            <w:tcW w:w="1277" w:type="dxa"/>
            <w:shd w:val="clear" w:color="auto" w:fill="C6EFCE"/>
          </w:tcPr>
          <w:p w14:paraId="28A321C6" w14:textId="5179D639" w:rsidR="003C4798" w:rsidRDefault="00417595">
            <w:pPr>
              <w:pStyle w:val="P68B1DB1-Normal85"/>
              <w:spacing w:line="240" w:lineRule="auto"/>
              <w:ind w:right="30"/>
              <w:jc w:val="center"/>
              <w:textAlignment w:val="baseline"/>
              <w:rPr>
                <w:noProof/>
              </w:rPr>
            </w:pPr>
            <w:r>
              <w:rPr>
                <w:noProof/>
              </w:rPr>
              <w:t>E25aG</w:t>
            </w:r>
          </w:p>
        </w:tc>
        <w:tc>
          <w:tcPr>
            <w:tcW w:w="3402" w:type="dxa"/>
            <w:shd w:val="clear" w:color="auto" w:fill="C6EFCE"/>
          </w:tcPr>
          <w:p w14:paraId="15536061" w14:textId="6E64CAFC" w:rsidR="003C4798" w:rsidRDefault="00417595">
            <w:pPr>
              <w:pStyle w:val="P68B1DB1-Normal85"/>
              <w:spacing w:line="240" w:lineRule="auto"/>
              <w:textAlignment w:val="baseline"/>
              <w:rPr>
                <w:noProof/>
              </w:rPr>
            </w:pPr>
            <w:r>
              <w:rPr>
                <w:noProof/>
              </w:rPr>
              <w:t>E2.2.1 Investissements dans la sécurité des transports</w:t>
            </w:r>
          </w:p>
        </w:tc>
        <w:tc>
          <w:tcPr>
            <w:tcW w:w="1275" w:type="dxa"/>
            <w:shd w:val="clear" w:color="auto" w:fill="C6EFCE"/>
          </w:tcPr>
          <w:p w14:paraId="3AA52C99" w14:textId="733F32AC" w:rsidR="003C4798" w:rsidRDefault="00417595">
            <w:pPr>
              <w:pStyle w:val="P68B1DB1-Normal85"/>
              <w:spacing w:line="240" w:lineRule="auto"/>
              <w:ind w:right="30"/>
              <w:jc w:val="center"/>
              <w:textAlignment w:val="baseline"/>
              <w:rPr>
                <w:noProof/>
              </w:rPr>
            </w:pPr>
            <w:r>
              <w:rPr>
                <w:noProof/>
              </w:rPr>
              <w:t>Objectif</w:t>
            </w:r>
          </w:p>
        </w:tc>
        <w:tc>
          <w:tcPr>
            <w:tcW w:w="3686" w:type="dxa"/>
            <w:shd w:val="clear" w:color="auto" w:fill="C6EFCE"/>
          </w:tcPr>
          <w:p w14:paraId="6DACCEBC" w14:textId="2359D399" w:rsidR="003C4798" w:rsidRDefault="00417595">
            <w:pPr>
              <w:pStyle w:val="P68B1DB1-Normal87"/>
              <w:spacing w:line="240" w:lineRule="auto"/>
              <w:textAlignment w:val="baseline"/>
              <w:rPr>
                <w:noProof/>
              </w:rPr>
            </w:pPr>
            <w:r>
              <w:rPr>
                <w:noProof/>
              </w:rPr>
              <w:t>Construction ou reconstruction de routes nationales, y compris de contournements </w:t>
            </w:r>
          </w:p>
        </w:tc>
      </w:tr>
      <w:tr w:rsidR="003C4798" w14:paraId="1216C8AE" w14:textId="77777777">
        <w:trPr>
          <w:trHeight w:val="300"/>
          <w:jc w:val="center"/>
        </w:trPr>
        <w:tc>
          <w:tcPr>
            <w:tcW w:w="1277" w:type="dxa"/>
            <w:shd w:val="clear" w:color="auto" w:fill="C6EFCE"/>
            <w:hideMark/>
          </w:tcPr>
          <w:p w14:paraId="1216C8AA"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E28G </w:t>
            </w:r>
          </w:p>
        </w:tc>
        <w:tc>
          <w:tcPr>
            <w:tcW w:w="3402" w:type="dxa"/>
            <w:shd w:val="clear" w:color="auto" w:fill="C6EFCE"/>
            <w:hideMark/>
          </w:tcPr>
          <w:p w14:paraId="1216C8AB" w14:textId="77777777" w:rsidR="003C4798" w:rsidRDefault="00417595">
            <w:pPr>
              <w:pStyle w:val="P68B1DB1-Normal85"/>
              <w:spacing w:line="240" w:lineRule="auto"/>
              <w:textAlignment w:val="baseline"/>
              <w:rPr>
                <w:rFonts w:eastAsia="Times New Roman" w:cs="Times New Roman"/>
                <w:noProof/>
              </w:rPr>
            </w:pPr>
            <w:r>
              <w:rPr>
                <w:noProof/>
              </w:rPr>
              <w:t>E2.2.2 Numérisation des transports</w:t>
            </w:r>
          </w:p>
        </w:tc>
        <w:tc>
          <w:tcPr>
            <w:tcW w:w="1275" w:type="dxa"/>
            <w:shd w:val="clear" w:color="auto" w:fill="C6EFCE"/>
            <w:hideMark/>
          </w:tcPr>
          <w:p w14:paraId="1216C8AC"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AD" w14:textId="77777777" w:rsidR="003C4798" w:rsidRDefault="00417595">
            <w:pPr>
              <w:pStyle w:val="P68B1DB1-Normal87"/>
              <w:spacing w:line="240" w:lineRule="auto"/>
              <w:textAlignment w:val="baseline"/>
              <w:rPr>
                <w:noProof/>
              </w:rPr>
            </w:pPr>
            <w:r>
              <w:rPr>
                <w:noProof/>
              </w:rPr>
              <w:t>Installation ou mise à jour des unités embarquées ERTMS, installation du SDIP, introduction du contrôle automatique des points de contrôle ferroviaire et travaux sur les systèmes de passage à niveau</w:t>
            </w:r>
          </w:p>
        </w:tc>
      </w:tr>
      <w:tr w:rsidR="003C4798" w14:paraId="1216C8B8" w14:textId="77777777">
        <w:trPr>
          <w:trHeight w:val="300"/>
          <w:jc w:val="center"/>
        </w:trPr>
        <w:tc>
          <w:tcPr>
            <w:tcW w:w="1277" w:type="dxa"/>
            <w:shd w:val="clear" w:color="auto" w:fill="C6EFCE"/>
            <w:hideMark/>
          </w:tcPr>
          <w:p w14:paraId="1216C8B4"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G6G </w:t>
            </w:r>
          </w:p>
        </w:tc>
        <w:tc>
          <w:tcPr>
            <w:tcW w:w="3402" w:type="dxa"/>
            <w:shd w:val="clear" w:color="auto" w:fill="C6EFCE"/>
            <w:hideMark/>
          </w:tcPr>
          <w:p w14:paraId="1216C8B5" w14:textId="77777777" w:rsidR="003C4798" w:rsidRDefault="00417595">
            <w:pPr>
              <w:pStyle w:val="P68B1DB1-Normal85"/>
              <w:spacing w:line="240" w:lineRule="auto"/>
              <w:textAlignment w:val="baseline"/>
              <w:rPr>
                <w:rFonts w:eastAsia="Times New Roman" w:cs="Times New Roman"/>
                <w:noProof/>
              </w:rPr>
            </w:pPr>
            <w:r>
              <w:rPr>
                <w:noProof/>
              </w:rPr>
              <w:t>G1.1.3 Systèmes de stockage d'énergie (soutien non remboursable)</w:t>
            </w:r>
          </w:p>
        </w:tc>
        <w:tc>
          <w:tcPr>
            <w:tcW w:w="1275" w:type="dxa"/>
            <w:shd w:val="clear" w:color="auto" w:fill="C6EFCE"/>
            <w:hideMark/>
          </w:tcPr>
          <w:p w14:paraId="1216C8B6" w14:textId="77777777" w:rsidR="003C4798" w:rsidRDefault="00417595">
            <w:pPr>
              <w:pStyle w:val="P68B1DB1-Normal85"/>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B7" w14:textId="77777777" w:rsidR="003C4798" w:rsidRDefault="00417595">
            <w:pPr>
              <w:pStyle w:val="P68B1DB1-Normal87"/>
              <w:spacing w:line="240" w:lineRule="auto"/>
              <w:textAlignment w:val="baseline"/>
              <w:rPr>
                <w:noProof/>
              </w:rPr>
            </w:pPr>
            <w:r>
              <w:rPr>
                <w:noProof/>
              </w:rPr>
              <w:t>Installation d’un ou de plusieurs systèmes de stockage d’énergie par batterie (BESS) et d’un ou de plusieurs câbles haute tension</w:t>
            </w:r>
          </w:p>
        </w:tc>
      </w:tr>
      <w:tr w:rsidR="003C4798" w14:paraId="1216C8BD" w14:textId="77777777">
        <w:trPr>
          <w:trHeight w:val="300"/>
          <w:jc w:val="center"/>
        </w:trPr>
        <w:tc>
          <w:tcPr>
            <w:tcW w:w="1277" w:type="dxa"/>
            <w:shd w:val="clear" w:color="auto" w:fill="C6EFCE"/>
            <w:hideMark/>
          </w:tcPr>
          <w:p w14:paraId="1216C8B9"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G11G </w:t>
            </w:r>
          </w:p>
        </w:tc>
        <w:tc>
          <w:tcPr>
            <w:tcW w:w="3402" w:type="dxa"/>
            <w:shd w:val="clear" w:color="auto" w:fill="C6EFCE"/>
            <w:hideMark/>
          </w:tcPr>
          <w:p w14:paraId="1216C8BA" w14:textId="77777777" w:rsidR="003C4798" w:rsidRDefault="00417595">
            <w:pPr>
              <w:pStyle w:val="P68B1DB1-Normal85"/>
              <w:spacing w:line="240" w:lineRule="auto"/>
              <w:textAlignment w:val="baseline"/>
              <w:rPr>
                <w:rFonts w:eastAsia="Times New Roman" w:cs="Times New Roman"/>
                <w:noProof/>
              </w:rPr>
            </w:pPr>
            <w:r>
              <w:rPr>
                <w:noProof/>
              </w:rPr>
              <w:t>G1.1.4 Soutien aux institutions mettant en œuvre les réformes et les investissements REPowerEU</w:t>
            </w:r>
          </w:p>
        </w:tc>
        <w:tc>
          <w:tcPr>
            <w:tcW w:w="1275" w:type="dxa"/>
            <w:shd w:val="clear" w:color="auto" w:fill="C6EFCE"/>
            <w:hideMark/>
          </w:tcPr>
          <w:p w14:paraId="1216C8BB" w14:textId="77777777" w:rsidR="003C4798" w:rsidRDefault="00417595">
            <w:pPr>
              <w:pStyle w:val="P68B1DB1-Normal85"/>
              <w:spacing w:line="240" w:lineRule="auto"/>
              <w:ind w:right="30"/>
              <w:jc w:val="center"/>
              <w:textAlignment w:val="baseline"/>
              <w:rPr>
                <w:rFonts w:eastAsia="Times New Roman" w:cs="Times New Roman"/>
                <w:noProof/>
              </w:rPr>
            </w:pPr>
            <w:r>
              <w:rPr>
                <w:noProof/>
              </w:rPr>
              <w:t>Étape</w:t>
            </w:r>
          </w:p>
        </w:tc>
        <w:tc>
          <w:tcPr>
            <w:tcW w:w="3686" w:type="dxa"/>
            <w:shd w:val="clear" w:color="auto" w:fill="C6EFCE"/>
            <w:hideMark/>
          </w:tcPr>
          <w:p w14:paraId="1216C8BC" w14:textId="77777777" w:rsidR="003C4798" w:rsidRDefault="00417595">
            <w:pPr>
              <w:pStyle w:val="P68B1DB1-Normal87"/>
              <w:spacing w:line="240" w:lineRule="auto"/>
              <w:textAlignment w:val="baseline"/>
              <w:rPr>
                <w:noProof/>
              </w:rPr>
            </w:pPr>
            <w:r>
              <w:rPr>
                <w:noProof/>
              </w:rPr>
              <w:t>Outil informatique pour l’Office de régulation de l’énergie</w:t>
            </w:r>
          </w:p>
        </w:tc>
      </w:tr>
      <w:tr w:rsidR="003C4798" w14:paraId="1216C8C2" w14:textId="77777777">
        <w:trPr>
          <w:trHeight w:val="300"/>
          <w:jc w:val="center"/>
        </w:trPr>
        <w:tc>
          <w:tcPr>
            <w:tcW w:w="1277" w:type="dxa"/>
            <w:shd w:val="clear" w:color="auto" w:fill="C6EFCE"/>
            <w:hideMark/>
          </w:tcPr>
          <w:p w14:paraId="1216C8BE"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G17G </w:t>
            </w:r>
          </w:p>
        </w:tc>
        <w:tc>
          <w:tcPr>
            <w:tcW w:w="3402" w:type="dxa"/>
            <w:shd w:val="clear" w:color="auto" w:fill="C6EFCE"/>
            <w:hideMark/>
          </w:tcPr>
          <w:p w14:paraId="1216C8BF" w14:textId="77777777" w:rsidR="003C4798" w:rsidRDefault="00417595">
            <w:pPr>
              <w:pStyle w:val="P68B1DB1-Normal85"/>
              <w:spacing w:line="240" w:lineRule="auto"/>
              <w:textAlignment w:val="baseline"/>
              <w:rPr>
                <w:rFonts w:eastAsia="Times New Roman" w:cs="Times New Roman"/>
                <w:noProof/>
              </w:rPr>
            </w:pPr>
            <w:r>
              <w:rPr>
                <w:noProof/>
              </w:rPr>
              <w:t>G1.2.3 Réseaux de transport et infrastructures électriques intelligentes</w:t>
            </w:r>
          </w:p>
        </w:tc>
        <w:tc>
          <w:tcPr>
            <w:tcW w:w="1275" w:type="dxa"/>
            <w:shd w:val="clear" w:color="auto" w:fill="C6EFCE"/>
            <w:hideMark/>
          </w:tcPr>
          <w:p w14:paraId="1216C8C0"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C1" w14:textId="5AAA62D2" w:rsidR="003C4798" w:rsidRDefault="00417595">
            <w:pPr>
              <w:pStyle w:val="P68B1DB1-Normal87"/>
              <w:spacing w:after="0" w:line="240" w:lineRule="auto"/>
              <w:textAlignment w:val="baseline"/>
              <w:rPr>
                <w:noProof/>
              </w:rPr>
            </w:pPr>
            <w:r>
              <w:rPr>
                <w:noProof/>
              </w:rPr>
              <w:t>Longueur du réseau de transport d’électricité construit, modernisé ou modernisé (km)</w:t>
            </w:r>
          </w:p>
        </w:tc>
      </w:tr>
      <w:tr w:rsidR="003C4798" w14:paraId="1216C8C7" w14:textId="77777777">
        <w:trPr>
          <w:trHeight w:val="300"/>
          <w:jc w:val="center"/>
        </w:trPr>
        <w:tc>
          <w:tcPr>
            <w:tcW w:w="1277" w:type="dxa"/>
            <w:shd w:val="clear" w:color="auto" w:fill="C6EFCE"/>
            <w:hideMark/>
          </w:tcPr>
          <w:p w14:paraId="1216C8C3"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G19G </w:t>
            </w:r>
          </w:p>
        </w:tc>
        <w:tc>
          <w:tcPr>
            <w:tcW w:w="3402" w:type="dxa"/>
            <w:shd w:val="clear" w:color="auto" w:fill="C6EFCE"/>
            <w:hideMark/>
          </w:tcPr>
          <w:p w14:paraId="1216C8C4" w14:textId="77777777" w:rsidR="003C4798" w:rsidRDefault="00417595">
            <w:pPr>
              <w:pStyle w:val="P68B1DB1-Normal85"/>
              <w:spacing w:line="240" w:lineRule="auto"/>
              <w:textAlignment w:val="baseline"/>
              <w:rPr>
                <w:rFonts w:eastAsia="Times New Roman" w:cs="Times New Roman"/>
                <w:noProof/>
              </w:rPr>
            </w:pPr>
            <w:r>
              <w:rPr>
                <w:noProof/>
              </w:rPr>
              <w:t>G1.2.3. Réseaux de transport et infrastructures électriques intelligentes</w:t>
            </w:r>
          </w:p>
        </w:tc>
        <w:tc>
          <w:tcPr>
            <w:tcW w:w="1275" w:type="dxa"/>
            <w:shd w:val="clear" w:color="auto" w:fill="C6EFCE"/>
            <w:hideMark/>
          </w:tcPr>
          <w:p w14:paraId="1216C8C5"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C6" w14:textId="33CAFFA2" w:rsidR="003C4798" w:rsidRDefault="00417595">
            <w:pPr>
              <w:pStyle w:val="P68B1DB1-Normal87"/>
              <w:spacing w:after="0" w:line="240" w:lineRule="auto"/>
              <w:textAlignment w:val="baseline"/>
              <w:rPr>
                <w:noProof/>
              </w:rPr>
            </w:pPr>
            <w:r>
              <w:rPr>
                <w:noProof/>
              </w:rPr>
              <w:t>Longueur du réseau de transport d’électricité construit, modernisé ou modernisé (km)</w:t>
            </w:r>
          </w:p>
        </w:tc>
      </w:tr>
      <w:tr w:rsidR="003C4798" w14:paraId="1216C8CC" w14:textId="77777777">
        <w:trPr>
          <w:trHeight w:val="300"/>
          <w:jc w:val="center"/>
        </w:trPr>
        <w:tc>
          <w:tcPr>
            <w:tcW w:w="1277" w:type="dxa"/>
            <w:shd w:val="clear" w:color="auto" w:fill="C6EFCE"/>
            <w:hideMark/>
          </w:tcPr>
          <w:p w14:paraId="1216C8C8"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G20G </w:t>
            </w:r>
          </w:p>
        </w:tc>
        <w:tc>
          <w:tcPr>
            <w:tcW w:w="3402" w:type="dxa"/>
            <w:shd w:val="clear" w:color="auto" w:fill="C6EFCE"/>
            <w:hideMark/>
          </w:tcPr>
          <w:p w14:paraId="1216C8C9" w14:textId="77777777" w:rsidR="003C4798" w:rsidRDefault="00417595">
            <w:pPr>
              <w:pStyle w:val="P68B1DB1-Normal85"/>
              <w:spacing w:line="240" w:lineRule="auto"/>
              <w:textAlignment w:val="baseline"/>
              <w:rPr>
                <w:rFonts w:eastAsia="Times New Roman" w:cs="Times New Roman"/>
                <w:noProof/>
              </w:rPr>
            </w:pPr>
            <w:r>
              <w:rPr>
                <w:noProof/>
              </w:rPr>
              <w:t>G1.2.3 Réseaux de transport et infrastructures électriques intelligentes</w:t>
            </w:r>
          </w:p>
        </w:tc>
        <w:tc>
          <w:tcPr>
            <w:tcW w:w="1275" w:type="dxa"/>
            <w:shd w:val="clear" w:color="auto" w:fill="C6EFCE"/>
            <w:hideMark/>
          </w:tcPr>
          <w:p w14:paraId="1216C8CA"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CB" w14:textId="77777777" w:rsidR="003C4798" w:rsidRDefault="00417595">
            <w:pPr>
              <w:pStyle w:val="P68B1DB1-Normal87"/>
              <w:spacing w:line="240" w:lineRule="auto"/>
              <w:textAlignment w:val="baseline"/>
              <w:rPr>
                <w:noProof/>
              </w:rPr>
            </w:pPr>
            <w:r>
              <w:rPr>
                <w:noProof/>
              </w:rPr>
              <w:t>Stations étendues, mises à niveau ou nouvelles (sous-)stations au sein du réseau de transmission</w:t>
            </w:r>
          </w:p>
        </w:tc>
      </w:tr>
      <w:tr w:rsidR="003C4798" w14:paraId="1216C8D1" w14:textId="77777777">
        <w:trPr>
          <w:trHeight w:val="300"/>
          <w:jc w:val="center"/>
        </w:trPr>
        <w:tc>
          <w:tcPr>
            <w:tcW w:w="1277" w:type="dxa"/>
            <w:shd w:val="clear" w:color="auto" w:fill="C6EFCE"/>
            <w:hideMark/>
          </w:tcPr>
          <w:p w14:paraId="1216C8CD"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G24G </w:t>
            </w:r>
          </w:p>
        </w:tc>
        <w:tc>
          <w:tcPr>
            <w:tcW w:w="3402" w:type="dxa"/>
            <w:shd w:val="clear" w:color="auto" w:fill="C6EFCE"/>
            <w:hideMark/>
          </w:tcPr>
          <w:p w14:paraId="1216C8CE" w14:textId="77777777" w:rsidR="003C4798" w:rsidRDefault="00417595">
            <w:pPr>
              <w:pStyle w:val="P68B1DB1-Normal85"/>
              <w:spacing w:line="240" w:lineRule="auto"/>
              <w:textAlignment w:val="baseline"/>
              <w:rPr>
                <w:rFonts w:eastAsia="Times New Roman" w:cs="Times New Roman"/>
                <w:noProof/>
              </w:rPr>
            </w:pPr>
            <w:r>
              <w:rPr>
                <w:noProof/>
              </w:rPr>
              <w:t>G1.2.4 Construction ou modernisation de réseaux de distribution d'électricité</w:t>
            </w:r>
          </w:p>
        </w:tc>
        <w:tc>
          <w:tcPr>
            <w:tcW w:w="1275" w:type="dxa"/>
            <w:shd w:val="clear" w:color="auto" w:fill="C6EFCE"/>
            <w:hideMark/>
          </w:tcPr>
          <w:p w14:paraId="1216C8CF"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D0" w14:textId="2A133626" w:rsidR="003C4798" w:rsidRDefault="00417595">
            <w:pPr>
              <w:pStyle w:val="P68B1DB1-Normal87"/>
              <w:spacing w:line="240" w:lineRule="auto"/>
              <w:textAlignment w:val="baseline"/>
              <w:rPr>
                <w:noProof/>
              </w:rPr>
            </w:pPr>
            <w:r>
              <w:rPr>
                <w:noProof/>
              </w:rPr>
              <w:t>Longueur du réseau de distribution construit, modernisé ou modernisé (km)</w:t>
            </w:r>
          </w:p>
        </w:tc>
      </w:tr>
      <w:tr w:rsidR="003C4798" w14:paraId="1216C8D6" w14:textId="77777777">
        <w:trPr>
          <w:trHeight w:val="300"/>
          <w:jc w:val="center"/>
        </w:trPr>
        <w:tc>
          <w:tcPr>
            <w:tcW w:w="1277" w:type="dxa"/>
            <w:shd w:val="clear" w:color="auto" w:fill="C6EFCE"/>
            <w:hideMark/>
          </w:tcPr>
          <w:p w14:paraId="1216C8D2"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G27G </w:t>
            </w:r>
          </w:p>
        </w:tc>
        <w:tc>
          <w:tcPr>
            <w:tcW w:w="3402" w:type="dxa"/>
            <w:shd w:val="clear" w:color="auto" w:fill="C6EFCE"/>
            <w:hideMark/>
          </w:tcPr>
          <w:p w14:paraId="1216C8D3" w14:textId="77777777" w:rsidR="003C4798" w:rsidRDefault="00417595">
            <w:pPr>
              <w:pStyle w:val="P68B1DB1-Normal85"/>
              <w:spacing w:line="240" w:lineRule="auto"/>
              <w:textAlignment w:val="baseline"/>
              <w:rPr>
                <w:rFonts w:eastAsia="Times New Roman" w:cs="Times New Roman"/>
                <w:noProof/>
              </w:rPr>
            </w:pPr>
            <w:r>
              <w:rPr>
                <w:noProof/>
              </w:rPr>
              <w:t>G1.3.2 Transport collectif à émissions nulles (autobus)</w:t>
            </w:r>
          </w:p>
        </w:tc>
        <w:tc>
          <w:tcPr>
            <w:tcW w:w="1275" w:type="dxa"/>
            <w:shd w:val="clear" w:color="auto" w:fill="C6EFCE"/>
            <w:hideMark/>
          </w:tcPr>
          <w:p w14:paraId="1216C8D4"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686" w:type="dxa"/>
            <w:shd w:val="clear" w:color="auto" w:fill="C6EFCE"/>
            <w:hideMark/>
          </w:tcPr>
          <w:p w14:paraId="1216C8D5" w14:textId="6AD91987" w:rsidR="003C4798" w:rsidRDefault="00417595">
            <w:pPr>
              <w:pStyle w:val="P68B1DB1-Normal87"/>
              <w:spacing w:line="240" w:lineRule="auto"/>
              <w:textAlignment w:val="baseline"/>
              <w:rPr>
                <w:noProof/>
              </w:rPr>
            </w:pPr>
            <w:r>
              <w:rPr>
                <w:noProof/>
              </w:rPr>
              <w:t>Autobus à émissions nulles</w:t>
            </w:r>
          </w:p>
        </w:tc>
      </w:tr>
      <w:tr w:rsidR="003C4798" w14:paraId="1216C8DB" w14:textId="77777777">
        <w:trPr>
          <w:trHeight w:val="300"/>
          <w:jc w:val="center"/>
        </w:trPr>
        <w:tc>
          <w:tcPr>
            <w:tcW w:w="1277" w:type="dxa"/>
            <w:shd w:val="clear" w:color="auto" w:fill="C6EFCE"/>
            <w:hideMark/>
          </w:tcPr>
          <w:p w14:paraId="1216C8D7"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 </w:t>
            </w:r>
          </w:p>
        </w:tc>
        <w:tc>
          <w:tcPr>
            <w:tcW w:w="3402" w:type="dxa"/>
            <w:shd w:val="clear" w:color="auto" w:fill="C6EFCE"/>
            <w:hideMark/>
          </w:tcPr>
          <w:p w14:paraId="1216C8D8" w14:textId="77777777" w:rsidR="003C4798" w:rsidRDefault="00417595">
            <w:pPr>
              <w:pStyle w:val="P68B1DB1-Normal85"/>
              <w:spacing w:line="240" w:lineRule="auto"/>
              <w:textAlignment w:val="baseline"/>
              <w:rPr>
                <w:rFonts w:eastAsia="Times New Roman" w:cs="Times New Roman"/>
                <w:noProof/>
              </w:rPr>
            </w:pPr>
            <w:r>
              <w:rPr>
                <w:noProof/>
              </w:rPr>
              <w:t xml:space="preserve"> </w:t>
            </w:r>
          </w:p>
        </w:tc>
        <w:tc>
          <w:tcPr>
            <w:tcW w:w="1275" w:type="dxa"/>
            <w:shd w:val="clear" w:color="auto" w:fill="C6EFCE"/>
            <w:hideMark/>
          </w:tcPr>
          <w:p w14:paraId="1216C8D9" w14:textId="77777777" w:rsidR="003C4798" w:rsidRDefault="00417595">
            <w:pPr>
              <w:pStyle w:val="P68B1DB1-Normal85"/>
              <w:spacing w:line="240" w:lineRule="auto"/>
              <w:ind w:right="30"/>
              <w:jc w:val="center"/>
              <w:textAlignment w:val="baseline"/>
              <w:rPr>
                <w:rFonts w:eastAsia="Times New Roman" w:cs="Times New Roman"/>
                <w:noProof/>
              </w:rPr>
            </w:pPr>
            <w:r>
              <w:rPr>
                <w:noProof/>
              </w:rPr>
              <w:t>Montant des acomptes provisionnels</w:t>
            </w:r>
          </w:p>
        </w:tc>
        <w:tc>
          <w:tcPr>
            <w:tcW w:w="3686" w:type="dxa"/>
            <w:shd w:val="clear" w:color="auto" w:fill="C6EFCE"/>
            <w:hideMark/>
          </w:tcPr>
          <w:p w14:paraId="1216C8DA" w14:textId="79BBC39E" w:rsidR="003C4798" w:rsidRDefault="00417595">
            <w:pPr>
              <w:pStyle w:val="P68B1DB1-Normal85"/>
              <w:spacing w:line="240" w:lineRule="auto"/>
              <w:textAlignment w:val="baseline"/>
              <w:rPr>
                <w:rFonts w:eastAsia="Times New Roman" w:cs="Times New Roman"/>
                <w:strike/>
                <w:noProof/>
              </w:rPr>
            </w:pPr>
            <w:r>
              <w:rPr>
                <w:noProof/>
              </w:rPr>
              <w:t>6 928 216 574 EUR</w:t>
            </w:r>
          </w:p>
        </w:tc>
      </w:tr>
    </w:tbl>
    <w:p w14:paraId="1216C8DC" w14:textId="5D75684B" w:rsidR="003C4798" w:rsidRDefault="003C4798">
      <w:pPr>
        <w:spacing w:line="240" w:lineRule="auto"/>
        <w:ind w:left="-15"/>
        <w:jc w:val="both"/>
        <w:textAlignment w:val="baseline"/>
        <w:rPr>
          <w:rFonts w:ascii="Times New Roman" w:eastAsia="Times New Roman" w:hAnsi="Times New Roman" w:cs="Times New Roman"/>
          <w:i/>
          <w:iCs/>
          <w:noProof/>
          <w:sz w:val="24"/>
          <w:szCs w:val="24"/>
        </w:rPr>
      </w:pPr>
    </w:p>
    <w:p w14:paraId="1216C8DD" w14:textId="26520509" w:rsidR="003C4798" w:rsidRDefault="00417595">
      <w:pPr>
        <w:pStyle w:val="P68B1DB1-Normal15"/>
        <w:rPr>
          <w:i/>
          <w:iCs/>
          <w:noProof/>
        </w:rPr>
      </w:pPr>
      <w:r>
        <w:rPr>
          <w:noProof/>
        </w:rPr>
        <w:br w:type="page"/>
      </w:r>
      <w:r>
        <w:rPr>
          <w:i/>
          <w:noProof/>
        </w:rPr>
        <w:t>2.2. Prêt</w:t>
      </w:r>
    </w:p>
    <w:p w14:paraId="1216C8DE" w14:textId="04AC0CC3" w:rsidR="003C4798" w:rsidRDefault="00417595">
      <w:pPr>
        <w:pStyle w:val="P68B1DB1-Normal87"/>
        <w:spacing w:line="240" w:lineRule="auto"/>
        <w:ind w:left="-15"/>
        <w:textAlignment w:val="baseline"/>
        <w:rPr>
          <w:rFonts w:ascii="Segoe UI" w:hAnsi="Segoe UI" w:cs="Segoe UI"/>
          <w:noProof/>
          <w:sz w:val="18"/>
          <w:szCs w:val="18"/>
        </w:rPr>
      </w:pPr>
      <w:r>
        <w:rPr>
          <w:noProof/>
        </w:rPr>
        <w:t>Les acomptes provisionnels visés à l'article 3, paragraphe 2, sont organisés de la manière suivante:</w:t>
      </w:r>
    </w:p>
    <w:p w14:paraId="1216C8DF" w14:textId="3528F209" w:rsidR="003C4798" w:rsidRDefault="00417595">
      <w:pPr>
        <w:pStyle w:val="P68B1DB1-Normal87"/>
        <w:spacing w:line="240" w:lineRule="auto"/>
        <w:ind w:left="-15"/>
        <w:textAlignment w:val="baseline"/>
        <w:rPr>
          <w:rFonts w:ascii="Segoe UI" w:hAnsi="Segoe UI" w:cs="Segoe UI"/>
          <w:noProof/>
          <w:sz w:val="18"/>
          <w:szCs w:val="18"/>
        </w:rPr>
      </w:pPr>
      <w:r>
        <w:rPr>
          <w:noProof/>
        </w:rPr>
        <w:t xml:space="preserve">2.2.1. Première tranche (soutien sous forme de prêt): </w:t>
      </w:r>
    </w:p>
    <w:tbl>
      <w:tblPr>
        <w:tblW w:w="964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1"/>
        <w:gridCol w:w="3428"/>
        <w:gridCol w:w="1275"/>
        <w:gridCol w:w="3686"/>
      </w:tblGrid>
      <w:tr w:rsidR="003C4798" w14:paraId="1216C8E4" w14:textId="77777777">
        <w:trPr>
          <w:trHeight w:val="300"/>
          <w:tblHeader/>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BDD6EE"/>
            <w:hideMark/>
          </w:tcPr>
          <w:p w14:paraId="1216C8E0" w14:textId="11E33E1B" w:rsidR="003C4798" w:rsidRDefault="00417595">
            <w:pPr>
              <w:pStyle w:val="P68B1DB1-Normal87"/>
              <w:spacing w:line="240" w:lineRule="auto"/>
              <w:jc w:val="center"/>
              <w:textAlignment w:val="baseline"/>
              <w:rPr>
                <w:noProof/>
                <w:sz w:val="24"/>
                <w:szCs w:val="24"/>
              </w:rPr>
            </w:pPr>
            <w:r>
              <w:rPr>
                <w:b/>
                <w:noProof/>
              </w:rPr>
              <w:t>Numéro séquentiel</w:t>
            </w:r>
            <w:r>
              <w:rPr>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BDD6EE"/>
            <w:hideMark/>
          </w:tcPr>
          <w:p w14:paraId="1216C8E1" w14:textId="7D3D6442" w:rsidR="003C4798" w:rsidRDefault="00417595">
            <w:pPr>
              <w:pStyle w:val="P68B1DB1-Normal87"/>
              <w:spacing w:line="240" w:lineRule="auto"/>
              <w:jc w:val="center"/>
              <w:textAlignment w:val="baseline"/>
              <w:rPr>
                <w:noProof/>
                <w:sz w:val="24"/>
                <w:szCs w:val="24"/>
              </w:rPr>
            </w:pPr>
            <w:r>
              <w:rPr>
                <w:b/>
                <w:noProof/>
              </w:rPr>
              <w:t>Mesure connexe (réforme ou investissement)</w:t>
            </w:r>
            <w:r>
              <w:rPr>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8E2" w14:textId="77777777" w:rsidR="003C4798" w:rsidRDefault="00417595">
            <w:pPr>
              <w:pStyle w:val="P68B1DB1-Normal100"/>
              <w:spacing w:line="240" w:lineRule="auto"/>
              <w:ind w:left="-5" w:right="15"/>
              <w:jc w:val="center"/>
              <w:textAlignment w:val="baseline"/>
              <w:rPr>
                <w:noProof/>
                <w:sz w:val="24"/>
                <w:szCs w:val="24"/>
              </w:rPr>
            </w:pPr>
            <w:r>
              <w:rPr>
                <w:noProof/>
              </w:rPr>
              <w:t>Étape/cible</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8E3" w14:textId="1D3B4357" w:rsidR="003C4798" w:rsidRDefault="00417595">
            <w:pPr>
              <w:pStyle w:val="P68B1DB1-Normal87"/>
              <w:spacing w:line="240" w:lineRule="auto"/>
              <w:ind w:right="45"/>
              <w:jc w:val="center"/>
              <w:textAlignment w:val="baseline"/>
              <w:rPr>
                <w:noProof/>
                <w:sz w:val="24"/>
                <w:szCs w:val="24"/>
              </w:rPr>
            </w:pPr>
            <w:r>
              <w:rPr>
                <w:b/>
                <w:noProof/>
              </w:rPr>
              <w:t>Nom</w:t>
            </w:r>
            <w:r>
              <w:rPr>
                <w:noProof/>
              </w:rPr>
              <w:t xml:space="preserve"> </w:t>
            </w:r>
          </w:p>
        </w:tc>
      </w:tr>
      <w:tr w:rsidR="003C4798" w14:paraId="1216C8E9"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5" w14:textId="76119FD3" w:rsidR="003C4798" w:rsidRDefault="00417595">
            <w:pPr>
              <w:pStyle w:val="P68B1DB1-Normal87"/>
              <w:spacing w:line="240" w:lineRule="auto"/>
              <w:ind w:right="45"/>
              <w:jc w:val="center"/>
              <w:textAlignment w:val="baseline"/>
              <w:rPr>
                <w:noProof/>
                <w:sz w:val="24"/>
                <w:szCs w:val="24"/>
              </w:rPr>
            </w:pPr>
            <w:r>
              <w:rPr>
                <w:noProof/>
              </w:rPr>
              <w:t xml:space="preserve">B1L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E6" w14:textId="57725294" w:rsidR="003C4798" w:rsidRDefault="00417595">
            <w:pPr>
              <w:pStyle w:val="P68B1DB1-Normal87"/>
              <w:spacing w:line="240" w:lineRule="auto"/>
              <w:textAlignment w:val="baseline"/>
              <w:rPr>
                <w:noProof/>
                <w:sz w:val="24"/>
                <w:szCs w:val="24"/>
              </w:rPr>
            </w:pPr>
            <w:r>
              <w:rPr>
                <w:noProof/>
              </w:rPr>
              <w:t>B1.2 Faciliter la mise en œuvre de l'obligation d'économies d'énergie pour les entreprises du secteur de l'énergie</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E7"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E8" w14:textId="7B1CA6A6" w:rsidR="003C4798" w:rsidRDefault="00417595">
            <w:pPr>
              <w:pStyle w:val="P68B1DB1-Normal87"/>
              <w:spacing w:line="240" w:lineRule="auto"/>
              <w:textAlignment w:val="baseline"/>
              <w:rPr>
                <w:noProof/>
                <w:sz w:val="24"/>
                <w:szCs w:val="24"/>
              </w:rPr>
            </w:pPr>
            <w:r>
              <w:rPr>
                <w:noProof/>
              </w:rPr>
              <w:t xml:space="preserve">Entrée en vigueur du règlement d'application de la loi sur l'efficacité énergétique </w:t>
            </w:r>
          </w:p>
        </w:tc>
      </w:tr>
      <w:tr w:rsidR="003C4798" w14:paraId="1216C8EE"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A" w14:textId="40600C49" w:rsidR="003C4798" w:rsidRDefault="00417595">
            <w:pPr>
              <w:pStyle w:val="P68B1DB1-Normal87"/>
              <w:spacing w:line="240" w:lineRule="auto"/>
              <w:ind w:right="45"/>
              <w:jc w:val="center"/>
              <w:textAlignment w:val="baseline"/>
              <w:rPr>
                <w:noProof/>
                <w:sz w:val="24"/>
                <w:szCs w:val="24"/>
              </w:rPr>
            </w:pPr>
            <w:r>
              <w:rPr>
                <w:noProof/>
              </w:rPr>
              <w:t xml:space="preserve">B10L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EB" w14:textId="62738F6E" w:rsidR="003C4798" w:rsidRDefault="00417595">
            <w:pPr>
              <w:pStyle w:val="P68B1DB1-Normal87"/>
              <w:spacing w:line="240" w:lineRule="auto"/>
              <w:textAlignment w:val="baseline"/>
              <w:rPr>
                <w:noProof/>
                <w:sz w:val="24"/>
                <w:szCs w:val="24"/>
              </w:rPr>
            </w:pPr>
            <w:r>
              <w:rPr>
                <w:noProof/>
              </w:rPr>
              <w:t xml:space="preserve">B2.4 Cadre juridique pour le développement des installations de stockage d'énergie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EC"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ED" w14:textId="57D6EB61" w:rsidR="003C4798" w:rsidRDefault="00417595">
            <w:pPr>
              <w:pStyle w:val="P68B1DB1-Normal87"/>
              <w:spacing w:line="240" w:lineRule="auto"/>
              <w:ind w:right="30"/>
              <w:textAlignment w:val="baseline"/>
              <w:rPr>
                <w:noProof/>
                <w:sz w:val="24"/>
                <w:szCs w:val="24"/>
              </w:rPr>
            </w:pPr>
            <w:r>
              <w:rPr>
                <w:noProof/>
              </w:rPr>
              <w:t>Entrée en vigueur des modifications de la loi sur l'énergie en ce qui concerne le stockage de l'énergie</w:t>
            </w:r>
          </w:p>
        </w:tc>
      </w:tr>
      <w:tr w:rsidR="003C4798" w14:paraId="1216C8F3"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F" w14:textId="051439C4" w:rsidR="003C4798" w:rsidRDefault="00417595">
            <w:pPr>
              <w:pStyle w:val="P68B1DB1-Normal87"/>
              <w:spacing w:line="240" w:lineRule="auto"/>
              <w:ind w:right="45"/>
              <w:jc w:val="center"/>
              <w:textAlignment w:val="baseline"/>
              <w:rPr>
                <w:noProof/>
                <w:sz w:val="24"/>
                <w:szCs w:val="24"/>
              </w:rPr>
            </w:pPr>
            <w:r>
              <w:rPr>
                <w:noProof/>
              </w:rPr>
              <w:t xml:space="preserve">B21L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0" w14:textId="7B8A87C9" w:rsidR="003C4798" w:rsidRDefault="00417595">
            <w:pPr>
              <w:pStyle w:val="P68B1DB1-Normal87"/>
              <w:spacing w:line="240" w:lineRule="auto"/>
              <w:textAlignment w:val="baseline"/>
              <w:rPr>
                <w:noProof/>
                <w:sz w:val="24"/>
                <w:szCs w:val="24"/>
              </w:rPr>
            </w:pPr>
            <w:r>
              <w:rPr>
                <w:noProof/>
              </w:rPr>
              <w:t>B3.3 Appui à la gestion durable des ressources en eau dans l'agriculture et les zones rurales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1"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2" w14:textId="6B10CC7D" w:rsidR="003C4798" w:rsidRDefault="00417595">
            <w:pPr>
              <w:pStyle w:val="P68B1DB1-Normal87"/>
              <w:spacing w:line="240" w:lineRule="auto"/>
              <w:textAlignment w:val="baseline"/>
              <w:rPr>
                <w:noProof/>
                <w:sz w:val="24"/>
                <w:szCs w:val="24"/>
              </w:rPr>
            </w:pPr>
            <w:r>
              <w:rPr>
                <w:noProof/>
              </w:rPr>
              <w:t>Entrée en vigueur des modifications de la législation nationale nécessaires pour améliorer les conditions d’une gestion résiliente de l’eau dans l’agriculture et les zones rurales</w:t>
            </w:r>
          </w:p>
        </w:tc>
      </w:tr>
      <w:tr w:rsidR="003C4798" w14:paraId="1216C8F8"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4" w14:textId="593CE502" w:rsidR="003C4798" w:rsidRDefault="00417595">
            <w:pPr>
              <w:pStyle w:val="P68B1DB1-Normal87"/>
              <w:spacing w:line="240" w:lineRule="auto"/>
              <w:ind w:right="45"/>
              <w:jc w:val="center"/>
              <w:textAlignment w:val="baseline"/>
              <w:rPr>
                <w:noProof/>
                <w:sz w:val="24"/>
                <w:szCs w:val="24"/>
              </w:rPr>
            </w:pPr>
            <w:r>
              <w:rPr>
                <w:noProof/>
              </w:rPr>
              <w:t xml:space="preserve">B22L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5" w14:textId="4E571325" w:rsidR="003C4798" w:rsidRDefault="00417595">
            <w:pPr>
              <w:pStyle w:val="P68B1DB1-Normal87"/>
              <w:spacing w:line="240" w:lineRule="auto"/>
              <w:ind w:right="30"/>
              <w:textAlignment w:val="baseline"/>
              <w:rPr>
                <w:noProof/>
                <w:sz w:val="24"/>
                <w:szCs w:val="24"/>
              </w:rPr>
            </w:pPr>
            <w:r>
              <w:rPr>
                <w:noProof/>
              </w:rPr>
              <w:t>B3.3.1 Investissements visant à accroître le potentiel de gestion durable de l'eau dans les zones rurales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6"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7" w14:textId="7E81D8F5" w:rsidR="003C4798" w:rsidRDefault="00417595">
            <w:pPr>
              <w:pStyle w:val="P68B1DB1-Normal87"/>
              <w:spacing w:line="240" w:lineRule="auto"/>
              <w:textAlignment w:val="baseline"/>
              <w:rPr>
                <w:noProof/>
                <w:sz w:val="24"/>
                <w:szCs w:val="24"/>
              </w:rPr>
            </w:pPr>
            <w:r>
              <w:rPr>
                <w:noProof/>
              </w:rPr>
              <w:t>Adoption de critères de sélection pour les appels à propositions</w:t>
            </w:r>
          </w:p>
        </w:tc>
      </w:tr>
      <w:tr w:rsidR="003C4798" w14:paraId="1216C8FD"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9" w14:textId="64048DDE" w:rsidR="003C4798" w:rsidRDefault="00417595">
            <w:pPr>
              <w:pStyle w:val="P68B1DB1-Normal87"/>
              <w:spacing w:line="240" w:lineRule="auto"/>
              <w:ind w:right="45"/>
              <w:jc w:val="center"/>
              <w:textAlignment w:val="baseline"/>
              <w:rPr>
                <w:noProof/>
                <w:sz w:val="24"/>
                <w:szCs w:val="24"/>
              </w:rPr>
            </w:pPr>
            <w:r>
              <w:rPr>
                <w:noProof/>
              </w:rPr>
              <w:t xml:space="preserve">B25L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A" w14:textId="1CC12382" w:rsidR="003C4798" w:rsidRDefault="00417595">
            <w:pPr>
              <w:pStyle w:val="P68B1DB1-Normal87"/>
              <w:spacing w:line="240" w:lineRule="auto"/>
              <w:textAlignment w:val="baseline"/>
              <w:rPr>
                <w:noProof/>
                <w:sz w:val="24"/>
                <w:szCs w:val="24"/>
              </w:rPr>
            </w:pPr>
            <w:r>
              <w:rPr>
                <w:noProof/>
              </w:rPr>
              <w:t>B3.4 Cadre propice aux investissements en faveur de la transition écologique dans les zones urbaines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B"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C" w14:textId="0C88341E" w:rsidR="003C4798" w:rsidRDefault="00417595">
            <w:pPr>
              <w:pStyle w:val="P68B1DB1-Normal87"/>
              <w:spacing w:line="240" w:lineRule="auto"/>
              <w:textAlignment w:val="baseline"/>
              <w:rPr>
                <w:noProof/>
                <w:sz w:val="24"/>
                <w:szCs w:val="24"/>
              </w:rPr>
            </w:pPr>
            <w:r>
              <w:rPr>
                <w:noProof/>
              </w:rPr>
              <w:t>Instrument de transformation urbaine verte</w:t>
            </w:r>
          </w:p>
        </w:tc>
      </w:tr>
      <w:tr w:rsidR="003C4798" w14:paraId="1216C902"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E" w14:textId="5F2EDD9E" w:rsidR="003C4798" w:rsidRDefault="00417595">
            <w:pPr>
              <w:pStyle w:val="P68B1DB1-Normal87"/>
              <w:spacing w:line="240" w:lineRule="auto"/>
              <w:ind w:right="45"/>
              <w:jc w:val="center"/>
              <w:textAlignment w:val="baseline"/>
              <w:rPr>
                <w:noProof/>
                <w:sz w:val="24"/>
                <w:szCs w:val="24"/>
              </w:rPr>
            </w:pPr>
            <w:r>
              <w:rPr>
                <w:noProof/>
              </w:rPr>
              <w:t xml:space="preserve">B28L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F" w14:textId="60BBB950" w:rsidR="003C4798" w:rsidRDefault="00417595">
            <w:pPr>
              <w:pStyle w:val="P68B1DB1-Normal87"/>
              <w:spacing w:line="240" w:lineRule="auto"/>
              <w:textAlignment w:val="baseline"/>
              <w:rPr>
                <w:noProof/>
                <w:sz w:val="24"/>
                <w:szCs w:val="24"/>
              </w:rPr>
            </w:pPr>
            <w:r>
              <w:rPr>
                <w:noProof/>
              </w:rPr>
              <w:t>B3.5 Réforme de la construction de logements pour les personnes à faible revenu et à revenu moyen, compte tenu de l'efficacité énergétique accrue des bâtiments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0"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1" w14:textId="60440D62" w:rsidR="003C4798" w:rsidRDefault="00417595">
            <w:pPr>
              <w:pStyle w:val="P68B1DB1-Normal87"/>
              <w:spacing w:line="240" w:lineRule="auto"/>
              <w:ind w:right="30"/>
              <w:textAlignment w:val="baseline"/>
              <w:rPr>
                <w:noProof/>
                <w:sz w:val="24"/>
                <w:szCs w:val="24"/>
              </w:rPr>
            </w:pPr>
            <w:r>
              <w:rPr>
                <w:noProof/>
              </w:rPr>
              <w:t>Entrée en vigueur d’une modification de la loi du 8 décembre 2006 relative à l’aide financière à la création de locaux résidentiels à louer, de logements protégés, d’abris de nuit, d’abris pour les sans-abri, d’installations de chauffage et de locaux temporaires, et modifications d’autres lois qui en résultent</w:t>
            </w:r>
          </w:p>
        </w:tc>
      </w:tr>
      <w:tr w:rsidR="003C4798" w14:paraId="1216C907"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3" w14:textId="707BB7FA" w:rsidR="003C4798" w:rsidRDefault="00417595">
            <w:pPr>
              <w:pStyle w:val="P68B1DB1-Normal87"/>
              <w:spacing w:line="240" w:lineRule="auto"/>
              <w:ind w:right="45"/>
              <w:jc w:val="center"/>
              <w:textAlignment w:val="baseline"/>
              <w:rPr>
                <w:noProof/>
                <w:sz w:val="24"/>
                <w:szCs w:val="24"/>
              </w:rPr>
            </w:pPr>
            <w:r>
              <w:rPr>
                <w:noProof/>
              </w:rPr>
              <w:t xml:space="preserve">B33L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4" w14:textId="106D5B5F" w:rsidR="003C4798" w:rsidRDefault="00417595">
            <w:pPr>
              <w:pStyle w:val="P68B1DB1-Normal87"/>
              <w:spacing w:line="240" w:lineRule="auto"/>
              <w:textAlignment w:val="baseline"/>
              <w:rPr>
                <w:noProof/>
                <w:sz w:val="24"/>
                <w:szCs w:val="24"/>
              </w:rPr>
            </w:pPr>
            <w:r>
              <w:rPr>
                <w:noProof/>
              </w:rPr>
              <w:t>B2.2 Améliorer les conditions de développement des sources d'énergie renouvelables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5"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6" w14:textId="2DC24211" w:rsidR="003C4798" w:rsidRDefault="00417595">
            <w:pPr>
              <w:pStyle w:val="P68B1DB1-Normal87"/>
              <w:spacing w:line="240" w:lineRule="auto"/>
              <w:textAlignment w:val="baseline"/>
              <w:rPr>
                <w:noProof/>
                <w:sz w:val="24"/>
                <w:szCs w:val="24"/>
              </w:rPr>
            </w:pPr>
            <w:r>
              <w:rPr>
                <w:noProof/>
              </w:rPr>
              <w:t>Entrée en vigueur de la loi modifiant la loi sur les investissements dans les parcs éoliens terrestres</w:t>
            </w:r>
          </w:p>
        </w:tc>
      </w:tr>
      <w:tr w:rsidR="003C4798" w14:paraId="1216C90C"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8" w14:textId="09C58F9E" w:rsidR="003C4798" w:rsidRDefault="00417595">
            <w:pPr>
              <w:pStyle w:val="P68B1DB1-Normal87"/>
              <w:spacing w:line="240" w:lineRule="auto"/>
              <w:ind w:right="45"/>
              <w:jc w:val="center"/>
              <w:textAlignment w:val="baseline"/>
              <w:rPr>
                <w:noProof/>
                <w:sz w:val="24"/>
                <w:szCs w:val="24"/>
              </w:rPr>
            </w:pPr>
            <w:r>
              <w:rPr>
                <w:noProof/>
              </w:rPr>
              <w:t xml:space="preserve">B35L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9" w14:textId="0D45970B" w:rsidR="003C4798" w:rsidRDefault="00417595">
            <w:pPr>
              <w:pStyle w:val="P68B1DB1-Normal87"/>
              <w:spacing w:line="240" w:lineRule="auto"/>
              <w:textAlignment w:val="baseline"/>
              <w:rPr>
                <w:noProof/>
                <w:sz w:val="24"/>
                <w:szCs w:val="24"/>
              </w:rPr>
            </w:pPr>
            <w:r>
              <w:rPr>
                <w:noProof/>
              </w:rPr>
              <w:t>B2.2 Améliorer les conditions de développement des sources d'énergie renouvelables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A" w14:textId="77777777" w:rsidR="003C4798" w:rsidRDefault="00417595">
            <w:pPr>
              <w:pStyle w:val="P68B1DB1-Normal87"/>
              <w:spacing w:line="240" w:lineRule="auto"/>
              <w:ind w:left="-5" w:right="45"/>
              <w:jc w:val="center"/>
              <w:textAlignment w:val="baseline"/>
              <w:rPr>
                <w:noProof/>
                <w:sz w:val="24"/>
                <w:szCs w:val="24"/>
              </w:rPr>
            </w:pPr>
            <w:r>
              <w:rPr>
                <w:noProof/>
              </w:rPr>
              <w:t>Objectif</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B" w14:textId="7D863ECA" w:rsidR="003C4798" w:rsidRDefault="00417595">
            <w:pPr>
              <w:pStyle w:val="P68B1DB1-Normal87"/>
              <w:spacing w:line="240" w:lineRule="auto"/>
              <w:textAlignment w:val="baseline"/>
              <w:rPr>
                <w:noProof/>
                <w:sz w:val="24"/>
                <w:szCs w:val="24"/>
              </w:rPr>
            </w:pPr>
            <w:r>
              <w:rPr>
                <w:noProof/>
              </w:rPr>
              <w:t>T1 - Capacité installée des installations éoliennes et photovoltaïques terrestres (en GW)</w:t>
            </w:r>
          </w:p>
        </w:tc>
      </w:tr>
      <w:tr w:rsidR="003C4798" w14:paraId="1216C911"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D" w14:textId="47C39CF5" w:rsidR="003C4798" w:rsidRDefault="00417595">
            <w:pPr>
              <w:pStyle w:val="P68B1DB1-Normal87"/>
              <w:spacing w:line="240" w:lineRule="auto"/>
              <w:ind w:right="45"/>
              <w:jc w:val="center"/>
              <w:textAlignment w:val="baseline"/>
              <w:rPr>
                <w:noProof/>
                <w:sz w:val="24"/>
                <w:szCs w:val="24"/>
              </w:rPr>
            </w:pPr>
            <w:r>
              <w:rPr>
                <w:noProof/>
              </w:rPr>
              <w:t xml:space="preserve">B39L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E" w14:textId="0FFD8E37" w:rsidR="003C4798" w:rsidRDefault="00417595">
            <w:pPr>
              <w:pStyle w:val="P68B1DB1-Normal87"/>
              <w:spacing w:line="240" w:lineRule="auto"/>
              <w:textAlignment w:val="baseline"/>
              <w:rPr>
                <w:noProof/>
                <w:sz w:val="24"/>
                <w:szCs w:val="24"/>
              </w:rPr>
            </w:pPr>
            <w:r>
              <w:rPr>
                <w:noProof/>
              </w:rPr>
              <w:t>B2.2 Améliorer les conditions de développement des sources d'énergie renouvelables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F"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0" w14:textId="2223CF1C" w:rsidR="003C4798" w:rsidRDefault="00417595">
            <w:pPr>
              <w:pStyle w:val="P68B1DB1-Normal87"/>
              <w:spacing w:line="240" w:lineRule="auto"/>
              <w:textAlignment w:val="baseline"/>
              <w:rPr>
                <w:noProof/>
                <w:sz w:val="24"/>
                <w:szCs w:val="24"/>
              </w:rPr>
            </w:pPr>
            <w:r>
              <w:rPr>
                <w:noProof/>
              </w:rPr>
              <w:t>Entrée en vigueur du règlement d’exécution découlant de la loi du 17 décembre 2020 relative à la promotion de la production d’électricité dans les parcs éoliens en mer</w:t>
            </w:r>
          </w:p>
        </w:tc>
      </w:tr>
      <w:tr w:rsidR="003C4798" w14:paraId="1216C916"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2" w14:textId="4BEA89E7" w:rsidR="003C4798" w:rsidRDefault="00417595">
            <w:pPr>
              <w:pStyle w:val="P68B1DB1-Normal87"/>
              <w:spacing w:line="240" w:lineRule="auto"/>
              <w:jc w:val="center"/>
              <w:textAlignment w:val="baseline"/>
              <w:rPr>
                <w:noProof/>
                <w:sz w:val="24"/>
                <w:szCs w:val="24"/>
              </w:rPr>
            </w:pPr>
            <w:r>
              <w:rPr>
                <w:noProof/>
              </w:rPr>
              <w:t xml:space="preserve">C1L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3" w14:textId="725708E8" w:rsidR="003C4798" w:rsidRDefault="00417595">
            <w:pPr>
              <w:pStyle w:val="P68B1DB1-Normal87"/>
              <w:spacing w:line="240" w:lineRule="auto"/>
              <w:textAlignment w:val="baseline"/>
              <w:rPr>
                <w:noProof/>
                <w:sz w:val="24"/>
                <w:szCs w:val="24"/>
              </w:rPr>
            </w:pPr>
            <w:r>
              <w:rPr>
                <w:noProof/>
              </w:rPr>
              <w:t>C1.2 Accroître le niveau d'accessibilité et d'utilisation des communications câblées et sans fil modernes pour répondre aux besoins sociaux et économiques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4"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5" w14:textId="09D3263F" w:rsidR="003C4798" w:rsidRDefault="00417595">
            <w:pPr>
              <w:pStyle w:val="P68B1DB1-Normal87"/>
              <w:spacing w:line="240" w:lineRule="auto"/>
              <w:textAlignment w:val="baseline"/>
              <w:rPr>
                <w:noProof/>
                <w:sz w:val="24"/>
                <w:szCs w:val="24"/>
              </w:rPr>
            </w:pPr>
            <w:r>
              <w:rPr>
                <w:noProof/>
              </w:rPr>
              <w:t>Modification du règlement du 17 février 2020 relatif à la surveillance des émissions de champs électromagnétiques dans l’environnement</w:t>
            </w:r>
          </w:p>
        </w:tc>
      </w:tr>
      <w:tr w:rsidR="003C4798" w14:paraId="1216C91B"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7" w14:textId="4FCF0929" w:rsidR="003C4798" w:rsidRDefault="00417595">
            <w:pPr>
              <w:pStyle w:val="P68B1DB1-Normal87"/>
              <w:spacing w:line="240" w:lineRule="auto"/>
              <w:jc w:val="center"/>
              <w:textAlignment w:val="baseline"/>
              <w:rPr>
                <w:noProof/>
                <w:sz w:val="24"/>
                <w:szCs w:val="24"/>
              </w:rPr>
            </w:pPr>
            <w:r>
              <w:rPr>
                <w:noProof/>
              </w:rPr>
              <w:t xml:space="preserve">C2L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8" w14:textId="441EF2D7" w:rsidR="003C4798" w:rsidRDefault="00417595">
            <w:pPr>
              <w:pStyle w:val="P68B1DB1-Normal87"/>
              <w:spacing w:line="240" w:lineRule="auto"/>
              <w:textAlignment w:val="baseline"/>
              <w:rPr>
                <w:noProof/>
                <w:sz w:val="24"/>
                <w:szCs w:val="24"/>
              </w:rPr>
            </w:pPr>
            <w:r>
              <w:rPr>
                <w:noProof/>
              </w:rPr>
              <w:t>C1.2 Accroître le niveau d'accessibilité et d'utilisation des communications câblées et sans fil modernes pour répondre aux besoins sociaux et économiques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9"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A" w14:textId="52CD253C" w:rsidR="003C4798" w:rsidRDefault="00417595">
            <w:pPr>
              <w:pStyle w:val="P68B1DB1-Normal87"/>
              <w:spacing w:line="240" w:lineRule="auto"/>
              <w:textAlignment w:val="baseline"/>
              <w:rPr>
                <w:noProof/>
                <w:sz w:val="24"/>
                <w:szCs w:val="24"/>
              </w:rPr>
            </w:pPr>
            <w:r>
              <w:rPr>
                <w:noProof/>
              </w:rPr>
              <w:t>Modification du règlement du Conseil des ministres du 10 septembre 2019 relatif à l’évaluation des incidences sur l’environnement</w:t>
            </w:r>
          </w:p>
        </w:tc>
      </w:tr>
      <w:tr w:rsidR="003C4798" w14:paraId="1216C920"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C" w14:textId="44C67761" w:rsidR="003C4798" w:rsidRDefault="00417595">
            <w:pPr>
              <w:pStyle w:val="P68B1DB1-Normal87"/>
              <w:spacing w:line="240" w:lineRule="auto"/>
              <w:jc w:val="center"/>
              <w:textAlignment w:val="baseline"/>
              <w:rPr>
                <w:noProof/>
                <w:sz w:val="24"/>
                <w:szCs w:val="24"/>
              </w:rPr>
            </w:pPr>
            <w:r>
              <w:rPr>
                <w:noProof/>
              </w:rPr>
              <w:t xml:space="preserve">D1L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D" w14:textId="231A5440" w:rsidR="003C4798" w:rsidRDefault="00417595">
            <w:pPr>
              <w:pStyle w:val="P68B1DB1-Normal87"/>
              <w:spacing w:line="240" w:lineRule="auto"/>
              <w:textAlignment w:val="baseline"/>
              <w:rPr>
                <w:noProof/>
                <w:sz w:val="24"/>
                <w:szCs w:val="24"/>
              </w:rPr>
            </w:pPr>
            <w:r>
              <w:rPr>
                <w:noProof/>
              </w:rPr>
              <w:t>D1.2 Accroître l'efficacité, la disponibilité et la qualité des services de soins de longue durée fournis par les prestataires de soins de santé au niveau des districts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E"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F" w14:textId="5164B244" w:rsidR="003C4798" w:rsidRDefault="00417595">
            <w:pPr>
              <w:pStyle w:val="P68B1DB1-Normal87"/>
              <w:spacing w:line="240" w:lineRule="auto"/>
              <w:textAlignment w:val="baseline"/>
              <w:rPr>
                <w:noProof/>
                <w:sz w:val="24"/>
                <w:szCs w:val="24"/>
              </w:rPr>
            </w:pPr>
            <w:r>
              <w:rPr>
                <w:noProof/>
              </w:rPr>
              <w:t>Examen du potentiel de création d'unités/centres de soins de longue durée et de soins gériatriques dans les hôpitaux de district en Pologne</w:t>
            </w:r>
          </w:p>
        </w:tc>
      </w:tr>
      <w:tr w:rsidR="003C4798" w14:paraId="1216C925" w14:textId="77777777">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21" w14:textId="18618F32" w:rsidR="003C4798" w:rsidRDefault="00417595">
            <w:pPr>
              <w:pStyle w:val="P68B1DB1-Normal87"/>
              <w:spacing w:line="240" w:lineRule="auto"/>
              <w:textAlignment w:val="baseline"/>
              <w:rPr>
                <w:noProof/>
                <w:sz w:val="24"/>
                <w:szCs w:val="24"/>
              </w:rPr>
            </w:pPr>
            <w:r>
              <w:rPr>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22" w14:textId="4DF5ED5A" w:rsidR="003C4798" w:rsidRDefault="00417595">
            <w:pPr>
              <w:pStyle w:val="P68B1DB1-Normal87"/>
              <w:spacing w:line="240" w:lineRule="auto"/>
              <w:textAlignment w:val="baseline"/>
              <w:rPr>
                <w:noProof/>
                <w:sz w:val="24"/>
                <w:szCs w:val="24"/>
              </w:rPr>
            </w:pPr>
            <w:r>
              <w:rPr>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23" w14:textId="77777777" w:rsidR="003C4798" w:rsidRDefault="00417595">
            <w:pPr>
              <w:pStyle w:val="P68B1DB1-Normal87"/>
              <w:spacing w:line="240" w:lineRule="auto"/>
              <w:ind w:left="-5"/>
              <w:jc w:val="center"/>
              <w:textAlignment w:val="baseline"/>
              <w:rPr>
                <w:noProof/>
                <w:sz w:val="24"/>
                <w:szCs w:val="24"/>
              </w:rPr>
            </w:pPr>
            <w:r>
              <w:rPr>
                <w:noProof/>
              </w:rPr>
              <w:t>Montant des acomptes provisionnels</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24" w14:textId="046EFCB5" w:rsidR="003C4798" w:rsidRDefault="00417595">
            <w:pPr>
              <w:spacing w:line="240" w:lineRule="auto"/>
              <w:textAlignment w:val="baseline"/>
              <w:rPr>
                <w:rFonts w:ascii="Times New Roman" w:eastAsia="Times New Roman" w:hAnsi="Times New Roman" w:cs="Times New Roman"/>
                <w:noProof/>
                <w:sz w:val="24"/>
                <w:szCs w:val="24"/>
              </w:rPr>
            </w:pPr>
            <w:r>
              <w:rPr>
                <w:rFonts w:eastAsia="Times New Roman"/>
                <w:noProof/>
                <w:color w:val="006100"/>
                <w:szCs w:val="24"/>
              </w:rPr>
              <w:t> </w:t>
            </w:r>
            <w:r>
              <w:rPr>
                <w:rFonts w:ascii="Times New Roman" w:eastAsia="Times New Roman" w:hAnsi="Times New Roman" w:cs="Times New Roman"/>
                <w:noProof/>
              </w:rPr>
              <w:t>4</w:t>
            </w:r>
            <w:r>
              <w:rPr>
                <w:rFonts w:eastAsia="Times New Roman"/>
                <w:noProof/>
                <w:color w:val="006100"/>
                <w:szCs w:val="24"/>
              </w:rPr>
              <w:t> </w:t>
            </w:r>
            <w:r>
              <w:rPr>
                <w:rFonts w:ascii="Times New Roman" w:eastAsia="Times New Roman" w:hAnsi="Times New Roman" w:cs="Times New Roman"/>
                <w:noProof/>
              </w:rPr>
              <w:t>178</w:t>
            </w:r>
            <w:r>
              <w:rPr>
                <w:rFonts w:eastAsia="Times New Roman"/>
                <w:noProof/>
                <w:color w:val="006100"/>
                <w:szCs w:val="24"/>
              </w:rPr>
              <w:t> </w:t>
            </w:r>
            <w:r>
              <w:rPr>
                <w:rFonts w:ascii="Times New Roman" w:eastAsia="Times New Roman" w:hAnsi="Times New Roman" w:cs="Times New Roman"/>
                <w:noProof/>
              </w:rPr>
              <w:t>257</w:t>
            </w:r>
            <w:r>
              <w:rPr>
                <w:rFonts w:eastAsia="Times New Roman"/>
                <w:noProof/>
                <w:color w:val="006100"/>
                <w:szCs w:val="24"/>
              </w:rPr>
              <w:t> </w:t>
            </w:r>
            <w:r>
              <w:rPr>
                <w:rFonts w:ascii="Times New Roman" w:eastAsia="Times New Roman" w:hAnsi="Times New Roman" w:cs="Times New Roman"/>
                <w:noProof/>
              </w:rPr>
              <w:t>125 EUR</w:t>
            </w:r>
          </w:p>
        </w:tc>
      </w:tr>
    </w:tbl>
    <w:p w14:paraId="1216C926" w14:textId="7627A532" w:rsidR="003C4798" w:rsidRDefault="00417595">
      <w:pPr>
        <w:pStyle w:val="P68B1DB1-Normal87"/>
        <w:spacing w:line="240" w:lineRule="auto"/>
        <w:textAlignment w:val="baseline"/>
        <w:rPr>
          <w:noProof/>
        </w:rPr>
      </w:pPr>
      <w:r>
        <w:rPr>
          <w:noProof/>
        </w:rPr>
        <w:t xml:space="preserve"> </w:t>
      </w:r>
    </w:p>
    <w:p w14:paraId="1216C927" w14:textId="210FBC73" w:rsidR="003C4798" w:rsidRDefault="00417595">
      <w:pPr>
        <w:pStyle w:val="P68B1DB1-Normal87"/>
        <w:spacing w:line="240" w:lineRule="auto"/>
        <w:ind w:left="-15"/>
        <w:textAlignment w:val="baseline"/>
        <w:rPr>
          <w:rFonts w:ascii="Segoe UI" w:hAnsi="Segoe UI" w:cs="Segoe UI"/>
          <w:noProof/>
          <w:sz w:val="18"/>
          <w:szCs w:val="18"/>
        </w:rPr>
      </w:pPr>
      <w:r>
        <w:rPr>
          <w:noProof/>
        </w:rPr>
        <w:t xml:space="preserve">2.2.2. Deuxième tranche (soutien sous forme de prêt): </w:t>
      </w:r>
    </w:p>
    <w:tbl>
      <w:tblPr>
        <w:tblW w:w="964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7"/>
        <w:gridCol w:w="3402"/>
        <w:gridCol w:w="1275"/>
        <w:gridCol w:w="3686"/>
      </w:tblGrid>
      <w:tr w:rsidR="003C4798" w14:paraId="1216C92C" w14:textId="77777777">
        <w:trPr>
          <w:trHeight w:val="300"/>
          <w:tblHeader/>
        </w:trPr>
        <w:tc>
          <w:tcPr>
            <w:tcW w:w="1277" w:type="dxa"/>
            <w:tcBorders>
              <w:top w:val="single" w:sz="6" w:space="0" w:color="000000"/>
              <w:left w:val="single" w:sz="6" w:space="0" w:color="000000"/>
              <w:bottom w:val="single" w:sz="6" w:space="0" w:color="000000"/>
              <w:right w:val="single" w:sz="6" w:space="0" w:color="000000"/>
            </w:tcBorders>
            <w:shd w:val="clear" w:color="auto" w:fill="BDD6EE"/>
            <w:hideMark/>
          </w:tcPr>
          <w:p w14:paraId="1216C928" w14:textId="403A7FE5" w:rsidR="003C4798" w:rsidRDefault="00417595">
            <w:pPr>
              <w:pStyle w:val="P68B1DB1-Normal87"/>
              <w:spacing w:line="240" w:lineRule="auto"/>
              <w:ind w:left="-155" w:firstLine="155"/>
              <w:jc w:val="center"/>
              <w:textAlignment w:val="baseline"/>
              <w:rPr>
                <w:noProof/>
                <w:sz w:val="24"/>
                <w:szCs w:val="24"/>
              </w:rPr>
            </w:pPr>
            <w:r>
              <w:rPr>
                <w:b/>
                <w:noProof/>
              </w:rPr>
              <w:t>Numéro séquentiel</w:t>
            </w:r>
            <w:r>
              <w:rPr>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BDD6EE"/>
            <w:hideMark/>
          </w:tcPr>
          <w:p w14:paraId="1216C929" w14:textId="58CDAB64" w:rsidR="003C4798" w:rsidRDefault="00417595">
            <w:pPr>
              <w:pStyle w:val="P68B1DB1-Normal87"/>
              <w:spacing w:line="240" w:lineRule="auto"/>
              <w:jc w:val="center"/>
              <w:textAlignment w:val="baseline"/>
              <w:rPr>
                <w:noProof/>
                <w:sz w:val="24"/>
                <w:szCs w:val="24"/>
              </w:rPr>
            </w:pPr>
            <w:r>
              <w:rPr>
                <w:b/>
                <w:noProof/>
              </w:rPr>
              <w:t>Mesure connexe (réforme ou investissement)</w:t>
            </w:r>
            <w:r>
              <w:rPr>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92A" w14:textId="77777777" w:rsidR="003C4798" w:rsidRDefault="00417595">
            <w:pPr>
              <w:pStyle w:val="P68B1DB1-Normal100"/>
              <w:spacing w:line="240" w:lineRule="auto"/>
              <w:ind w:left="15"/>
              <w:jc w:val="center"/>
              <w:textAlignment w:val="baseline"/>
              <w:rPr>
                <w:noProof/>
                <w:sz w:val="24"/>
                <w:szCs w:val="24"/>
              </w:rPr>
            </w:pPr>
            <w:r>
              <w:rPr>
                <w:noProof/>
              </w:rPr>
              <w:t>Étape/cible</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92B" w14:textId="3B694766" w:rsidR="003C4798" w:rsidRDefault="00417595">
            <w:pPr>
              <w:pStyle w:val="P68B1DB1-Normal87"/>
              <w:spacing w:line="240" w:lineRule="auto"/>
              <w:ind w:right="30"/>
              <w:jc w:val="center"/>
              <w:textAlignment w:val="baseline"/>
              <w:rPr>
                <w:noProof/>
                <w:sz w:val="24"/>
                <w:szCs w:val="24"/>
              </w:rPr>
            </w:pPr>
            <w:r>
              <w:rPr>
                <w:b/>
                <w:noProof/>
              </w:rPr>
              <w:t>Nom</w:t>
            </w:r>
            <w:r>
              <w:rPr>
                <w:noProof/>
              </w:rPr>
              <w:t xml:space="preserve"> </w:t>
            </w:r>
          </w:p>
        </w:tc>
      </w:tr>
      <w:tr w:rsidR="003C4798" w14:paraId="1216C931"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2D" w14:textId="77091892" w:rsidR="003C4798" w:rsidRDefault="00417595">
            <w:pPr>
              <w:pStyle w:val="P68B1DB1-Normal87"/>
              <w:spacing w:line="240" w:lineRule="auto"/>
              <w:ind w:right="30"/>
              <w:jc w:val="center"/>
              <w:textAlignment w:val="baseline"/>
              <w:rPr>
                <w:noProof/>
                <w:sz w:val="24"/>
                <w:szCs w:val="24"/>
              </w:rPr>
            </w:pPr>
            <w:r>
              <w:rPr>
                <w:noProof/>
              </w:rPr>
              <w:t xml:space="preserve">A1L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2E" w14:textId="38123C22" w:rsidR="003C4798" w:rsidRDefault="00417595">
            <w:pPr>
              <w:pStyle w:val="P68B1DB1-Normal87"/>
              <w:spacing w:line="240" w:lineRule="auto"/>
              <w:textAlignment w:val="baseline"/>
              <w:rPr>
                <w:noProof/>
                <w:sz w:val="24"/>
                <w:szCs w:val="24"/>
              </w:rPr>
            </w:pPr>
            <w:r>
              <w:rPr>
                <w:noProof/>
              </w:rPr>
              <w:t xml:space="preserve">A2.5 Renforcer le potentiel du secteur culturel et des industries culturelles pour le développement économique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2F"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0" w14:textId="5C3EC2AB" w:rsidR="003C4798" w:rsidRDefault="00417595">
            <w:pPr>
              <w:pStyle w:val="P68B1DB1-Normal87"/>
              <w:spacing w:line="240" w:lineRule="auto"/>
              <w:textAlignment w:val="baseline"/>
              <w:rPr>
                <w:noProof/>
                <w:sz w:val="24"/>
                <w:szCs w:val="24"/>
              </w:rPr>
            </w:pPr>
            <w:r>
              <w:rPr>
                <w:noProof/>
              </w:rPr>
              <w:t xml:space="preserve">Adoption d’un document d’orientation pour soutenir les actions vertes et numériques dans les secteurs de la culture et de la création </w:t>
            </w:r>
          </w:p>
        </w:tc>
      </w:tr>
      <w:tr w:rsidR="003C4798" w14:paraId="1216C936"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2" w14:textId="30AA3EA2" w:rsidR="003C4798" w:rsidRDefault="00417595">
            <w:pPr>
              <w:pStyle w:val="P68B1DB1-Normal87"/>
              <w:spacing w:line="240" w:lineRule="auto"/>
              <w:ind w:right="30"/>
              <w:jc w:val="center"/>
              <w:textAlignment w:val="baseline"/>
              <w:rPr>
                <w:noProof/>
                <w:sz w:val="24"/>
                <w:szCs w:val="24"/>
              </w:rPr>
            </w:pPr>
            <w:r>
              <w:rPr>
                <w:noProof/>
              </w:rPr>
              <w:t xml:space="preserve">A2L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3" w14:textId="1F17B884" w:rsidR="003C4798" w:rsidRDefault="00417595">
            <w:pPr>
              <w:pStyle w:val="P68B1DB1-Normal87"/>
              <w:spacing w:line="240" w:lineRule="auto"/>
              <w:textAlignment w:val="baseline"/>
              <w:rPr>
                <w:noProof/>
                <w:sz w:val="24"/>
                <w:szCs w:val="24"/>
              </w:rPr>
            </w:pPr>
            <w:r>
              <w:rPr>
                <w:noProof/>
              </w:rPr>
              <w:t>A2.5.1 Un programme pour soutenir les activités des entités des industries culturelles et créatives afin de stimuler leur développement</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4"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5" w14:textId="77777777" w:rsidR="003C4798" w:rsidRDefault="00417595">
            <w:pPr>
              <w:pStyle w:val="P68B1DB1-Normal87"/>
              <w:spacing w:line="240" w:lineRule="auto"/>
              <w:textAlignment w:val="baseline"/>
              <w:rPr>
                <w:noProof/>
                <w:sz w:val="24"/>
                <w:szCs w:val="24"/>
              </w:rPr>
            </w:pPr>
            <w:r>
              <w:rPr>
                <w:noProof/>
              </w:rPr>
              <w:t>Critères de sélection pour le soutien de projets dans les secteurs de la culture et de la création (SCC)</w:t>
            </w:r>
          </w:p>
        </w:tc>
      </w:tr>
      <w:tr w:rsidR="003C4798" w14:paraId="1216C93B"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7" w14:textId="1A1A1605" w:rsidR="003C4798" w:rsidRDefault="00417595">
            <w:pPr>
              <w:pStyle w:val="P68B1DB1-Normal87"/>
              <w:spacing w:line="240" w:lineRule="auto"/>
              <w:ind w:right="30"/>
              <w:jc w:val="center"/>
              <w:textAlignment w:val="baseline"/>
              <w:rPr>
                <w:noProof/>
                <w:sz w:val="24"/>
                <w:szCs w:val="24"/>
              </w:rPr>
            </w:pPr>
            <w:r>
              <w:rPr>
                <w:noProof/>
              </w:rPr>
              <w:t xml:space="preserve">B2L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8" w14:textId="185EA094" w:rsidR="003C4798" w:rsidRDefault="00417595">
            <w:pPr>
              <w:pStyle w:val="P68B1DB1-Normal87"/>
              <w:spacing w:line="240" w:lineRule="auto"/>
              <w:textAlignment w:val="baseline"/>
              <w:rPr>
                <w:noProof/>
                <w:sz w:val="24"/>
                <w:szCs w:val="24"/>
              </w:rPr>
            </w:pPr>
            <w:r>
              <w:rPr>
                <w:noProof/>
              </w:rPr>
              <w:t xml:space="preserve">B1.2.1 Efficacité énergétique et SER dans les entreprises – investissements présentant le potentiel de réduction des gaz à effet de serre le plus élevé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9"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A" w14:textId="01C48283" w:rsidR="003C4798" w:rsidRDefault="00417595">
            <w:pPr>
              <w:pStyle w:val="P68B1DB1-Normal87"/>
              <w:spacing w:line="240" w:lineRule="auto"/>
              <w:textAlignment w:val="baseline"/>
              <w:rPr>
                <w:noProof/>
                <w:sz w:val="24"/>
                <w:szCs w:val="24"/>
              </w:rPr>
            </w:pPr>
            <w:r>
              <w:rPr>
                <w:noProof/>
              </w:rPr>
              <w:t xml:space="preserve">Instructions de financement (y compris les critères d’éligibilité et de sélection) pour le régime d’aide ciblant l’efficacité énergétique et les SER dans les entreprises, y compris celles couvertes par le système d’échange de quotas d’émission de l’UE </w:t>
            </w:r>
          </w:p>
        </w:tc>
      </w:tr>
      <w:tr w:rsidR="003C4798" w14:paraId="1216C940"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C" w14:textId="36182EB6" w:rsidR="003C4798" w:rsidRDefault="00417595">
            <w:pPr>
              <w:pStyle w:val="P68B1DB1-Normal87"/>
              <w:spacing w:line="240" w:lineRule="auto"/>
              <w:ind w:right="30"/>
              <w:jc w:val="center"/>
              <w:textAlignment w:val="baseline"/>
              <w:rPr>
                <w:noProof/>
                <w:sz w:val="24"/>
                <w:szCs w:val="24"/>
              </w:rPr>
            </w:pPr>
            <w:r>
              <w:rPr>
                <w:noProof/>
              </w:rPr>
              <w:t xml:space="preserve">B14L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D" w14:textId="127927DE" w:rsidR="003C4798" w:rsidRDefault="00417595">
            <w:pPr>
              <w:pStyle w:val="P68B1DB1-Normal87"/>
              <w:spacing w:line="240" w:lineRule="auto"/>
              <w:textAlignment w:val="baseline"/>
              <w:rPr>
                <w:noProof/>
                <w:sz w:val="24"/>
                <w:szCs w:val="24"/>
              </w:rPr>
            </w:pPr>
            <w:r>
              <w:rPr>
                <w:noProof/>
              </w:rPr>
              <w:t xml:space="preserve">B3.2 Appui à l'amélioration de l'état de l'environnement et à la protection contre les substances dangereuses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E"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F" w14:textId="1388B5FA" w:rsidR="003C4798" w:rsidRDefault="00417595">
            <w:pPr>
              <w:pStyle w:val="P68B1DB1-Normal87"/>
              <w:spacing w:line="240" w:lineRule="auto"/>
              <w:textAlignment w:val="baseline"/>
              <w:rPr>
                <w:noProof/>
                <w:sz w:val="24"/>
                <w:szCs w:val="24"/>
              </w:rPr>
            </w:pPr>
            <w:r>
              <w:rPr>
                <w:noProof/>
              </w:rPr>
              <w:t>Entrée en vigueur d'une loi visant à faciliter l'élimination complète des incidences négatives sur l'environnement des grandes zones postindustrielles</w:t>
            </w:r>
          </w:p>
        </w:tc>
      </w:tr>
      <w:tr w:rsidR="003C4798" w14:paraId="1216C945"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1" w14:textId="2FD39D83" w:rsidR="003C4798" w:rsidRDefault="00417595">
            <w:pPr>
              <w:pStyle w:val="P68B1DB1-Normal87"/>
              <w:spacing w:line="240" w:lineRule="auto"/>
              <w:ind w:right="30"/>
              <w:jc w:val="center"/>
              <w:textAlignment w:val="baseline"/>
              <w:rPr>
                <w:noProof/>
                <w:sz w:val="24"/>
                <w:szCs w:val="24"/>
              </w:rPr>
            </w:pPr>
            <w:r>
              <w:rPr>
                <w:noProof/>
              </w:rPr>
              <w:t xml:space="preserve">B34L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2" w14:textId="3277CA6E" w:rsidR="003C4798" w:rsidRDefault="00417595">
            <w:pPr>
              <w:pStyle w:val="P68B1DB1-Normal87"/>
              <w:spacing w:line="240" w:lineRule="auto"/>
              <w:textAlignment w:val="baseline"/>
              <w:rPr>
                <w:noProof/>
                <w:sz w:val="24"/>
                <w:szCs w:val="24"/>
              </w:rPr>
            </w:pPr>
            <w:r>
              <w:rPr>
                <w:noProof/>
              </w:rPr>
              <w:t xml:space="preserve">B2.2 Améliorer les conditions de développement des sources d'énergie renouvelables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3" w14:textId="77777777" w:rsidR="003C4798" w:rsidRDefault="00417595">
            <w:pPr>
              <w:pStyle w:val="P68B1DB1-Normal87"/>
              <w:spacing w:line="240" w:lineRule="auto"/>
              <w:ind w:left="-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4" w14:textId="51220A6D" w:rsidR="003C4798" w:rsidRDefault="00417595">
            <w:pPr>
              <w:pStyle w:val="P68B1DB1-Normal87"/>
              <w:spacing w:line="240" w:lineRule="auto"/>
              <w:textAlignment w:val="baseline"/>
              <w:rPr>
                <w:noProof/>
                <w:sz w:val="24"/>
                <w:szCs w:val="24"/>
              </w:rPr>
            </w:pPr>
            <w:r>
              <w:rPr>
                <w:noProof/>
              </w:rPr>
              <w:t>Entrée en vigueur d’un règlement établissant un plan d’enchères pour les énergies renouvelables pour la période 2022-2027</w:t>
            </w:r>
          </w:p>
        </w:tc>
      </w:tr>
      <w:tr w:rsidR="003C4798" w14:paraId="1216C94A"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6" w14:textId="18E79135" w:rsidR="003C4798" w:rsidRDefault="00417595">
            <w:pPr>
              <w:pStyle w:val="P68B1DB1-Normal87"/>
              <w:spacing w:line="240" w:lineRule="auto"/>
              <w:jc w:val="center"/>
              <w:textAlignment w:val="baseline"/>
              <w:rPr>
                <w:noProof/>
                <w:sz w:val="24"/>
                <w:szCs w:val="24"/>
              </w:rPr>
            </w:pPr>
            <w:r>
              <w:rPr>
                <w:noProof/>
              </w:rPr>
              <w:t xml:space="preserve">B36L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7" w14:textId="341ACD67" w:rsidR="003C4798" w:rsidRDefault="00417595">
            <w:pPr>
              <w:pStyle w:val="P68B1DB1-Normal87"/>
              <w:spacing w:line="240" w:lineRule="auto"/>
              <w:textAlignment w:val="baseline"/>
              <w:rPr>
                <w:noProof/>
                <w:sz w:val="24"/>
                <w:szCs w:val="24"/>
              </w:rPr>
            </w:pPr>
            <w:r>
              <w:rPr>
                <w:noProof/>
              </w:rPr>
              <w:t xml:space="preserve">B2.2 Améliorer les conditions de développement des sources d'énergie renouvelables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8" w14:textId="77777777" w:rsidR="003C4798" w:rsidRDefault="00417595">
            <w:pPr>
              <w:pStyle w:val="P68B1DB1-Normal87"/>
              <w:spacing w:line="240" w:lineRule="auto"/>
              <w:jc w:val="center"/>
              <w:textAlignment w:val="baseline"/>
              <w:rPr>
                <w:noProof/>
                <w:sz w:val="24"/>
                <w:szCs w:val="24"/>
              </w:rPr>
            </w:pPr>
            <w:r>
              <w:rPr>
                <w:noProof/>
              </w:rPr>
              <w:t>Objectif</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9" w14:textId="48869E77" w:rsidR="003C4798" w:rsidRDefault="00417595">
            <w:pPr>
              <w:pStyle w:val="P68B1DB1-Normal87"/>
              <w:spacing w:line="240" w:lineRule="auto"/>
              <w:textAlignment w:val="baseline"/>
              <w:rPr>
                <w:noProof/>
                <w:sz w:val="24"/>
                <w:szCs w:val="24"/>
              </w:rPr>
            </w:pPr>
            <w:r>
              <w:rPr>
                <w:noProof/>
              </w:rPr>
              <w:t xml:space="preserve">T2 - Capacité installée des installations éoliennes et photovoltaïques terrestres (en GW) </w:t>
            </w:r>
          </w:p>
        </w:tc>
      </w:tr>
      <w:tr w:rsidR="003C4798" w14:paraId="1216C94F"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B" w14:textId="38CF447E" w:rsidR="003C4798" w:rsidRDefault="00417595">
            <w:pPr>
              <w:pStyle w:val="P68B1DB1-Normal87"/>
              <w:spacing w:line="240" w:lineRule="auto"/>
              <w:jc w:val="center"/>
              <w:textAlignment w:val="baseline"/>
              <w:rPr>
                <w:noProof/>
                <w:sz w:val="24"/>
                <w:szCs w:val="24"/>
              </w:rPr>
            </w:pPr>
            <w:r>
              <w:rPr>
                <w:noProof/>
              </w:rPr>
              <w:t xml:space="preserve">B40L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C" w14:textId="053B8448" w:rsidR="003C4798" w:rsidRDefault="00417595">
            <w:pPr>
              <w:pStyle w:val="P68B1DB1-Normal87"/>
              <w:spacing w:line="240" w:lineRule="auto"/>
              <w:textAlignment w:val="baseline"/>
              <w:rPr>
                <w:noProof/>
                <w:sz w:val="24"/>
                <w:szCs w:val="24"/>
              </w:rPr>
            </w:pPr>
            <w:r>
              <w:rPr>
                <w:noProof/>
              </w:rPr>
              <w:t xml:space="preserve">B2.2 Améliorer les conditions de développement des sources d'énergie renouvelables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D" w14:textId="77777777" w:rsidR="003C4798" w:rsidRDefault="00417595">
            <w:pPr>
              <w:pStyle w:val="P68B1DB1-Normal87"/>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E" w14:textId="4FD0A4DC" w:rsidR="003C4798" w:rsidRDefault="00417595">
            <w:pPr>
              <w:pStyle w:val="P68B1DB1-Normal87"/>
              <w:spacing w:line="240" w:lineRule="auto"/>
              <w:textAlignment w:val="baseline"/>
              <w:rPr>
                <w:noProof/>
                <w:sz w:val="24"/>
                <w:szCs w:val="24"/>
              </w:rPr>
            </w:pPr>
            <w:r>
              <w:rPr>
                <w:noProof/>
              </w:rPr>
              <w:t>Entrée en vigueur du règlement d’exécution découlant de la loi du 17 décembre 2020 relative à la promotion de la production d’électricité dans les parcs éoliens en mer</w:t>
            </w:r>
          </w:p>
        </w:tc>
      </w:tr>
      <w:tr w:rsidR="003C4798" w14:paraId="1216C954"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0" w14:textId="6579085F" w:rsidR="003C4798" w:rsidRDefault="00417595">
            <w:pPr>
              <w:pStyle w:val="P68B1DB1-Normal87"/>
              <w:spacing w:line="240" w:lineRule="auto"/>
              <w:jc w:val="center"/>
              <w:textAlignment w:val="baseline"/>
              <w:rPr>
                <w:noProof/>
                <w:sz w:val="24"/>
                <w:szCs w:val="24"/>
              </w:rPr>
            </w:pPr>
            <w:r>
              <w:rPr>
                <w:noProof/>
              </w:rPr>
              <w:t xml:space="preserve">C8L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1" w14:textId="59B3A4C0" w:rsidR="003C4798" w:rsidRDefault="00417595">
            <w:pPr>
              <w:pStyle w:val="P68B1DB1-Normal87"/>
              <w:spacing w:line="240" w:lineRule="auto"/>
              <w:textAlignment w:val="baseline"/>
              <w:rPr>
                <w:noProof/>
                <w:sz w:val="24"/>
                <w:szCs w:val="24"/>
              </w:rPr>
            </w:pPr>
            <w:r>
              <w:rPr>
                <w:noProof/>
              </w:rPr>
              <w:t>C2.2 Réforme des bases de la numérisation du système éducatif</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2" w14:textId="77777777" w:rsidR="003C4798" w:rsidRDefault="00417595">
            <w:pPr>
              <w:pStyle w:val="P68B1DB1-Normal87"/>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3" w14:textId="125172F4" w:rsidR="003C4798" w:rsidRDefault="00417595">
            <w:pPr>
              <w:pStyle w:val="P68B1DB1-Normal87"/>
              <w:spacing w:line="240" w:lineRule="auto"/>
              <w:textAlignment w:val="baseline"/>
              <w:rPr>
                <w:noProof/>
                <w:sz w:val="24"/>
                <w:szCs w:val="24"/>
              </w:rPr>
            </w:pPr>
            <w:r>
              <w:rPr>
                <w:noProof/>
              </w:rPr>
              <w:t>Adoption d'une nouvelle politique de numérisation de l'éducation, constituant la base des changements dans le système éducatif et de la mise en œuvre des investissements dans les TIC et définissant les orientations de la numérisation du processus du système éducatif à court et à long terme</w:t>
            </w:r>
          </w:p>
        </w:tc>
      </w:tr>
      <w:tr w:rsidR="003C4798" w14:paraId="1216C959"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5" w14:textId="3D49C238" w:rsidR="003C4798" w:rsidRDefault="00417595">
            <w:pPr>
              <w:pStyle w:val="P68B1DB1-Normal87"/>
              <w:spacing w:line="240" w:lineRule="auto"/>
              <w:jc w:val="center"/>
              <w:textAlignment w:val="baseline"/>
              <w:rPr>
                <w:noProof/>
                <w:sz w:val="24"/>
                <w:szCs w:val="24"/>
              </w:rPr>
            </w:pPr>
            <w:r>
              <w:rPr>
                <w:noProof/>
              </w:rPr>
              <w:t xml:space="preserve">C9L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6" w14:textId="77777777" w:rsidR="003C4798" w:rsidRDefault="00417595">
            <w:pPr>
              <w:pStyle w:val="P68B1DB1-Normal87"/>
              <w:spacing w:line="240" w:lineRule="auto"/>
              <w:textAlignment w:val="baseline"/>
              <w:rPr>
                <w:noProof/>
                <w:sz w:val="24"/>
                <w:szCs w:val="24"/>
              </w:rPr>
            </w:pPr>
            <w:r>
              <w:rPr>
                <w:noProof/>
              </w:rPr>
              <w:t>C2.2.1 Doter les écoles/institutions de dispositifs et d'infrastructures TIC adéquats pour améliorer les performances globales du système éducatif</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7" w14:textId="77777777" w:rsidR="003C4798" w:rsidRDefault="00417595">
            <w:pPr>
              <w:pStyle w:val="P68B1DB1-Normal87"/>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8" w14:textId="1174B419" w:rsidR="003C4798" w:rsidRDefault="00417595">
            <w:pPr>
              <w:pStyle w:val="P68B1DB1-Normal87"/>
              <w:spacing w:line="240" w:lineRule="auto"/>
              <w:textAlignment w:val="baseline"/>
              <w:rPr>
                <w:noProof/>
                <w:sz w:val="24"/>
                <w:szCs w:val="24"/>
              </w:rPr>
            </w:pPr>
            <w:r>
              <w:rPr>
                <w:noProof/>
              </w:rPr>
              <w:t>Consultation publique sur le cadre définissant les procédures de distribution d'équipements TIC et de fourniture d'infrastructures aux écoles</w:t>
            </w:r>
          </w:p>
        </w:tc>
      </w:tr>
      <w:tr w:rsidR="003C4798" w14:paraId="1216C95E"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A" w14:textId="7B1C0EE4" w:rsidR="003C4798" w:rsidRDefault="00417595">
            <w:pPr>
              <w:pStyle w:val="P68B1DB1-Normal87"/>
              <w:spacing w:line="240" w:lineRule="auto"/>
              <w:jc w:val="center"/>
              <w:textAlignment w:val="baseline"/>
              <w:rPr>
                <w:noProof/>
                <w:sz w:val="24"/>
                <w:szCs w:val="24"/>
              </w:rPr>
            </w:pPr>
            <w:r>
              <w:rPr>
                <w:noProof/>
              </w:rPr>
              <w:t xml:space="preserve">D2L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B" w14:textId="0D4A5E12" w:rsidR="003C4798" w:rsidRDefault="00417595">
            <w:pPr>
              <w:pStyle w:val="P68B1DB1-Normal87"/>
              <w:spacing w:line="240" w:lineRule="auto"/>
              <w:textAlignment w:val="baseline"/>
              <w:rPr>
                <w:noProof/>
                <w:sz w:val="24"/>
                <w:szCs w:val="24"/>
              </w:rPr>
            </w:pPr>
            <w:r>
              <w:rPr>
                <w:noProof/>
              </w:rPr>
              <w:t>D1.2 Accroître l'efficacité, la disponibilité et la qualité des services de soins de longue durée fournis par les prestataires de soins de santé au niveau des districts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C" w14:textId="77777777" w:rsidR="003C4798" w:rsidRDefault="00417595">
            <w:pPr>
              <w:pStyle w:val="P68B1DB1-Normal87"/>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D" w14:textId="452DE8D7" w:rsidR="003C4798" w:rsidRDefault="00417595">
            <w:pPr>
              <w:pStyle w:val="P68B1DB1-Normal87"/>
              <w:spacing w:line="240" w:lineRule="auto"/>
              <w:textAlignment w:val="baseline"/>
              <w:rPr>
                <w:noProof/>
                <w:sz w:val="24"/>
                <w:szCs w:val="24"/>
              </w:rPr>
            </w:pPr>
            <w:r>
              <w:rPr>
                <w:noProof/>
              </w:rPr>
              <w:t>Entrée en vigueur d’un acte législatif sur le soutien à la création d’unités/centres de soins de longue durée et de soins gériatriques dans les hôpitaux de district, sur la base des résultats de l’examen</w:t>
            </w:r>
          </w:p>
        </w:tc>
      </w:tr>
      <w:tr w:rsidR="003C4798" w14:paraId="1216C963"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F" w14:textId="2D7A3357" w:rsidR="003C4798" w:rsidRDefault="00417595">
            <w:pPr>
              <w:pStyle w:val="P68B1DB1-Normal87"/>
              <w:spacing w:line="240" w:lineRule="auto"/>
              <w:jc w:val="center"/>
              <w:textAlignment w:val="baseline"/>
              <w:rPr>
                <w:noProof/>
                <w:sz w:val="24"/>
                <w:szCs w:val="24"/>
              </w:rPr>
            </w:pPr>
            <w:r>
              <w:rPr>
                <w:noProof/>
              </w:rPr>
              <w:t xml:space="preserve">E5L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60" w14:textId="79078378" w:rsidR="003C4798" w:rsidRDefault="00417595">
            <w:pPr>
              <w:pStyle w:val="P68B1DB1-Normal87"/>
              <w:spacing w:line="240" w:lineRule="auto"/>
              <w:textAlignment w:val="baseline"/>
              <w:rPr>
                <w:noProof/>
                <w:sz w:val="24"/>
                <w:szCs w:val="24"/>
              </w:rPr>
            </w:pPr>
            <w:r>
              <w:rPr>
                <w:noProof/>
              </w:rPr>
              <w:t>E2.3 Améliorer l’accessibilité des transports, la sécurité et les solutions numériques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61" w14:textId="77777777" w:rsidR="003C4798" w:rsidRDefault="00417595">
            <w:pPr>
              <w:pStyle w:val="P68B1DB1-Normal87"/>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62" w14:textId="304B95DF" w:rsidR="003C4798" w:rsidRDefault="00417595">
            <w:pPr>
              <w:pStyle w:val="P68B1DB1-Normal87"/>
              <w:spacing w:line="240" w:lineRule="auto"/>
              <w:textAlignment w:val="baseline"/>
              <w:rPr>
                <w:noProof/>
                <w:sz w:val="24"/>
                <w:szCs w:val="24"/>
              </w:rPr>
            </w:pPr>
            <w:r>
              <w:rPr>
                <w:noProof/>
              </w:rPr>
              <w:t>Entrée en vigueur d'un acte juridique introduisant des améliorations des droits des passagers dans le domaine des exigences relatives au matériel roulant</w:t>
            </w:r>
          </w:p>
        </w:tc>
      </w:tr>
      <w:tr w:rsidR="003C4798" w14:paraId="1216C968"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64" w14:textId="66379B8D" w:rsidR="003C4798" w:rsidRDefault="00417595">
            <w:pPr>
              <w:pStyle w:val="P68B1DB1-Normal87"/>
              <w:spacing w:line="240" w:lineRule="auto"/>
              <w:textAlignment w:val="baseline"/>
              <w:rPr>
                <w:noProof/>
                <w:sz w:val="24"/>
                <w:szCs w:val="24"/>
              </w:rPr>
            </w:pPr>
            <w:r>
              <w:rPr>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65" w14:textId="7ACBBF6A" w:rsidR="003C4798" w:rsidRDefault="00417595">
            <w:pPr>
              <w:pStyle w:val="P68B1DB1-Normal87"/>
              <w:spacing w:line="240" w:lineRule="auto"/>
              <w:textAlignment w:val="baseline"/>
              <w:rPr>
                <w:noProof/>
                <w:sz w:val="24"/>
                <w:szCs w:val="24"/>
              </w:rPr>
            </w:pPr>
            <w:r>
              <w:rPr>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66" w14:textId="77777777" w:rsidR="003C4798" w:rsidRDefault="00417595">
            <w:pPr>
              <w:pStyle w:val="P68B1DB1-Normal87"/>
              <w:spacing w:line="240" w:lineRule="auto"/>
              <w:jc w:val="center"/>
              <w:textAlignment w:val="baseline"/>
              <w:rPr>
                <w:noProof/>
                <w:sz w:val="24"/>
                <w:szCs w:val="24"/>
              </w:rPr>
            </w:pPr>
            <w:r>
              <w:rPr>
                <w:noProof/>
              </w:rPr>
              <w:t>Montant des acomptes provisionnels</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67" w14:textId="482E198C" w:rsidR="003C4798" w:rsidRDefault="00417595">
            <w:pPr>
              <w:pStyle w:val="P68B1DB1-Normal87"/>
              <w:spacing w:line="240" w:lineRule="auto"/>
              <w:textAlignment w:val="baseline"/>
              <w:rPr>
                <w:noProof/>
                <w:sz w:val="24"/>
                <w:szCs w:val="24"/>
              </w:rPr>
            </w:pPr>
            <w:r>
              <w:rPr>
                <w:noProof/>
              </w:rPr>
              <w:t>3 309 921 717 EUR</w:t>
            </w:r>
          </w:p>
        </w:tc>
      </w:tr>
    </w:tbl>
    <w:p w14:paraId="1216C969" w14:textId="382E5C86" w:rsidR="003C4798" w:rsidRDefault="00417595">
      <w:pPr>
        <w:pStyle w:val="P68B1DB1-Normal87"/>
        <w:spacing w:line="240" w:lineRule="auto"/>
        <w:textAlignment w:val="baseline"/>
        <w:rPr>
          <w:noProof/>
        </w:rPr>
      </w:pPr>
      <w:r>
        <w:rPr>
          <w:noProof/>
        </w:rPr>
        <w:t xml:space="preserve"> </w:t>
      </w:r>
    </w:p>
    <w:p w14:paraId="65A055DF" w14:textId="77777777" w:rsidR="003C4798" w:rsidRDefault="00417595">
      <w:pPr>
        <w:pStyle w:val="P68B1DB1-Normal87"/>
        <w:rPr>
          <w:noProof/>
        </w:rPr>
      </w:pPr>
      <w:r>
        <w:rPr>
          <w:noProof/>
        </w:rPr>
        <w:br w:type="page"/>
      </w:r>
    </w:p>
    <w:p w14:paraId="1216C96A" w14:textId="426038C6" w:rsidR="003C4798" w:rsidRDefault="00417595">
      <w:pPr>
        <w:pStyle w:val="P68B1DB1-Normal87"/>
        <w:spacing w:line="240" w:lineRule="auto"/>
        <w:ind w:left="-15"/>
        <w:textAlignment w:val="baseline"/>
        <w:rPr>
          <w:rFonts w:ascii="Segoe UI" w:hAnsi="Segoe UI" w:cs="Segoe UI"/>
          <w:noProof/>
          <w:sz w:val="18"/>
          <w:szCs w:val="18"/>
        </w:rPr>
      </w:pPr>
      <w:r>
        <w:rPr>
          <w:noProof/>
        </w:rPr>
        <w:t xml:space="preserve">2.2.3. Troisième tranche (soutien sous forme de prêt): </w:t>
      </w:r>
    </w:p>
    <w:tbl>
      <w:tblPr>
        <w:tblW w:w="964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3"/>
        <w:gridCol w:w="3426"/>
        <w:gridCol w:w="1275"/>
        <w:gridCol w:w="3686"/>
      </w:tblGrid>
      <w:tr w:rsidR="003C4798" w14:paraId="1216C96F" w14:textId="77777777">
        <w:trPr>
          <w:trHeight w:val="300"/>
          <w:tblHeader/>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BDD6EE"/>
            <w:hideMark/>
          </w:tcPr>
          <w:p w14:paraId="1216C96B" w14:textId="37C5E5AC" w:rsidR="003C4798" w:rsidRDefault="00417595">
            <w:pPr>
              <w:pStyle w:val="P68B1DB1-Normal87"/>
              <w:spacing w:line="240" w:lineRule="auto"/>
              <w:jc w:val="center"/>
              <w:textAlignment w:val="baseline"/>
              <w:rPr>
                <w:noProof/>
                <w:sz w:val="24"/>
                <w:szCs w:val="24"/>
              </w:rPr>
            </w:pPr>
            <w:r>
              <w:rPr>
                <w:b/>
                <w:noProof/>
              </w:rPr>
              <w:t>Numéro séquentiel</w:t>
            </w:r>
            <w:r>
              <w:rPr>
                <w:noProof/>
              </w:rPr>
              <w:t xml:space="preserve"> </w:t>
            </w:r>
          </w:p>
        </w:tc>
        <w:tc>
          <w:tcPr>
            <w:tcW w:w="3426" w:type="dxa"/>
            <w:tcBorders>
              <w:top w:val="single" w:sz="6" w:space="0" w:color="000000"/>
              <w:left w:val="single" w:sz="6" w:space="0" w:color="000000"/>
              <w:bottom w:val="single" w:sz="6" w:space="0" w:color="000000"/>
              <w:right w:val="single" w:sz="6" w:space="0" w:color="000000"/>
            </w:tcBorders>
            <w:shd w:val="clear" w:color="auto" w:fill="BDD6EE"/>
            <w:hideMark/>
          </w:tcPr>
          <w:p w14:paraId="1216C96C" w14:textId="70735B65" w:rsidR="003C4798" w:rsidRDefault="00417595">
            <w:pPr>
              <w:pStyle w:val="P68B1DB1-Normal87"/>
              <w:spacing w:line="240" w:lineRule="auto"/>
              <w:jc w:val="center"/>
              <w:textAlignment w:val="baseline"/>
              <w:rPr>
                <w:noProof/>
                <w:sz w:val="24"/>
                <w:szCs w:val="24"/>
              </w:rPr>
            </w:pPr>
            <w:r>
              <w:rPr>
                <w:b/>
                <w:noProof/>
              </w:rPr>
              <w:t>Mesure connexe (réforme ou investissement)</w:t>
            </w:r>
            <w:r>
              <w:rPr>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96D" w14:textId="77777777" w:rsidR="003C4798" w:rsidRDefault="00417595">
            <w:pPr>
              <w:pStyle w:val="P68B1DB1-Normal100"/>
              <w:spacing w:line="240" w:lineRule="auto"/>
              <w:ind w:left="15" w:right="15"/>
              <w:jc w:val="center"/>
              <w:textAlignment w:val="baseline"/>
              <w:rPr>
                <w:noProof/>
                <w:sz w:val="24"/>
                <w:szCs w:val="24"/>
              </w:rPr>
            </w:pPr>
            <w:r>
              <w:rPr>
                <w:noProof/>
              </w:rPr>
              <w:t>Étape/cible</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96E" w14:textId="77103FBB" w:rsidR="003C4798" w:rsidRDefault="00417595">
            <w:pPr>
              <w:pStyle w:val="P68B1DB1-Normal87"/>
              <w:spacing w:line="240" w:lineRule="auto"/>
              <w:ind w:right="45"/>
              <w:jc w:val="center"/>
              <w:textAlignment w:val="baseline"/>
              <w:rPr>
                <w:noProof/>
                <w:sz w:val="24"/>
                <w:szCs w:val="24"/>
              </w:rPr>
            </w:pPr>
            <w:r>
              <w:rPr>
                <w:b/>
                <w:noProof/>
              </w:rPr>
              <w:t>Nom</w:t>
            </w:r>
            <w:r>
              <w:rPr>
                <w:noProof/>
              </w:rPr>
              <w:t xml:space="preserve"> </w:t>
            </w:r>
          </w:p>
        </w:tc>
      </w:tr>
      <w:tr w:rsidR="003C4798" w14:paraId="1216C974" w14:textId="77777777">
        <w:trPr>
          <w:trHeight w:val="300"/>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0" w14:textId="0B135630" w:rsidR="003C4798" w:rsidRDefault="00417595">
            <w:pPr>
              <w:pStyle w:val="P68B1DB1-Normal87"/>
              <w:spacing w:line="240" w:lineRule="auto"/>
              <w:ind w:right="45"/>
              <w:jc w:val="center"/>
              <w:textAlignment w:val="baseline"/>
              <w:rPr>
                <w:noProof/>
                <w:sz w:val="24"/>
                <w:szCs w:val="24"/>
              </w:rPr>
            </w:pPr>
            <w:r>
              <w:rPr>
                <w:noProof/>
              </w:rPr>
              <w:t xml:space="preserve">B32L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1" w14:textId="2B96F83C" w:rsidR="003C4798" w:rsidRDefault="00417595">
            <w:pPr>
              <w:pStyle w:val="P68B1DB1-Normal87"/>
              <w:spacing w:line="240" w:lineRule="auto"/>
              <w:textAlignment w:val="baseline"/>
              <w:rPr>
                <w:noProof/>
                <w:sz w:val="24"/>
                <w:szCs w:val="24"/>
              </w:rPr>
            </w:pPr>
            <w:r>
              <w:rPr>
                <w:noProof/>
              </w:rPr>
              <w:t>B2.2 Améliorer les conditions de développement des sources d'énergie renouvelables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2" w14:textId="77777777" w:rsidR="003C4798" w:rsidRDefault="00417595">
            <w:pPr>
              <w:pStyle w:val="P68B1DB1-Normal87"/>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3" w14:textId="5EC1487A" w:rsidR="003C4798" w:rsidRDefault="00417595">
            <w:pPr>
              <w:pStyle w:val="P68B1DB1-Normal87"/>
              <w:spacing w:line="240" w:lineRule="auto"/>
              <w:textAlignment w:val="baseline"/>
              <w:rPr>
                <w:noProof/>
                <w:sz w:val="24"/>
                <w:szCs w:val="24"/>
              </w:rPr>
            </w:pPr>
            <w:r>
              <w:rPr>
                <w:noProof/>
              </w:rPr>
              <w:t>Entrée en vigueur des actes modifiant le cadre législatif applicable aux communautés d’énergie renouvelable et au biométhane: Modifications de la loi sur les SER, modifications de la législation concernant le marché de l'énergie et entrée en vigueur d'un règlement relatif à la loi sur les SER</w:t>
            </w:r>
          </w:p>
        </w:tc>
      </w:tr>
      <w:tr w:rsidR="003C4798" w14:paraId="1216C979" w14:textId="77777777">
        <w:trPr>
          <w:trHeight w:val="300"/>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5" w14:textId="69398A2C" w:rsidR="003C4798" w:rsidRDefault="00417595">
            <w:pPr>
              <w:pStyle w:val="P68B1DB1-Normal87"/>
              <w:spacing w:line="240" w:lineRule="auto"/>
              <w:ind w:right="45"/>
              <w:jc w:val="center"/>
              <w:textAlignment w:val="baseline"/>
              <w:rPr>
                <w:noProof/>
                <w:sz w:val="24"/>
                <w:szCs w:val="24"/>
              </w:rPr>
            </w:pPr>
            <w:r>
              <w:rPr>
                <w:noProof/>
              </w:rPr>
              <w:t xml:space="preserve">B37L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6" w14:textId="64D802E4" w:rsidR="003C4798" w:rsidRDefault="00417595">
            <w:pPr>
              <w:pStyle w:val="P68B1DB1-Normal87"/>
              <w:spacing w:line="240" w:lineRule="auto"/>
              <w:textAlignment w:val="baseline"/>
              <w:rPr>
                <w:noProof/>
                <w:sz w:val="24"/>
                <w:szCs w:val="24"/>
              </w:rPr>
            </w:pPr>
            <w:r>
              <w:rPr>
                <w:noProof/>
              </w:rPr>
              <w:t xml:space="preserve">B2.2 Améliorer les conditions de développement des sources d'énergie renouvelables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7" w14:textId="77777777" w:rsidR="003C4798" w:rsidRDefault="00417595">
            <w:pPr>
              <w:pStyle w:val="P68B1DB1-Normal87"/>
              <w:spacing w:line="240" w:lineRule="auto"/>
              <w:ind w:right="45"/>
              <w:jc w:val="center"/>
              <w:textAlignment w:val="baseline"/>
              <w:rPr>
                <w:noProof/>
                <w:sz w:val="24"/>
                <w:szCs w:val="24"/>
              </w:rPr>
            </w:pPr>
            <w:r>
              <w:rPr>
                <w:noProof/>
              </w:rPr>
              <w:t>Objectif</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8" w14:textId="1AFD76C3" w:rsidR="003C4798" w:rsidRDefault="00417595">
            <w:pPr>
              <w:pStyle w:val="P68B1DB1-Normal87"/>
              <w:spacing w:line="240" w:lineRule="auto"/>
              <w:textAlignment w:val="baseline"/>
              <w:rPr>
                <w:noProof/>
                <w:sz w:val="24"/>
                <w:szCs w:val="24"/>
              </w:rPr>
            </w:pPr>
            <w:r>
              <w:rPr>
                <w:noProof/>
              </w:rPr>
              <w:t xml:space="preserve">T3 - Capacité installée des installations éoliennes et photovoltaïques terrestres (en GW) </w:t>
            </w:r>
          </w:p>
        </w:tc>
      </w:tr>
      <w:tr w:rsidR="003C4798" w14:paraId="1216C97E" w14:textId="77777777">
        <w:trPr>
          <w:trHeight w:val="300"/>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A" w14:textId="0E390E91" w:rsidR="003C4798" w:rsidRDefault="00417595">
            <w:pPr>
              <w:pStyle w:val="P68B1DB1-Normal87"/>
              <w:spacing w:line="240" w:lineRule="auto"/>
              <w:ind w:right="45"/>
              <w:jc w:val="center"/>
              <w:textAlignment w:val="baseline"/>
              <w:rPr>
                <w:noProof/>
                <w:sz w:val="24"/>
                <w:szCs w:val="24"/>
              </w:rPr>
            </w:pPr>
            <w:r>
              <w:rPr>
                <w:noProof/>
              </w:rPr>
              <w:t xml:space="preserve">C10L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B" w14:textId="77777777" w:rsidR="003C4798" w:rsidRDefault="00417595">
            <w:pPr>
              <w:pStyle w:val="P68B1DB1-Normal87"/>
              <w:spacing w:line="240" w:lineRule="auto"/>
              <w:ind w:right="30"/>
              <w:textAlignment w:val="baseline"/>
              <w:rPr>
                <w:noProof/>
                <w:sz w:val="24"/>
                <w:szCs w:val="24"/>
              </w:rPr>
            </w:pPr>
            <w:r>
              <w:rPr>
                <w:noProof/>
              </w:rPr>
              <w:t>C2.2.1 Doter les écoles/institutions de dispositifs et d'infrastructures TIC adéquats pour améliorer les performances globales du système éducatif</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C" w14:textId="77777777" w:rsidR="003C4798" w:rsidRDefault="00417595">
            <w:pPr>
              <w:pStyle w:val="P68B1DB1-Normal87"/>
              <w:spacing w:line="240" w:lineRule="auto"/>
              <w:ind w:left="75"/>
              <w:jc w:val="center"/>
              <w:textAlignment w:val="baseline"/>
              <w:rPr>
                <w:noProof/>
                <w:sz w:val="24"/>
                <w:szCs w:val="24"/>
              </w:rPr>
            </w:pPr>
            <w:r>
              <w:rPr>
                <w:noProof/>
              </w:rPr>
              <w:t>Étape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D" w14:textId="38066090" w:rsidR="003C4798" w:rsidRDefault="00417595">
            <w:pPr>
              <w:pStyle w:val="P68B1DB1-Normal87"/>
              <w:spacing w:line="240" w:lineRule="auto"/>
              <w:textAlignment w:val="baseline"/>
              <w:rPr>
                <w:noProof/>
                <w:sz w:val="24"/>
                <w:szCs w:val="24"/>
              </w:rPr>
            </w:pPr>
            <w:r>
              <w:rPr>
                <w:noProof/>
              </w:rPr>
              <w:t>Cadre définissant les procédures de distribution des dispositifs TIC et de fourniture d’infrastructures aux écoles</w:t>
            </w:r>
          </w:p>
        </w:tc>
      </w:tr>
      <w:tr w:rsidR="003C4798" w14:paraId="1216C983" w14:textId="77777777">
        <w:trPr>
          <w:trHeight w:val="300"/>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F" w14:textId="07C2FDD2" w:rsidR="003C4798" w:rsidRDefault="00417595">
            <w:pPr>
              <w:pStyle w:val="P68B1DB1-Normal87"/>
              <w:spacing w:line="240" w:lineRule="auto"/>
              <w:textAlignment w:val="baseline"/>
              <w:rPr>
                <w:noProof/>
                <w:sz w:val="24"/>
                <w:szCs w:val="24"/>
              </w:rPr>
            </w:pPr>
            <w:r>
              <w:rPr>
                <w:noProof/>
              </w:rPr>
              <w:t xml:space="preserve">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0" w14:textId="5ACF59F9" w:rsidR="003C4798" w:rsidRDefault="00417595">
            <w:pPr>
              <w:pStyle w:val="P68B1DB1-Normal87"/>
              <w:spacing w:line="240" w:lineRule="auto"/>
              <w:textAlignment w:val="baseline"/>
              <w:rPr>
                <w:noProof/>
                <w:sz w:val="24"/>
                <w:szCs w:val="24"/>
              </w:rPr>
            </w:pPr>
            <w:r>
              <w:rPr>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81" w14:textId="77777777" w:rsidR="003C4798" w:rsidRDefault="00417595">
            <w:pPr>
              <w:pStyle w:val="P68B1DB1-Normal87"/>
              <w:spacing w:line="240" w:lineRule="auto"/>
              <w:jc w:val="center"/>
              <w:textAlignment w:val="baseline"/>
              <w:rPr>
                <w:noProof/>
                <w:sz w:val="24"/>
                <w:szCs w:val="24"/>
              </w:rPr>
            </w:pPr>
            <w:r>
              <w:rPr>
                <w:noProof/>
              </w:rPr>
              <w:t>Montant des acomptes provisionnels</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2" w14:textId="0FC3EAC8" w:rsidR="003C4798" w:rsidRDefault="00417595">
            <w:pPr>
              <w:pStyle w:val="P68B1DB1-Normal87"/>
              <w:spacing w:line="240" w:lineRule="auto"/>
              <w:textAlignment w:val="baseline"/>
              <w:rPr>
                <w:noProof/>
                <w:sz w:val="24"/>
                <w:szCs w:val="24"/>
              </w:rPr>
            </w:pPr>
            <w:r>
              <w:rPr>
                <w:noProof/>
              </w:rPr>
              <w:t>2 815 596 004 EUR</w:t>
            </w:r>
          </w:p>
        </w:tc>
      </w:tr>
    </w:tbl>
    <w:p w14:paraId="1216C984" w14:textId="3AC3ED9B" w:rsidR="003C4798" w:rsidRDefault="00417595">
      <w:pPr>
        <w:pStyle w:val="P68B1DB1-Normal87"/>
        <w:spacing w:line="240" w:lineRule="auto"/>
        <w:textAlignment w:val="baseline"/>
        <w:rPr>
          <w:rFonts w:ascii="Segoe UI" w:hAnsi="Segoe UI" w:cs="Segoe UI"/>
          <w:noProof/>
          <w:sz w:val="18"/>
          <w:szCs w:val="18"/>
        </w:rPr>
      </w:pPr>
      <w:r>
        <w:rPr>
          <w:noProof/>
        </w:rPr>
        <w:t xml:space="preserve"> </w:t>
      </w:r>
    </w:p>
    <w:p w14:paraId="1216C985" w14:textId="77777777" w:rsidR="003C4798" w:rsidRDefault="003C4798">
      <w:pPr>
        <w:spacing w:line="240" w:lineRule="auto"/>
        <w:ind w:left="-15"/>
        <w:textAlignment w:val="baseline"/>
        <w:rPr>
          <w:rFonts w:ascii="Times New Roman" w:eastAsia="Times New Roman" w:hAnsi="Times New Roman" w:cs="Times New Roman"/>
          <w:noProof/>
        </w:rPr>
      </w:pPr>
    </w:p>
    <w:p w14:paraId="1216C986" w14:textId="6C4D7AFF" w:rsidR="003C4798" w:rsidRDefault="00417595">
      <w:pPr>
        <w:pStyle w:val="P68B1DB1-Normal87"/>
        <w:spacing w:line="240" w:lineRule="auto"/>
        <w:ind w:left="-15"/>
        <w:textAlignment w:val="baseline"/>
        <w:rPr>
          <w:rFonts w:ascii="Segoe UI" w:hAnsi="Segoe UI" w:cs="Segoe UI"/>
          <w:noProof/>
          <w:sz w:val="18"/>
          <w:szCs w:val="18"/>
        </w:rPr>
      </w:pPr>
      <w:r>
        <w:rPr>
          <w:noProof/>
        </w:rPr>
        <w:t xml:space="preserve">2.2.4. Quatrième tranche (soutien sous forme de prêt): </w:t>
      </w:r>
    </w:p>
    <w:tbl>
      <w:tblPr>
        <w:tblW w:w="96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3402"/>
        <w:gridCol w:w="1276"/>
        <w:gridCol w:w="3724"/>
      </w:tblGrid>
      <w:tr w:rsidR="003C4798" w14:paraId="1216C98B" w14:textId="77777777">
        <w:trPr>
          <w:trHeight w:val="300"/>
          <w:tblHeader/>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BDD6EE"/>
            <w:hideMark/>
          </w:tcPr>
          <w:p w14:paraId="1216C987" w14:textId="54E6DD90" w:rsidR="003C4798" w:rsidRDefault="00417595">
            <w:pPr>
              <w:pStyle w:val="P68B1DB1-Normal87"/>
              <w:spacing w:line="240" w:lineRule="auto"/>
              <w:jc w:val="center"/>
              <w:textAlignment w:val="baseline"/>
              <w:rPr>
                <w:noProof/>
                <w:sz w:val="24"/>
                <w:szCs w:val="24"/>
              </w:rPr>
            </w:pPr>
            <w:r>
              <w:rPr>
                <w:b/>
                <w:noProof/>
              </w:rPr>
              <w:t>Numéro séquentiel</w:t>
            </w:r>
            <w:r>
              <w:rPr>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BDD6EE"/>
            <w:hideMark/>
          </w:tcPr>
          <w:p w14:paraId="1216C988" w14:textId="13184507" w:rsidR="003C4798" w:rsidRDefault="00417595">
            <w:pPr>
              <w:pStyle w:val="P68B1DB1-Normal87"/>
              <w:spacing w:line="240" w:lineRule="auto"/>
              <w:jc w:val="center"/>
              <w:textAlignment w:val="baseline"/>
              <w:rPr>
                <w:noProof/>
                <w:sz w:val="24"/>
                <w:szCs w:val="24"/>
              </w:rPr>
            </w:pPr>
            <w:r>
              <w:rPr>
                <w:b/>
                <w:noProof/>
              </w:rPr>
              <w:t>Mesure connexe (réforme ou investissement)</w:t>
            </w:r>
            <w:r>
              <w:rPr>
                <w:noProof/>
              </w:rPr>
              <w:t xml:space="preserve"> </w:t>
            </w:r>
          </w:p>
        </w:tc>
        <w:tc>
          <w:tcPr>
            <w:tcW w:w="1276" w:type="dxa"/>
            <w:tcBorders>
              <w:top w:val="single" w:sz="6" w:space="0" w:color="000000"/>
              <w:left w:val="single" w:sz="6" w:space="0" w:color="000000"/>
              <w:bottom w:val="single" w:sz="6" w:space="0" w:color="000000"/>
              <w:right w:val="single" w:sz="6" w:space="0" w:color="000000"/>
            </w:tcBorders>
            <w:shd w:val="clear" w:color="auto" w:fill="BDD6EE"/>
            <w:hideMark/>
          </w:tcPr>
          <w:p w14:paraId="1216C989" w14:textId="77777777" w:rsidR="003C4798" w:rsidRDefault="00417595">
            <w:pPr>
              <w:pStyle w:val="P68B1DB1-Normal100"/>
              <w:spacing w:line="240" w:lineRule="auto"/>
              <w:ind w:left="15"/>
              <w:jc w:val="center"/>
              <w:textAlignment w:val="baseline"/>
              <w:rPr>
                <w:noProof/>
                <w:sz w:val="24"/>
                <w:szCs w:val="24"/>
              </w:rPr>
            </w:pPr>
            <w:r>
              <w:rPr>
                <w:noProof/>
              </w:rPr>
              <w:t>Étape/cible</w:t>
            </w:r>
          </w:p>
        </w:tc>
        <w:tc>
          <w:tcPr>
            <w:tcW w:w="3724" w:type="dxa"/>
            <w:tcBorders>
              <w:top w:val="single" w:sz="6" w:space="0" w:color="000000"/>
              <w:left w:val="single" w:sz="6" w:space="0" w:color="000000"/>
              <w:bottom w:val="single" w:sz="6" w:space="0" w:color="000000"/>
              <w:right w:val="single" w:sz="6" w:space="0" w:color="000000"/>
            </w:tcBorders>
            <w:shd w:val="clear" w:color="auto" w:fill="BDD6EE"/>
            <w:hideMark/>
          </w:tcPr>
          <w:p w14:paraId="1216C98A" w14:textId="60C7593E" w:rsidR="003C4798" w:rsidRDefault="00417595">
            <w:pPr>
              <w:pStyle w:val="P68B1DB1-Normal87"/>
              <w:spacing w:line="240" w:lineRule="auto"/>
              <w:jc w:val="center"/>
              <w:textAlignment w:val="baseline"/>
              <w:rPr>
                <w:noProof/>
                <w:sz w:val="24"/>
                <w:szCs w:val="24"/>
              </w:rPr>
            </w:pPr>
            <w:r>
              <w:rPr>
                <w:b/>
                <w:noProof/>
              </w:rPr>
              <w:t>Nom</w:t>
            </w:r>
            <w:r>
              <w:rPr>
                <w:noProof/>
              </w:rPr>
              <w:t xml:space="preserve"> </w:t>
            </w:r>
          </w:p>
        </w:tc>
      </w:tr>
      <w:tr w:rsidR="003C4798" w14:paraId="1216C990"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8C" w14:textId="4C027318" w:rsidR="003C4798" w:rsidRDefault="00417595">
            <w:pPr>
              <w:pStyle w:val="P68B1DB1-Normal87"/>
              <w:spacing w:line="240" w:lineRule="auto"/>
              <w:jc w:val="center"/>
              <w:textAlignment w:val="baseline"/>
              <w:rPr>
                <w:noProof/>
                <w:sz w:val="24"/>
                <w:szCs w:val="24"/>
              </w:rPr>
            </w:pPr>
            <w:r>
              <w:rPr>
                <w:noProof/>
              </w:rPr>
              <w:t xml:space="preserve">B3L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8D" w14:textId="2BFA67B1" w:rsidR="003C4798" w:rsidRDefault="00417595">
            <w:pPr>
              <w:pStyle w:val="P68B1DB1-Normal87"/>
              <w:spacing w:line="240" w:lineRule="auto"/>
              <w:textAlignment w:val="baseline"/>
              <w:rPr>
                <w:noProof/>
                <w:sz w:val="24"/>
                <w:szCs w:val="24"/>
              </w:rPr>
            </w:pPr>
            <w:r>
              <w:rPr>
                <w:noProof/>
              </w:rPr>
              <w:t xml:space="preserve">B1.2.1 Efficacité énergétique et SER dans les entreprises – investissements présentant le potentiel de réduction des gaz à effet de serre le plus élevé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E" w14:textId="77777777" w:rsidR="003C4798" w:rsidRDefault="00417595">
            <w:pPr>
              <w:pStyle w:val="P68B1DB1-Normal87"/>
              <w:spacing w:line="240" w:lineRule="auto"/>
              <w:jc w:val="center"/>
              <w:textAlignment w:val="baseline"/>
              <w:rPr>
                <w:noProof/>
                <w:sz w:val="24"/>
                <w:szCs w:val="24"/>
              </w:rPr>
            </w:pPr>
            <w:r>
              <w:rPr>
                <w:noProof/>
              </w:rPr>
              <w:t>Objectif</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8F" w14:textId="67B351E5" w:rsidR="003C4798" w:rsidRDefault="00417595">
            <w:pPr>
              <w:pStyle w:val="P68B1DB1-Normal87"/>
              <w:spacing w:line="240" w:lineRule="auto"/>
              <w:textAlignment w:val="baseline"/>
              <w:rPr>
                <w:noProof/>
                <w:sz w:val="24"/>
                <w:szCs w:val="24"/>
              </w:rPr>
            </w:pPr>
            <w:r>
              <w:rPr>
                <w:noProof/>
              </w:rPr>
              <w:t>Attribution de tous les contrats pour la mise en œuvre de l'efficacité énergétique et des SER dans les entreprises</w:t>
            </w:r>
          </w:p>
        </w:tc>
      </w:tr>
      <w:tr w:rsidR="003C4798" w14:paraId="1216C995"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1" w14:textId="1C88650A" w:rsidR="003C4798" w:rsidRDefault="00417595">
            <w:pPr>
              <w:pStyle w:val="P68B1DB1-Normal87"/>
              <w:spacing w:line="240" w:lineRule="auto"/>
              <w:jc w:val="center"/>
              <w:textAlignment w:val="baseline"/>
              <w:rPr>
                <w:noProof/>
                <w:sz w:val="24"/>
                <w:szCs w:val="24"/>
              </w:rPr>
            </w:pPr>
            <w:r>
              <w:rPr>
                <w:noProof/>
              </w:rPr>
              <w:t xml:space="preserve">B6L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2" w14:textId="79F86E73" w:rsidR="003C4798" w:rsidRDefault="00417595">
            <w:pPr>
              <w:pStyle w:val="P68B1DB1-Normal87"/>
              <w:spacing w:line="240" w:lineRule="auto"/>
              <w:textAlignment w:val="baseline"/>
              <w:rPr>
                <w:noProof/>
                <w:sz w:val="24"/>
                <w:szCs w:val="24"/>
              </w:rPr>
            </w:pPr>
            <w:r>
              <w:rPr>
                <w:noProof/>
              </w:rPr>
              <w:t xml:space="preserve">B2.3 Soutien aux investissements dans les parcs éoliens en mer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3" w14:textId="77777777" w:rsidR="003C4798" w:rsidRDefault="00417595">
            <w:pPr>
              <w:pStyle w:val="P68B1DB1-Normal87"/>
              <w:spacing w:line="240" w:lineRule="auto"/>
              <w:ind w:left="60"/>
              <w:jc w:val="center"/>
              <w:textAlignment w:val="baseline"/>
              <w:rPr>
                <w:noProof/>
                <w:sz w:val="24"/>
                <w:szCs w:val="24"/>
              </w:rPr>
            </w:pPr>
            <w:r>
              <w:rPr>
                <w:noProof/>
              </w:rPr>
              <w:t>Étape</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4" w14:textId="6559B95F" w:rsidR="003C4798" w:rsidRDefault="00417595">
            <w:pPr>
              <w:pStyle w:val="P68B1DB1-Normal87"/>
              <w:spacing w:line="240" w:lineRule="auto"/>
              <w:textAlignment w:val="baseline"/>
              <w:rPr>
                <w:noProof/>
                <w:sz w:val="24"/>
                <w:szCs w:val="24"/>
              </w:rPr>
            </w:pPr>
            <w:r>
              <w:rPr>
                <w:noProof/>
              </w:rPr>
              <w:t>Entrée en vigueur d’une modification du règlement relatif aux conditions détaillées d’exploitation du réseau électrique, qui modifie les règles nationales d’équilibrage afin de réduire au maximum l’incidence des contraintes d’allocation</w:t>
            </w:r>
          </w:p>
        </w:tc>
      </w:tr>
      <w:tr w:rsidR="003C4798" w14:paraId="1216C99A"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6" w14:textId="504EFFA3" w:rsidR="003C4798" w:rsidRDefault="00417595">
            <w:pPr>
              <w:pStyle w:val="P68B1DB1-Normal87"/>
              <w:spacing w:line="240" w:lineRule="auto"/>
              <w:jc w:val="center"/>
              <w:textAlignment w:val="baseline"/>
              <w:rPr>
                <w:noProof/>
                <w:sz w:val="24"/>
                <w:szCs w:val="24"/>
              </w:rPr>
            </w:pPr>
            <w:r>
              <w:rPr>
                <w:noProof/>
              </w:rPr>
              <w:t xml:space="preserve">B24L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7" w14:textId="20955676" w:rsidR="003C4798" w:rsidRDefault="00417595">
            <w:pPr>
              <w:pStyle w:val="P68B1DB1-Normal87"/>
              <w:spacing w:line="240" w:lineRule="auto"/>
              <w:textAlignment w:val="baseline"/>
              <w:rPr>
                <w:noProof/>
                <w:sz w:val="24"/>
                <w:szCs w:val="24"/>
              </w:rPr>
            </w:pPr>
            <w:r>
              <w:rPr>
                <w:noProof/>
              </w:rPr>
              <w:t xml:space="preserve">B3.4 Cadre propice aux investissements en faveur de la transition écologique dans les zones urbaines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8" w14:textId="77777777" w:rsidR="003C4798" w:rsidRDefault="00417595">
            <w:pPr>
              <w:pStyle w:val="P68B1DB1-Normal87"/>
              <w:spacing w:line="240" w:lineRule="auto"/>
              <w:ind w:left="60"/>
              <w:jc w:val="center"/>
              <w:textAlignment w:val="baseline"/>
              <w:rPr>
                <w:noProof/>
                <w:sz w:val="24"/>
                <w:szCs w:val="24"/>
              </w:rPr>
            </w:pPr>
            <w:r>
              <w:rPr>
                <w:noProof/>
              </w:rPr>
              <w:t>Étape</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9" w14:textId="77777777" w:rsidR="003C4798" w:rsidRDefault="00417595">
            <w:pPr>
              <w:pStyle w:val="P68B1DB1-Normal87"/>
              <w:spacing w:line="240" w:lineRule="auto"/>
              <w:textAlignment w:val="baseline"/>
              <w:rPr>
                <w:noProof/>
                <w:sz w:val="24"/>
                <w:szCs w:val="24"/>
              </w:rPr>
            </w:pPr>
            <w:r>
              <w:rPr>
                <w:noProof/>
              </w:rPr>
              <w:t>Entrée en vigueur d’une loi visant à soutenir la capacité des zones urbaines à investir dans la transition écologique.</w:t>
            </w:r>
          </w:p>
        </w:tc>
      </w:tr>
      <w:tr w:rsidR="003C4798" w14:paraId="1216C99F"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B" w14:textId="77B055AA" w:rsidR="003C4798" w:rsidRDefault="00417595">
            <w:pPr>
              <w:pStyle w:val="P68B1DB1-Normal87"/>
              <w:spacing w:line="240" w:lineRule="auto"/>
              <w:jc w:val="center"/>
              <w:textAlignment w:val="baseline"/>
              <w:rPr>
                <w:noProof/>
                <w:sz w:val="24"/>
                <w:szCs w:val="24"/>
              </w:rPr>
            </w:pPr>
            <w:r>
              <w:rPr>
                <w:noProof/>
              </w:rPr>
              <w:t xml:space="preserve">B38L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C" w14:textId="3E296307" w:rsidR="003C4798" w:rsidRDefault="00417595">
            <w:pPr>
              <w:pStyle w:val="P68B1DB1-Normal87"/>
              <w:spacing w:line="240" w:lineRule="auto"/>
              <w:textAlignment w:val="baseline"/>
              <w:rPr>
                <w:noProof/>
                <w:sz w:val="24"/>
                <w:szCs w:val="24"/>
              </w:rPr>
            </w:pPr>
            <w:r>
              <w:rPr>
                <w:noProof/>
              </w:rPr>
              <w:t>B2.2 Améliorer les conditions de développement des sources d'énergie renouvelables</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D" w14:textId="77777777" w:rsidR="003C4798" w:rsidRDefault="00417595">
            <w:pPr>
              <w:pStyle w:val="P68B1DB1-Normal87"/>
              <w:spacing w:line="240" w:lineRule="auto"/>
              <w:jc w:val="center"/>
              <w:textAlignment w:val="baseline"/>
              <w:rPr>
                <w:noProof/>
                <w:sz w:val="24"/>
                <w:szCs w:val="24"/>
              </w:rPr>
            </w:pPr>
            <w:r>
              <w:rPr>
                <w:noProof/>
              </w:rPr>
              <w:t>Objectif</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E" w14:textId="70D18212" w:rsidR="003C4798" w:rsidRDefault="00417595">
            <w:pPr>
              <w:pStyle w:val="P68B1DB1-Normal87"/>
              <w:spacing w:line="240" w:lineRule="auto"/>
              <w:textAlignment w:val="baseline"/>
              <w:rPr>
                <w:noProof/>
                <w:sz w:val="24"/>
                <w:szCs w:val="24"/>
              </w:rPr>
            </w:pPr>
            <w:r>
              <w:rPr>
                <w:noProof/>
              </w:rPr>
              <w:t>T4 - Capacité installée des installations éoliennes et photovoltaïques terrestres (en GW)</w:t>
            </w:r>
          </w:p>
        </w:tc>
      </w:tr>
      <w:tr w:rsidR="003C4798" w14:paraId="1216C9A4"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A0" w14:textId="7B2E4CA4" w:rsidR="003C4798" w:rsidRDefault="00417595">
            <w:pPr>
              <w:pStyle w:val="P68B1DB1-Normal87"/>
              <w:spacing w:line="240" w:lineRule="auto"/>
              <w:jc w:val="center"/>
              <w:textAlignment w:val="baseline"/>
              <w:rPr>
                <w:noProof/>
                <w:sz w:val="24"/>
                <w:szCs w:val="24"/>
              </w:rPr>
            </w:pPr>
            <w:r>
              <w:rPr>
                <w:noProof/>
              </w:rPr>
              <w:t xml:space="preserve">C3L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A1" w14:textId="54C8E480" w:rsidR="003C4798" w:rsidRDefault="00417595">
            <w:pPr>
              <w:pStyle w:val="P68B1DB1-Normal87"/>
              <w:spacing w:line="240" w:lineRule="auto"/>
              <w:textAlignment w:val="baseline"/>
              <w:rPr>
                <w:noProof/>
                <w:sz w:val="24"/>
                <w:szCs w:val="24"/>
              </w:rPr>
            </w:pPr>
            <w:r>
              <w:rPr>
                <w:noProof/>
              </w:rPr>
              <w:t>C1.2 Accroître le niveau d'accessibilité et d'utilisation des communications câblées et sans fil modernes pour répondre aux besoins sociaux et économiques</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A2" w14:textId="77777777" w:rsidR="003C4798" w:rsidRDefault="00417595">
            <w:pPr>
              <w:pStyle w:val="P68B1DB1-Normal87"/>
              <w:spacing w:line="240" w:lineRule="auto"/>
              <w:ind w:left="75"/>
              <w:jc w:val="center"/>
              <w:textAlignment w:val="baseline"/>
              <w:rPr>
                <w:noProof/>
                <w:sz w:val="24"/>
                <w:szCs w:val="24"/>
              </w:rPr>
            </w:pPr>
            <w:r>
              <w:rPr>
                <w:noProof/>
              </w:rPr>
              <w:t>Étape</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A3" w14:textId="1A8B65EA" w:rsidR="003C4798" w:rsidRDefault="00417595">
            <w:pPr>
              <w:pStyle w:val="P68B1DB1-Normal87"/>
              <w:spacing w:line="240" w:lineRule="auto"/>
              <w:textAlignment w:val="baseline"/>
              <w:rPr>
                <w:noProof/>
                <w:sz w:val="24"/>
                <w:szCs w:val="24"/>
              </w:rPr>
            </w:pPr>
            <w:r>
              <w:rPr>
                <w:noProof/>
              </w:rPr>
              <w:t>Nouvel(s) acte(s) juridique(s) supprimant les principaux obstacles à la mise en œuvre du réseau 5G</w:t>
            </w:r>
          </w:p>
        </w:tc>
      </w:tr>
      <w:tr w:rsidR="003C4798" w14:paraId="1216C9A9"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A5" w14:textId="21EFBCAF" w:rsidR="003C4798" w:rsidRDefault="00417595">
            <w:pPr>
              <w:pStyle w:val="P68B1DB1-Normal87"/>
              <w:spacing w:line="240" w:lineRule="auto"/>
              <w:textAlignment w:val="baseline"/>
              <w:rPr>
                <w:noProof/>
                <w:sz w:val="24"/>
                <w:szCs w:val="24"/>
              </w:rPr>
            </w:pPr>
            <w:r>
              <w:rPr>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A6" w14:textId="264ABAB1" w:rsidR="003C4798" w:rsidRDefault="00417595">
            <w:pPr>
              <w:pStyle w:val="P68B1DB1-Normal87"/>
              <w:spacing w:line="240" w:lineRule="auto"/>
              <w:textAlignment w:val="baseline"/>
              <w:rPr>
                <w:noProof/>
                <w:sz w:val="24"/>
                <w:szCs w:val="24"/>
              </w:rPr>
            </w:pPr>
            <w:r>
              <w:rPr>
                <w:noProof/>
              </w:rPr>
              <w:t xml:space="preserv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A7" w14:textId="77777777" w:rsidR="003C4798" w:rsidRDefault="00417595">
            <w:pPr>
              <w:pStyle w:val="P68B1DB1-Normal87"/>
              <w:spacing w:line="240" w:lineRule="auto"/>
              <w:jc w:val="center"/>
              <w:textAlignment w:val="baseline"/>
              <w:rPr>
                <w:noProof/>
                <w:sz w:val="24"/>
                <w:szCs w:val="24"/>
              </w:rPr>
            </w:pPr>
            <w:r>
              <w:rPr>
                <w:noProof/>
              </w:rPr>
              <w:t>Montant des acomptes provisionnels</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A8" w14:textId="7CB0A027" w:rsidR="003C4798" w:rsidRDefault="00417595">
            <w:pPr>
              <w:pStyle w:val="P68B1DB1-Normal87"/>
              <w:spacing w:line="240" w:lineRule="auto"/>
              <w:textAlignment w:val="baseline"/>
              <w:rPr>
                <w:noProof/>
                <w:sz w:val="24"/>
                <w:szCs w:val="24"/>
              </w:rPr>
            </w:pPr>
            <w:r>
              <w:rPr>
                <w:noProof/>
              </w:rPr>
              <w:t>1 313 079 799 EUR</w:t>
            </w:r>
          </w:p>
        </w:tc>
      </w:tr>
    </w:tbl>
    <w:p w14:paraId="19095F63" w14:textId="4D3A5ED3" w:rsidR="003C4798" w:rsidRDefault="00417595">
      <w:pPr>
        <w:pStyle w:val="P68B1DB1-Normal87"/>
        <w:spacing w:line="240" w:lineRule="auto"/>
        <w:textAlignment w:val="baseline"/>
        <w:rPr>
          <w:noProof/>
        </w:rPr>
      </w:pPr>
      <w:r>
        <w:rPr>
          <w:noProof/>
        </w:rPr>
        <w:t xml:space="preserve"> </w:t>
      </w:r>
    </w:p>
    <w:p w14:paraId="1216C9AB" w14:textId="530B3A01" w:rsidR="003C4798" w:rsidRDefault="00417595">
      <w:pPr>
        <w:pStyle w:val="P68B1DB1-Normal87"/>
        <w:spacing w:line="240" w:lineRule="auto"/>
        <w:textAlignment w:val="baseline"/>
        <w:rPr>
          <w:rFonts w:ascii="Segoe UI" w:hAnsi="Segoe UI" w:cs="Segoe UI"/>
          <w:noProof/>
          <w:sz w:val="18"/>
          <w:szCs w:val="18"/>
        </w:rPr>
      </w:pPr>
      <w:r>
        <w:rPr>
          <w:noProof/>
        </w:rPr>
        <w:t>2.2.5. Cinquième tranche (soutien sous forme de prêt):</w:t>
      </w:r>
    </w:p>
    <w:tbl>
      <w:tblPr>
        <w:tblW w:w="963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4"/>
        <w:gridCol w:w="3544"/>
        <w:gridCol w:w="1276"/>
        <w:gridCol w:w="3685"/>
      </w:tblGrid>
      <w:tr w:rsidR="003C4798" w14:paraId="1216C9B0" w14:textId="77777777">
        <w:trPr>
          <w:trHeight w:val="300"/>
          <w:tblHeader/>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BDD6EE"/>
            <w:hideMark/>
          </w:tcPr>
          <w:p w14:paraId="1216C9AC" w14:textId="3E911D51" w:rsidR="003C4798" w:rsidRDefault="00417595">
            <w:pPr>
              <w:pStyle w:val="P68B1DB1-Normal87"/>
              <w:spacing w:line="240" w:lineRule="auto"/>
              <w:jc w:val="center"/>
              <w:textAlignment w:val="baseline"/>
              <w:rPr>
                <w:noProof/>
                <w:sz w:val="24"/>
                <w:szCs w:val="24"/>
              </w:rPr>
            </w:pPr>
            <w:r>
              <w:rPr>
                <w:b/>
                <w:noProof/>
              </w:rPr>
              <w:t>Numéro séquentiel</w:t>
            </w:r>
            <w:r>
              <w:rPr>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BDD6EE"/>
            <w:hideMark/>
          </w:tcPr>
          <w:p w14:paraId="1216C9AD" w14:textId="0DAA3509" w:rsidR="003C4798" w:rsidRDefault="00417595">
            <w:pPr>
              <w:pStyle w:val="P68B1DB1-Normal87"/>
              <w:spacing w:line="240" w:lineRule="auto"/>
              <w:jc w:val="center"/>
              <w:textAlignment w:val="baseline"/>
              <w:rPr>
                <w:noProof/>
                <w:sz w:val="24"/>
                <w:szCs w:val="24"/>
              </w:rPr>
            </w:pPr>
            <w:r>
              <w:rPr>
                <w:b/>
                <w:noProof/>
              </w:rPr>
              <w:t>Mesure connexe (réforme ou investissement)</w:t>
            </w:r>
            <w:r>
              <w:rPr>
                <w:noProof/>
              </w:rPr>
              <w:t xml:space="preserve"> </w:t>
            </w:r>
          </w:p>
        </w:tc>
        <w:tc>
          <w:tcPr>
            <w:tcW w:w="1276" w:type="dxa"/>
            <w:tcBorders>
              <w:top w:val="single" w:sz="6" w:space="0" w:color="000000"/>
              <w:left w:val="single" w:sz="6" w:space="0" w:color="000000"/>
              <w:bottom w:val="single" w:sz="6" w:space="0" w:color="000000"/>
              <w:right w:val="single" w:sz="6" w:space="0" w:color="000000"/>
            </w:tcBorders>
            <w:shd w:val="clear" w:color="auto" w:fill="BDD6EE"/>
            <w:hideMark/>
          </w:tcPr>
          <w:p w14:paraId="1216C9AE" w14:textId="77777777" w:rsidR="003C4798" w:rsidRDefault="00417595">
            <w:pPr>
              <w:pStyle w:val="P68B1DB1-Normal100"/>
              <w:spacing w:line="240" w:lineRule="auto"/>
              <w:ind w:left="15"/>
              <w:jc w:val="center"/>
              <w:textAlignment w:val="baseline"/>
              <w:rPr>
                <w:noProof/>
                <w:sz w:val="24"/>
                <w:szCs w:val="24"/>
              </w:rPr>
            </w:pPr>
            <w:r>
              <w:rPr>
                <w:noProof/>
              </w:rPr>
              <w:t>Étape/cible</w:t>
            </w:r>
          </w:p>
        </w:tc>
        <w:tc>
          <w:tcPr>
            <w:tcW w:w="3685" w:type="dxa"/>
            <w:tcBorders>
              <w:top w:val="single" w:sz="6" w:space="0" w:color="000000"/>
              <w:left w:val="single" w:sz="6" w:space="0" w:color="000000"/>
              <w:bottom w:val="single" w:sz="6" w:space="0" w:color="000000"/>
              <w:right w:val="single" w:sz="6" w:space="0" w:color="000000"/>
            </w:tcBorders>
            <w:shd w:val="clear" w:color="auto" w:fill="BDD6EE"/>
            <w:hideMark/>
          </w:tcPr>
          <w:p w14:paraId="1216C9AF" w14:textId="72FBB3A0" w:rsidR="003C4798" w:rsidRDefault="00417595">
            <w:pPr>
              <w:pStyle w:val="P68B1DB1-Normal87"/>
              <w:spacing w:line="240" w:lineRule="auto"/>
              <w:jc w:val="center"/>
              <w:textAlignment w:val="baseline"/>
              <w:rPr>
                <w:noProof/>
                <w:sz w:val="24"/>
                <w:szCs w:val="24"/>
              </w:rPr>
            </w:pPr>
            <w:r>
              <w:rPr>
                <w:b/>
                <w:noProof/>
              </w:rPr>
              <w:t>Nom</w:t>
            </w:r>
            <w:r>
              <w:rPr>
                <w:noProof/>
              </w:rPr>
              <w:t xml:space="preserve"> </w:t>
            </w:r>
          </w:p>
        </w:tc>
      </w:tr>
      <w:tr w:rsidR="003C4798" w14:paraId="1216C9B5"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1" w14:textId="1C0EC967" w:rsidR="003C4798" w:rsidRDefault="00417595">
            <w:pPr>
              <w:pStyle w:val="P68B1DB1-Normal87"/>
              <w:spacing w:line="240" w:lineRule="auto"/>
              <w:ind w:right="15"/>
              <w:jc w:val="center"/>
              <w:textAlignment w:val="baseline"/>
              <w:rPr>
                <w:noProof/>
                <w:sz w:val="24"/>
                <w:szCs w:val="24"/>
              </w:rPr>
            </w:pPr>
            <w:r>
              <w:rPr>
                <w:noProof/>
              </w:rPr>
              <w:t xml:space="preserve">B4L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2" w14:textId="353B046F" w:rsidR="003C4798" w:rsidRDefault="00417595">
            <w:pPr>
              <w:pStyle w:val="P68B1DB1-Normal87"/>
              <w:spacing w:line="240" w:lineRule="auto"/>
              <w:textAlignment w:val="baseline"/>
              <w:rPr>
                <w:noProof/>
                <w:sz w:val="24"/>
                <w:szCs w:val="24"/>
              </w:rPr>
            </w:pPr>
            <w:r>
              <w:rPr>
                <w:noProof/>
              </w:rPr>
              <w:t>B2.3 Soutien aux investissements dans les parcs éoliens en mer</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3" w14:textId="77777777" w:rsidR="003C4798" w:rsidRDefault="00417595">
            <w:pPr>
              <w:pStyle w:val="P68B1DB1-Normal87"/>
              <w:spacing w:line="240" w:lineRule="auto"/>
              <w:ind w:left="60"/>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4" w14:textId="39F2DDFD" w:rsidR="003C4798" w:rsidRDefault="00417595">
            <w:pPr>
              <w:pStyle w:val="P68B1DB1-Normal87"/>
              <w:spacing w:line="240" w:lineRule="auto"/>
              <w:textAlignment w:val="baseline"/>
              <w:rPr>
                <w:noProof/>
                <w:sz w:val="24"/>
                <w:szCs w:val="24"/>
              </w:rPr>
            </w:pPr>
            <w:r>
              <w:rPr>
                <w:noProof/>
              </w:rPr>
              <w:t>Entrée en vigueur des règlements d'application découlant de la loi sur la promotion de la production d'électricité dans les parcs éoliens en mer</w:t>
            </w:r>
          </w:p>
        </w:tc>
      </w:tr>
      <w:tr w:rsidR="003C4798" w14:paraId="1216C9BA"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6" w14:textId="21F7A81E" w:rsidR="003C4798" w:rsidRDefault="00417595">
            <w:pPr>
              <w:pStyle w:val="P68B1DB1-Normal87"/>
              <w:spacing w:line="240" w:lineRule="auto"/>
              <w:ind w:right="15"/>
              <w:jc w:val="center"/>
              <w:textAlignment w:val="baseline"/>
              <w:rPr>
                <w:noProof/>
                <w:sz w:val="24"/>
                <w:szCs w:val="24"/>
              </w:rPr>
            </w:pPr>
            <w:r>
              <w:rPr>
                <w:noProof/>
              </w:rPr>
              <w:t xml:space="preserve">C15L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7" w14:textId="3425E1C7" w:rsidR="003C4798" w:rsidRDefault="00417595">
            <w:pPr>
              <w:pStyle w:val="P68B1DB1-Normal87"/>
              <w:spacing w:line="240" w:lineRule="auto"/>
              <w:textAlignment w:val="baseline"/>
              <w:rPr>
                <w:noProof/>
                <w:sz w:val="24"/>
                <w:szCs w:val="24"/>
              </w:rPr>
            </w:pPr>
            <w:r>
              <w:rPr>
                <w:noProof/>
              </w:rPr>
              <w:t>C4.1.1 Prise en charge de la transformation numérique avancée</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8" w14:textId="77777777" w:rsidR="003C4798" w:rsidRDefault="00417595">
            <w:pPr>
              <w:pStyle w:val="P68B1DB1-Normal87"/>
              <w:spacing w:line="240" w:lineRule="auto"/>
              <w:ind w:left="60"/>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9" w14:textId="1673B4D9" w:rsidR="003C4798" w:rsidRDefault="00417595">
            <w:pPr>
              <w:pStyle w:val="P68B1DB1-Normal87"/>
              <w:spacing w:line="240" w:lineRule="auto"/>
              <w:textAlignment w:val="baseline"/>
              <w:rPr>
                <w:noProof/>
                <w:sz w:val="24"/>
                <w:szCs w:val="24"/>
              </w:rPr>
            </w:pPr>
            <w:r>
              <w:rPr>
                <w:noProof/>
              </w:rPr>
              <w:t>Guide de la transformation numérique des entrepreneurs utilisant le cloud computing</w:t>
            </w:r>
          </w:p>
        </w:tc>
      </w:tr>
      <w:tr w:rsidR="003C4798" w14:paraId="1216C9BF"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B" w14:textId="24EE9C99" w:rsidR="003C4798" w:rsidRDefault="00417595">
            <w:pPr>
              <w:pStyle w:val="P68B1DB1-Normal87"/>
              <w:spacing w:line="240" w:lineRule="auto"/>
              <w:ind w:right="30"/>
              <w:jc w:val="center"/>
              <w:textAlignment w:val="baseline"/>
              <w:rPr>
                <w:noProof/>
                <w:sz w:val="24"/>
                <w:szCs w:val="24"/>
              </w:rPr>
            </w:pPr>
            <w:r>
              <w:rPr>
                <w:noProof/>
              </w:rPr>
              <w:t xml:space="preserve">E1L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C" w14:textId="1AB3F5EE" w:rsidR="003C4798" w:rsidRDefault="00417595">
            <w:pPr>
              <w:pStyle w:val="P68B1DB1-Normal87"/>
              <w:spacing w:line="240" w:lineRule="auto"/>
              <w:textAlignment w:val="baseline"/>
              <w:rPr>
                <w:noProof/>
                <w:sz w:val="24"/>
                <w:szCs w:val="24"/>
              </w:rPr>
            </w:pPr>
            <w:r>
              <w:rPr>
                <w:noProof/>
              </w:rPr>
              <w:t>E1.2 Accroître la part des transports à émissions nulles et faibles, prévenir et réduire l'impact négatif des transports sur l'environnement</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D" w14:textId="77777777" w:rsidR="003C4798" w:rsidRDefault="00417595">
            <w:pPr>
              <w:pStyle w:val="P68B1DB1-Normal87"/>
              <w:spacing w:line="240" w:lineRule="auto"/>
              <w:ind w:left="75"/>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E" w14:textId="6FED957D" w:rsidR="003C4798" w:rsidRDefault="00417595">
            <w:pPr>
              <w:pStyle w:val="P68B1DB1-Normal87"/>
              <w:spacing w:line="240" w:lineRule="auto"/>
              <w:textAlignment w:val="baseline"/>
              <w:rPr>
                <w:noProof/>
                <w:sz w:val="24"/>
                <w:szCs w:val="24"/>
              </w:rPr>
            </w:pPr>
            <w:r>
              <w:rPr>
                <w:noProof/>
              </w:rPr>
              <w:t>Entrée en vigueur d’un acte juridique introduisant l’obligation de zones à faibles émissions pour certaines villes les plus polluées</w:t>
            </w:r>
          </w:p>
        </w:tc>
      </w:tr>
      <w:tr w:rsidR="003C4798" w14:paraId="1216C9C4"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0" w14:textId="73745E6C" w:rsidR="003C4798" w:rsidRDefault="00417595">
            <w:pPr>
              <w:pStyle w:val="P68B1DB1-Normal87"/>
              <w:spacing w:line="240" w:lineRule="auto"/>
              <w:ind w:right="30"/>
              <w:jc w:val="center"/>
              <w:textAlignment w:val="baseline"/>
              <w:rPr>
                <w:noProof/>
                <w:sz w:val="24"/>
                <w:szCs w:val="24"/>
              </w:rPr>
            </w:pPr>
            <w:r>
              <w:rPr>
                <w:noProof/>
              </w:rPr>
              <w:t xml:space="preserve">E6L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1" w14:textId="04EE5E91" w:rsidR="003C4798" w:rsidRDefault="00417595">
            <w:pPr>
              <w:pStyle w:val="P68B1DB1-Normal87"/>
              <w:spacing w:line="240" w:lineRule="auto"/>
              <w:textAlignment w:val="baseline"/>
              <w:rPr>
                <w:noProof/>
                <w:sz w:val="24"/>
                <w:szCs w:val="24"/>
              </w:rPr>
            </w:pPr>
            <w:r>
              <w:rPr>
                <w:noProof/>
              </w:rPr>
              <w:t>E2.3 Améliorer l’accessibilité des transports, la sécurité et les solutions numériques</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2" w14:textId="77777777" w:rsidR="003C4798" w:rsidRDefault="00417595">
            <w:pPr>
              <w:pStyle w:val="P68B1DB1-Normal87"/>
              <w:spacing w:line="240" w:lineRule="auto"/>
              <w:ind w:left="75"/>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3" w14:textId="088CC025" w:rsidR="003C4798" w:rsidRDefault="00417595">
            <w:pPr>
              <w:pStyle w:val="P68B1DB1-Normal87"/>
              <w:spacing w:line="240" w:lineRule="auto"/>
              <w:textAlignment w:val="baseline"/>
              <w:rPr>
                <w:noProof/>
                <w:sz w:val="24"/>
                <w:szCs w:val="24"/>
              </w:rPr>
            </w:pPr>
            <w:r>
              <w:rPr>
                <w:noProof/>
              </w:rPr>
              <w:t>Obligation de mettre à niveau le matériel roulant national et international avec des exigences pour les passagers handicapés</w:t>
            </w:r>
          </w:p>
        </w:tc>
      </w:tr>
      <w:tr w:rsidR="003C4798" w14:paraId="1216C9C9" w14:textId="77777777">
        <w:trPr>
          <w:trHeight w:val="405"/>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5" w14:textId="7963082E" w:rsidR="003C4798" w:rsidRDefault="00417595">
            <w:pPr>
              <w:pStyle w:val="P68B1DB1-Normal87"/>
              <w:spacing w:line="240" w:lineRule="auto"/>
              <w:ind w:right="30"/>
              <w:jc w:val="center"/>
              <w:textAlignment w:val="baseline"/>
              <w:rPr>
                <w:noProof/>
                <w:sz w:val="24"/>
                <w:szCs w:val="24"/>
              </w:rPr>
            </w:pPr>
            <w:r>
              <w:rPr>
                <w:noProof/>
              </w:rPr>
              <w:t xml:space="preserve">G6L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6" w14:textId="77777777" w:rsidR="003C4798" w:rsidRDefault="00417595">
            <w:pPr>
              <w:pStyle w:val="P68B1DB1-Normal87"/>
              <w:spacing w:line="240" w:lineRule="auto"/>
              <w:textAlignment w:val="baseline"/>
              <w:rPr>
                <w:noProof/>
                <w:sz w:val="24"/>
                <w:szCs w:val="24"/>
              </w:rPr>
            </w:pPr>
            <w:r>
              <w:rPr>
                <w:noProof/>
              </w:rPr>
              <w:t>G3.1.1 Rationalisation du processus d'octroi de permis pour les sources d'énergie renouvelables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7" w14:textId="77777777" w:rsidR="003C4798" w:rsidRDefault="00417595">
            <w:pPr>
              <w:pStyle w:val="P68B1DB1-Normal87"/>
              <w:spacing w:line="240" w:lineRule="auto"/>
              <w:ind w:right="30"/>
              <w:jc w:val="center"/>
              <w:textAlignment w:val="baseline"/>
              <w:rPr>
                <w:noProof/>
                <w:sz w:val="24"/>
                <w:szCs w:val="24"/>
              </w:rPr>
            </w:pPr>
            <w:r>
              <w:rPr>
                <w:noProof/>
              </w:rPr>
              <w:t>Objectif</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8" w14:textId="47AE8F81" w:rsidR="003C4798" w:rsidRDefault="00417595">
            <w:pPr>
              <w:pStyle w:val="P68B1DB1-Normal87"/>
              <w:spacing w:line="240" w:lineRule="auto"/>
              <w:textAlignment w:val="baseline"/>
              <w:rPr>
                <w:noProof/>
                <w:sz w:val="24"/>
                <w:szCs w:val="24"/>
              </w:rPr>
            </w:pPr>
            <w:r>
              <w:rPr>
                <w:noProof/>
              </w:rPr>
              <w:t>Capacité installée des installations éoliennes et photovoltaïques terrestres (en GW)</w:t>
            </w:r>
          </w:p>
        </w:tc>
      </w:tr>
      <w:tr w:rsidR="003C4798" w14:paraId="1216C9CE" w14:textId="77777777">
        <w:trPr>
          <w:trHeight w:val="4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A" w14:textId="76B6F618" w:rsidR="003C4798" w:rsidRDefault="00417595">
            <w:pPr>
              <w:pStyle w:val="P68B1DB1-Normal87"/>
              <w:spacing w:line="240" w:lineRule="auto"/>
              <w:ind w:right="30"/>
              <w:jc w:val="center"/>
              <w:textAlignment w:val="baseline"/>
              <w:rPr>
                <w:noProof/>
                <w:sz w:val="24"/>
                <w:szCs w:val="24"/>
              </w:rPr>
            </w:pPr>
            <w:r>
              <w:rPr>
                <w:noProof/>
              </w:rPr>
              <w:t xml:space="preserve">G7L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B" w14:textId="43FE2BCA" w:rsidR="003C4798" w:rsidRDefault="00417595">
            <w:pPr>
              <w:pStyle w:val="P68B1DB1-Normal87"/>
              <w:spacing w:line="240" w:lineRule="auto"/>
              <w:textAlignment w:val="baseline"/>
              <w:rPr>
                <w:noProof/>
                <w:sz w:val="24"/>
                <w:szCs w:val="24"/>
              </w:rPr>
            </w:pPr>
            <w:r>
              <w:rPr>
                <w:noProof/>
              </w:rPr>
              <w:t>G3.1.1 Rationalisation du processus d'octroi de permis pour les sources d'énergie renouvelables</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C" w14:textId="77777777" w:rsidR="003C4798" w:rsidRDefault="00417595">
            <w:pPr>
              <w:pStyle w:val="P68B1DB1-Normal87"/>
              <w:spacing w:line="240" w:lineRule="auto"/>
              <w:ind w:right="30"/>
              <w:jc w:val="center"/>
              <w:textAlignment w:val="baseline"/>
              <w:rPr>
                <w:noProof/>
                <w:sz w:val="24"/>
                <w:szCs w:val="24"/>
              </w:rPr>
            </w:pPr>
            <w:r>
              <w:rPr>
                <w:noProof/>
              </w:rPr>
              <w:t>Objectif</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D" w14:textId="0EC435DD" w:rsidR="003C4798" w:rsidRDefault="00417595">
            <w:pPr>
              <w:pStyle w:val="P68B1DB1-Normal87"/>
              <w:spacing w:line="240" w:lineRule="auto"/>
              <w:textAlignment w:val="baseline"/>
              <w:rPr>
                <w:noProof/>
                <w:sz w:val="24"/>
                <w:szCs w:val="24"/>
              </w:rPr>
            </w:pPr>
            <w:r>
              <w:rPr>
                <w:noProof/>
              </w:rPr>
              <w:t>Capacité installée des installations éoliennes et photovoltaïques terrestres (en GW)</w:t>
            </w:r>
          </w:p>
        </w:tc>
      </w:tr>
      <w:tr w:rsidR="003C4798" w14:paraId="1216C9D3"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F" w14:textId="27CB1A96" w:rsidR="003C4798" w:rsidRDefault="00417595">
            <w:pPr>
              <w:pStyle w:val="P68B1DB1-Normal87"/>
              <w:spacing w:line="240" w:lineRule="auto"/>
              <w:ind w:right="30"/>
              <w:jc w:val="center"/>
              <w:textAlignment w:val="baseline"/>
              <w:rPr>
                <w:noProof/>
                <w:sz w:val="24"/>
                <w:szCs w:val="24"/>
              </w:rPr>
            </w:pPr>
            <w:r>
              <w:rPr>
                <w:noProof/>
              </w:rPr>
              <w:t xml:space="preserve">G12L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0" w14:textId="08E2CAAA" w:rsidR="003C4798" w:rsidRDefault="00417595">
            <w:pPr>
              <w:pStyle w:val="P68B1DB1-Normal87"/>
              <w:spacing w:line="240" w:lineRule="auto"/>
              <w:textAlignment w:val="baseline"/>
              <w:rPr>
                <w:noProof/>
                <w:sz w:val="24"/>
                <w:szCs w:val="24"/>
              </w:rPr>
            </w:pPr>
            <w:r>
              <w:rPr>
                <w:noProof/>
              </w:rPr>
              <w:t>G3.1.4 Soutien au système énergétique national (Fonds de soutien à l'énergie)</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1" w14:textId="77777777" w:rsidR="003C4798" w:rsidRDefault="00417595">
            <w:pPr>
              <w:pStyle w:val="P68B1DB1-Normal87"/>
              <w:spacing w:line="240" w:lineRule="auto"/>
              <w:ind w:left="75"/>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2" w14:textId="18530547" w:rsidR="003C4798" w:rsidRDefault="00417595">
            <w:pPr>
              <w:pStyle w:val="P68B1DB1-Normal87"/>
              <w:spacing w:line="240" w:lineRule="auto"/>
              <w:textAlignment w:val="baseline"/>
              <w:rPr>
                <w:noProof/>
                <w:sz w:val="24"/>
                <w:szCs w:val="24"/>
              </w:rPr>
            </w:pPr>
            <w:r>
              <w:rPr>
                <w:noProof/>
              </w:rPr>
              <w:t>Accord de mise en œuvre</w:t>
            </w:r>
          </w:p>
        </w:tc>
      </w:tr>
      <w:tr w:rsidR="003C4798" w14:paraId="1216C9D8"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4" w14:textId="21B1D777" w:rsidR="003C4798" w:rsidRDefault="00417595">
            <w:pPr>
              <w:pStyle w:val="P68B1DB1-Normal87"/>
              <w:spacing w:line="240" w:lineRule="auto"/>
              <w:jc w:val="center"/>
              <w:textAlignment w:val="baseline"/>
              <w:rPr>
                <w:noProof/>
                <w:sz w:val="24"/>
                <w:szCs w:val="24"/>
              </w:rPr>
            </w:pPr>
            <w:r>
              <w:rPr>
                <w:noProof/>
              </w:rPr>
              <w:t xml:space="preserve">G16L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5" w14:textId="7F858CE8" w:rsidR="003C4798" w:rsidRDefault="00417595">
            <w:pPr>
              <w:pStyle w:val="P68B1DB1-Normal87"/>
              <w:spacing w:line="240" w:lineRule="auto"/>
              <w:textAlignment w:val="baseline"/>
              <w:rPr>
                <w:noProof/>
                <w:sz w:val="24"/>
                <w:szCs w:val="24"/>
              </w:rPr>
            </w:pPr>
            <w:r>
              <w:rPr>
                <w:noProof/>
              </w:rPr>
              <w:t>G3.1.5 Construction de parcs éoliens en mer (Fonds pour l'énergie éolienne en mer)</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6" w14:textId="77777777" w:rsidR="003C4798" w:rsidRDefault="00417595">
            <w:pPr>
              <w:pStyle w:val="P68B1DB1-Normal87"/>
              <w:spacing w:line="240" w:lineRule="auto"/>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7" w14:textId="417BA67A" w:rsidR="003C4798" w:rsidRDefault="00417595">
            <w:pPr>
              <w:pStyle w:val="P68B1DB1-Normal87"/>
              <w:spacing w:line="240" w:lineRule="auto"/>
              <w:textAlignment w:val="baseline"/>
              <w:rPr>
                <w:noProof/>
                <w:sz w:val="24"/>
                <w:szCs w:val="24"/>
              </w:rPr>
            </w:pPr>
            <w:r>
              <w:rPr>
                <w:noProof/>
              </w:rPr>
              <w:t>Accord de mise en œuvre</w:t>
            </w:r>
          </w:p>
        </w:tc>
      </w:tr>
      <w:tr w:rsidR="003C4798" w14:paraId="1216C9DD"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9" w14:textId="5BCDC5FD" w:rsidR="003C4798" w:rsidRDefault="00417595">
            <w:pPr>
              <w:pStyle w:val="P68B1DB1-Normal87"/>
              <w:spacing w:line="240" w:lineRule="auto"/>
              <w:ind w:right="30"/>
              <w:jc w:val="center"/>
              <w:textAlignment w:val="baseline"/>
              <w:rPr>
                <w:noProof/>
                <w:sz w:val="24"/>
                <w:szCs w:val="24"/>
              </w:rPr>
            </w:pPr>
            <w:r>
              <w:rPr>
                <w:noProof/>
              </w:rPr>
              <w:t xml:space="preserve">G20L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A" w14:textId="56E3D5A7" w:rsidR="003C4798" w:rsidRDefault="00417595">
            <w:pPr>
              <w:pStyle w:val="P68B1DB1-Normal87"/>
              <w:spacing w:line="240" w:lineRule="auto"/>
              <w:textAlignment w:val="baseline"/>
              <w:rPr>
                <w:noProof/>
                <w:sz w:val="24"/>
                <w:szCs w:val="24"/>
              </w:rPr>
            </w:pPr>
            <w:r>
              <w:rPr>
                <w:noProof/>
              </w:rPr>
              <w:t>G3.2.1 Construction d'infrastructures de gaz naturel pour assurer la sécurité énergétique</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B" w14:textId="77777777" w:rsidR="003C4798" w:rsidRDefault="00417595">
            <w:pPr>
              <w:pStyle w:val="P68B1DB1-Normal87"/>
              <w:spacing w:line="240" w:lineRule="auto"/>
              <w:ind w:left="60"/>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C" w14:textId="3FAE7C73" w:rsidR="003C4798" w:rsidRDefault="00417595">
            <w:pPr>
              <w:pStyle w:val="P68B1DB1-Normal87"/>
              <w:spacing w:line="240" w:lineRule="auto"/>
              <w:textAlignment w:val="baseline"/>
              <w:rPr>
                <w:noProof/>
                <w:sz w:val="24"/>
                <w:szCs w:val="24"/>
              </w:rPr>
            </w:pPr>
            <w:r>
              <w:rPr>
                <w:noProof/>
              </w:rPr>
              <w:t>Livraison des permis de construire</w:t>
            </w:r>
          </w:p>
        </w:tc>
      </w:tr>
      <w:tr w:rsidR="003C4798" w14:paraId="1216C9E2"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E" w14:textId="31C9B535" w:rsidR="003C4798" w:rsidRDefault="00417595">
            <w:pPr>
              <w:pStyle w:val="P68B1DB1-Normal87"/>
              <w:spacing w:line="240" w:lineRule="auto"/>
              <w:ind w:right="30"/>
              <w:jc w:val="center"/>
              <w:textAlignment w:val="baseline"/>
              <w:rPr>
                <w:noProof/>
                <w:sz w:val="24"/>
                <w:szCs w:val="24"/>
              </w:rPr>
            </w:pPr>
            <w:r>
              <w:rPr>
                <w:noProof/>
              </w:rPr>
              <w:t xml:space="preserve">G21L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F" w14:textId="7298C39D" w:rsidR="003C4798" w:rsidRDefault="00417595">
            <w:pPr>
              <w:pStyle w:val="P68B1DB1-Normal87"/>
              <w:spacing w:line="240" w:lineRule="auto"/>
              <w:textAlignment w:val="baseline"/>
              <w:rPr>
                <w:noProof/>
                <w:sz w:val="24"/>
                <w:szCs w:val="24"/>
              </w:rPr>
            </w:pPr>
            <w:r>
              <w:rPr>
                <w:noProof/>
              </w:rPr>
              <w:t> G3.2.1 Construction d'infrastructures de gaz naturel pour assurer la sécurité énergétique</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E0" w14:textId="77777777" w:rsidR="003C4798" w:rsidRDefault="00417595">
            <w:pPr>
              <w:pStyle w:val="P68B1DB1-Normal87"/>
              <w:spacing w:line="240" w:lineRule="auto"/>
              <w:ind w:left="60"/>
              <w:jc w:val="center"/>
              <w:textAlignment w:val="baseline"/>
              <w:rPr>
                <w:noProof/>
                <w:sz w:val="24"/>
                <w:szCs w:val="24"/>
              </w:rPr>
            </w:pPr>
            <w:r>
              <w:rPr>
                <w:noProof/>
              </w:rPr>
              <w:t>Étape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E1" w14:textId="23E9115C" w:rsidR="003C4798" w:rsidRDefault="00417595">
            <w:pPr>
              <w:pStyle w:val="P68B1DB1-Normal87"/>
              <w:spacing w:line="240" w:lineRule="auto"/>
              <w:textAlignment w:val="baseline"/>
              <w:rPr>
                <w:noProof/>
                <w:sz w:val="24"/>
                <w:szCs w:val="24"/>
              </w:rPr>
            </w:pPr>
            <w:r>
              <w:rPr>
                <w:noProof/>
              </w:rPr>
              <w:t>Sélection du ou des contractants</w:t>
            </w:r>
          </w:p>
        </w:tc>
      </w:tr>
      <w:tr w:rsidR="003C4798" w14:paraId="1216C9E7" w14:textId="77777777">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E3" w14:textId="5A150F89" w:rsidR="003C4798" w:rsidRDefault="00417595">
            <w:pPr>
              <w:pStyle w:val="P68B1DB1-Normal87"/>
              <w:spacing w:line="240" w:lineRule="auto"/>
              <w:textAlignment w:val="baseline"/>
              <w:rPr>
                <w:noProof/>
                <w:sz w:val="24"/>
                <w:szCs w:val="24"/>
              </w:rPr>
            </w:pPr>
            <w:r>
              <w:rPr>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E4" w14:textId="699565BA" w:rsidR="003C4798" w:rsidRDefault="003C4798">
            <w:pPr>
              <w:spacing w:line="240" w:lineRule="auto"/>
              <w:textAlignment w:val="baseline"/>
              <w:rPr>
                <w:rFonts w:ascii="Times New Roman" w:eastAsia="Times New Roman" w:hAnsi="Times New Roman" w:cs="Times New Roman"/>
                <w:noProof/>
                <w:sz w:val="24"/>
                <w:szCs w:val="24"/>
              </w:rPr>
            </w:pP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E5" w14:textId="77777777" w:rsidR="003C4798" w:rsidRDefault="00417595">
            <w:pPr>
              <w:pStyle w:val="P68B1DB1-Normal87"/>
              <w:spacing w:line="240" w:lineRule="auto"/>
              <w:jc w:val="center"/>
              <w:textAlignment w:val="baseline"/>
              <w:rPr>
                <w:noProof/>
                <w:sz w:val="24"/>
                <w:szCs w:val="24"/>
              </w:rPr>
            </w:pPr>
            <w:r>
              <w:rPr>
                <w:noProof/>
              </w:rPr>
              <w:t>Montant des acomptes provisionnels</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E6" w14:textId="7F3C3C69" w:rsidR="003C4798" w:rsidRDefault="00417595">
            <w:pPr>
              <w:pStyle w:val="P68B1DB1-Normal87"/>
              <w:spacing w:line="240" w:lineRule="auto"/>
              <w:textAlignment w:val="baseline"/>
              <w:rPr>
                <w:noProof/>
              </w:rPr>
            </w:pPr>
            <w:r>
              <w:rPr>
                <w:noProof/>
              </w:rPr>
              <w:t>3 229 285 224 EUR</w:t>
            </w:r>
          </w:p>
        </w:tc>
      </w:tr>
    </w:tbl>
    <w:p w14:paraId="1216C9E9" w14:textId="57B06D8F" w:rsidR="003C4798" w:rsidRDefault="00417595">
      <w:pPr>
        <w:pStyle w:val="P68B1DB1-Normal85"/>
        <w:spacing w:line="240" w:lineRule="auto"/>
        <w:textAlignment w:val="baseline"/>
        <w:rPr>
          <w:rFonts w:ascii="Segoe UI" w:eastAsia="Times New Roman" w:hAnsi="Segoe UI" w:cs="Segoe UI"/>
          <w:noProof/>
          <w:sz w:val="18"/>
          <w:szCs w:val="18"/>
        </w:rPr>
      </w:pPr>
      <w:r>
        <w:rPr>
          <w:noProof/>
        </w:rPr>
        <w:t xml:space="preserve">2.2.6. Sixième tranche (soutien remboursable): </w:t>
      </w:r>
    </w:p>
    <w:tbl>
      <w:tblPr>
        <w:tblW w:w="94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134"/>
        <w:gridCol w:w="3402"/>
        <w:gridCol w:w="1276"/>
        <w:gridCol w:w="3685"/>
      </w:tblGrid>
      <w:tr w:rsidR="003C4798" w14:paraId="1216C9EE" w14:textId="77777777">
        <w:trPr>
          <w:trHeight w:val="300"/>
          <w:tblHeader/>
          <w:jc w:val="center"/>
        </w:trPr>
        <w:tc>
          <w:tcPr>
            <w:tcW w:w="1134" w:type="dxa"/>
            <w:shd w:val="clear" w:color="auto" w:fill="C6D9F1" w:themeFill="text2" w:themeFillTint="33"/>
            <w:hideMark/>
          </w:tcPr>
          <w:p w14:paraId="1216C9EA" w14:textId="77777777" w:rsidR="003C4798" w:rsidRDefault="00417595">
            <w:pPr>
              <w:pStyle w:val="P68B1DB1-Normal99"/>
              <w:spacing w:line="240" w:lineRule="auto"/>
              <w:jc w:val="center"/>
              <w:textAlignment w:val="baseline"/>
              <w:rPr>
                <w:rFonts w:eastAsia="Times New Roman" w:cs="Times New Roman"/>
                <w:noProof/>
                <w:sz w:val="24"/>
                <w:szCs w:val="24"/>
              </w:rPr>
            </w:pPr>
            <w:r>
              <w:rPr>
                <w:noProof/>
              </w:rPr>
              <w:t>Numéro séquentiel</w:t>
            </w:r>
          </w:p>
        </w:tc>
        <w:tc>
          <w:tcPr>
            <w:tcW w:w="3402" w:type="dxa"/>
            <w:shd w:val="clear" w:color="auto" w:fill="C6D9F1" w:themeFill="text2" w:themeFillTint="33"/>
            <w:hideMark/>
          </w:tcPr>
          <w:p w14:paraId="1216C9EB" w14:textId="77777777" w:rsidR="003C4798" w:rsidRDefault="00417595">
            <w:pPr>
              <w:pStyle w:val="P68B1DB1-Normal99"/>
              <w:spacing w:line="240" w:lineRule="auto"/>
              <w:jc w:val="center"/>
              <w:textAlignment w:val="baseline"/>
              <w:rPr>
                <w:rFonts w:eastAsia="Times New Roman" w:cs="Times New Roman"/>
                <w:noProof/>
                <w:sz w:val="24"/>
                <w:szCs w:val="24"/>
              </w:rPr>
            </w:pPr>
            <w:r>
              <w:rPr>
                <w:noProof/>
              </w:rPr>
              <w:t>Mesure connexe (réforme ou investissement)</w:t>
            </w:r>
          </w:p>
        </w:tc>
        <w:tc>
          <w:tcPr>
            <w:tcW w:w="1276" w:type="dxa"/>
            <w:shd w:val="clear" w:color="auto" w:fill="C6D9F1" w:themeFill="text2" w:themeFillTint="33"/>
            <w:hideMark/>
          </w:tcPr>
          <w:p w14:paraId="1216C9EC" w14:textId="77777777" w:rsidR="003C4798" w:rsidRDefault="00417595">
            <w:pPr>
              <w:pStyle w:val="P68B1DB1-Normal99"/>
              <w:spacing w:line="240" w:lineRule="auto"/>
              <w:ind w:left="15"/>
              <w:jc w:val="center"/>
              <w:textAlignment w:val="baseline"/>
              <w:rPr>
                <w:rFonts w:eastAsia="Times New Roman" w:cs="Times New Roman"/>
                <w:noProof/>
                <w:sz w:val="24"/>
                <w:szCs w:val="24"/>
              </w:rPr>
            </w:pPr>
            <w:r>
              <w:rPr>
                <w:noProof/>
              </w:rPr>
              <w:t>Étape/cible</w:t>
            </w:r>
          </w:p>
        </w:tc>
        <w:tc>
          <w:tcPr>
            <w:tcW w:w="3685" w:type="dxa"/>
            <w:shd w:val="clear" w:color="auto" w:fill="C6D9F1" w:themeFill="text2" w:themeFillTint="33"/>
            <w:hideMark/>
          </w:tcPr>
          <w:p w14:paraId="1216C9ED" w14:textId="77777777" w:rsidR="003C4798" w:rsidRDefault="00417595">
            <w:pPr>
              <w:pStyle w:val="P68B1DB1-Normal99"/>
              <w:spacing w:line="240" w:lineRule="auto"/>
              <w:ind w:right="30"/>
              <w:jc w:val="center"/>
              <w:textAlignment w:val="baseline"/>
              <w:rPr>
                <w:rFonts w:eastAsia="Times New Roman" w:cs="Times New Roman"/>
                <w:noProof/>
                <w:sz w:val="24"/>
                <w:szCs w:val="24"/>
              </w:rPr>
            </w:pPr>
            <w:r>
              <w:rPr>
                <w:noProof/>
              </w:rPr>
              <w:t>Nom</w:t>
            </w:r>
          </w:p>
        </w:tc>
      </w:tr>
      <w:tr w:rsidR="003C4798" w14:paraId="1216C9F3" w14:textId="77777777">
        <w:trPr>
          <w:trHeight w:val="300"/>
          <w:jc w:val="center"/>
        </w:trPr>
        <w:tc>
          <w:tcPr>
            <w:tcW w:w="1134" w:type="dxa"/>
            <w:shd w:val="clear" w:color="auto" w:fill="C6EFCE"/>
            <w:hideMark/>
          </w:tcPr>
          <w:p w14:paraId="1216C9EF" w14:textId="77777777" w:rsidR="003C4798" w:rsidRDefault="00417595">
            <w:pPr>
              <w:pStyle w:val="P68B1DB1-Normal85"/>
              <w:spacing w:line="240" w:lineRule="auto"/>
              <w:ind w:right="45"/>
              <w:jc w:val="center"/>
              <w:textAlignment w:val="baseline"/>
              <w:rPr>
                <w:rFonts w:eastAsia="Times New Roman" w:cs="Times New Roman"/>
                <w:noProof/>
              </w:rPr>
            </w:pPr>
            <w:r>
              <w:rPr>
                <w:noProof/>
              </w:rPr>
              <w:t xml:space="preserve">B26L </w:t>
            </w:r>
          </w:p>
        </w:tc>
        <w:tc>
          <w:tcPr>
            <w:tcW w:w="3402" w:type="dxa"/>
            <w:shd w:val="clear" w:color="auto" w:fill="C6EFCE"/>
            <w:hideMark/>
          </w:tcPr>
          <w:p w14:paraId="1216C9F0" w14:textId="77777777" w:rsidR="003C4798" w:rsidRDefault="00417595">
            <w:pPr>
              <w:pStyle w:val="P68B1DB1-Normal85"/>
              <w:spacing w:line="240" w:lineRule="auto"/>
              <w:textAlignment w:val="baseline"/>
              <w:rPr>
                <w:noProof/>
              </w:rPr>
            </w:pPr>
            <w:r>
              <w:rPr>
                <w:noProof/>
              </w:rPr>
              <w:t>B3.4.1 Investissements dans une transformation écologique des villes</w:t>
            </w:r>
          </w:p>
        </w:tc>
        <w:tc>
          <w:tcPr>
            <w:tcW w:w="1276" w:type="dxa"/>
            <w:shd w:val="clear" w:color="auto" w:fill="C6EFCE"/>
          </w:tcPr>
          <w:p w14:paraId="1216C9F1" w14:textId="77777777" w:rsidR="003C4798" w:rsidRDefault="00417595">
            <w:pPr>
              <w:pStyle w:val="P68B1DB1-Normal87"/>
              <w:spacing w:line="240" w:lineRule="auto"/>
              <w:ind w:right="30"/>
              <w:jc w:val="center"/>
              <w:textAlignment w:val="baseline"/>
              <w:rPr>
                <w:noProof/>
              </w:rPr>
            </w:pPr>
            <w:r>
              <w:rPr>
                <w:noProof/>
              </w:rPr>
              <w:t>Objectif</w:t>
            </w:r>
          </w:p>
        </w:tc>
        <w:tc>
          <w:tcPr>
            <w:tcW w:w="3685" w:type="dxa"/>
            <w:shd w:val="clear" w:color="auto" w:fill="C6EFCE"/>
          </w:tcPr>
          <w:p w14:paraId="1216C9F2" w14:textId="236C8EFA" w:rsidR="003C4798" w:rsidRDefault="00417595">
            <w:pPr>
              <w:pStyle w:val="P68B1DB1-Normal87"/>
              <w:spacing w:line="240" w:lineRule="auto"/>
              <w:textAlignment w:val="baseline"/>
              <w:rPr>
                <w:noProof/>
              </w:rPr>
            </w:pPr>
            <w:r>
              <w:rPr>
                <w:noProof/>
              </w:rPr>
              <w:t>T1 - Signature des contrats de prêt</w:t>
            </w:r>
          </w:p>
        </w:tc>
      </w:tr>
      <w:tr w:rsidR="003C4798" w14:paraId="1216C9F8" w14:textId="77777777">
        <w:trPr>
          <w:trHeight w:val="300"/>
          <w:jc w:val="center"/>
        </w:trPr>
        <w:tc>
          <w:tcPr>
            <w:tcW w:w="1134" w:type="dxa"/>
            <w:shd w:val="clear" w:color="auto" w:fill="C6EFCE"/>
            <w:hideMark/>
          </w:tcPr>
          <w:p w14:paraId="1216C9F4" w14:textId="77777777" w:rsidR="003C4798" w:rsidRDefault="00417595">
            <w:pPr>
              <w:pStyle w:val="P68B1DB1-Normal85"/>
              <w:spacing w:line="240" w:lineRule="auto"/>
              <w:ind w:right="15"/>
              <w:jc w:val="center"/>
              <w:textAlignment w:val="baseline"/>
              <w:rPr>
                <w:rFonts w:eastAsia="Times New Roman" w:cs="Times New Roman"/>
                <w:noProof/>
              </w:rPr>
            </w:pPr>
            <w:r>
              <w:rPr>
                <w:noProof/>
              </w:rPr>
              <w:t xml:space="preserve">C16L </w:t>
            </w:r>
          </w:p>
        </w:tc>
        <w:tc>
          <w:tcPr>
            <w:tcW w:w="3402" w:type="dxa"/>
            <w:shd w:val="clear" w:color="auto" w:fill="C6EFCE"/>
            <w:hideMark/>
          </w:tcPr>
          <w:p w14:paraId="1216C9F5" w14:textId="77777777" w:rsidR="003C4798" w:rsidRDefault="00417595">
            <w:pPr>
              <w:pStyle w:val="P68B1DB1-Normal87"/>
              <w:spacing w:line="240" w:lineRule="auto"/>
              <w:textAlignment w:val="baseline"/>
              <w:rPr>
                <w:noProof/>
              </w:rPr>
            </w:pPr>
            <w:r>
              <w:rPr>
                <w:noProof/>
              </w:rPr>
              <w:t>C4.1.1 Prise en charge de la transformation numérique avancée</w:t>
            </w:r>
          </w:p>
        </w:tc>
        <w:tc>
          <w:tcPr>
            <w:tcW w:w="1276" w:type="dxa"/>
            <w:shd w:val="clear" w:color="auto" w:fill="C6EFCE"/>
            <w:hideMark/>
          </w:tcPr>
          <w:p w14:paraId="1216C9F6" w14:textId="77777777" w:rsidR="003C4798" w:rsidRDefault="00417595">
            <w:pPr>
              <w:pStyle w:val="P68B1DB1-Normal85"/>
              <w:spacing w:line="240" w:lineRule="auto"/>
              <w:ind w:left="60"/>
              <w:jc w:val="center"/>
              <w:textAlignment w:val="baseline"/>
              <w:rPr>
                <w:rFonts w:eastAsia="Times New Roman" w:cs="Times New Roman"/>
                <w:noProof/>
              </w:rPr>
            </w:pPr>
            <w:r>
              <w:rPr>
                <w:noProof/>
              </w:rPr>
              <w:t>Étape</w:t>
            </w:r>
          </w:p>
        </w:tc>
        <w:tc>
          <w:tcPr>
            <w:tcW w:w="3685" w:type="dxa"/>
            <w:shd w:val="clear" w:color="auto" w:fill="C6EFCE"/>
            <w:hideMark/>
          </w:tcPr>
          <w:p w14:paraId="1216C9F7" w14:textId="77777777" w:rsidR="003C4798" w:rsidRDefault="00417595">
            <w:pPr>
              <w:pStyle w:val="P68B1DB1-Normal87"/>
              <w:spacing w:line="240" w:lineRule="auto"/>
              <w:textAlignment w:val="baseline"/>
              <w:rPr>
                <w:noProof/>
              </w:rPr>
            </w:pPr>
            <w:r>
              <w:rPr>
                <w:noProof/>
              </w:rPr>
              <w:t>Accord de mise en œuvre</w:t>
            </w:r>
          </w:p>
        </w:tc>
      </w:tr>
      <w:tr w:rsidR="003C4798" w14:paraId="1216C9FD" w14:textId="77777777">
        <w:trPr>
          <w:trHeight w:val="300"/>
          <w:jc w:val="center"/>
        </w:trPr>
        <w:tc>
          <w:tcPr>
            <w:tcW w:w="1134" w:type="dxa"/>
            <w:shd w:val="clear" w:color="auto" w:fill="C6EFCE"/>
            <w:hideMark/>
          </w:tcPr>
          <w:p w14:paraId="1216C9F9" w14:textId="77777777" w:rsidR="003C4798" w:rsidRDefault="00417595">
            <w:pPr>
              <w:pStyle w:val="P68B1DB1-Normal87"/>
              <w:spacing w:line="240" w:lineRule="auto"/>
              <w:jc w:val="center"/>
              <w:rPr>
                <w:noProof/>
              </w:rPr>
            </w:pPr>
            <w:r>
              <w:rPr>
                <w:noProof/>
              </w:rPr>
              <w:t>G1L</w:t>
            </w:r>
          </w:p>
        </w:tc>
        <w:tc>
          <w:tcPr>
            <w:tcW w:w="3402" w:type="dxa"/>
            <w:shd w:val="clear" w:color="auto" w:fill="C6EFCE"/>
            <w:hideMark/>
          </w:tcPr>
          <w:p w14:paraId="1216C9FA" w14:textId="568815DA" w:rsidR="003C4798" w:rsidRDefault="00417595">
            <w:pPr>
              <w:pStyle w:val="P68B1DB1-Normal87"/>
              <w:spacing w:line="240" w:lineRule="auto"/>
              <w:rPr>
                <w:noProof/>
              </w:rPr>
            </w:pPr>
            <w:r>
              <w:rPr>
                <w:noProof/>
              </w:rPr>
              <w:t xml:space="preserve">G3.1.1 Rationalisation du processus d'octroi de permis pour les sources d'énergie renouvelables </w:t>
            </w:r>
          </w:p>
        </w:tc>
        <w:tc>
          <w:tcPr>
            <w:tcW w:w="1276" w:type="dxa"/>
            <w:shd w:val="clear" w:color="auto" w:fill="C6EFCE"/>
            <w:hideMark/>
          </w:tcPr>
          <w:p w14:paraId="1216C9FB" w14:textId="77777777" w:rsidR="003C4798" w:rsidRDefault="00417595">
            <w:pPr>
              <w:pStyle w:val="P68B1DB1-Normal87"/>
              <w:spacing w:line="240" w:lineRule="auto"/>
              <w:ind w:right="30"/>
              <w:jc w:val="center"/>
              <w:rPr>
                <w:noProof/>
              </w:rPr>
            </w:pPr>
            <w:r>
              <w:rPr>
                <w:noProof/>
              </w:rPr>
              <w:t>Étape</w:t>
            </w:r>
          </w:p>
        </w:tc>
        <w:tc>
          <w:tcPr>
            <w:tcW w:w="3685" w:type="dxa"/>
            <w:shd w:val="clear" w:color="auto" w:fill="C6EFCE"/>
            <w:hideMark/>
          </w:tcPr>
          <w:p w14:paraId="1216C9FC" w14:textId="532A10D9" w:rsidR="003C4798" w:rsidRDefault="00417595">
            <w:pPr>
              <w:pStyle w:val="P68B1DB1-Normal87"/>
              <w:spacing w:line="240" w:lineRule="auto"/>
              <w:rPr>
                <w:noProof/>
              </w:rPr>
            </w:pPr>
            <w:r>
              <w:rPr>
                <w:noProof/>
              </w:rPr>
              <w:t xml:space="preserve">Cartographie du potentiel des énergies renouvelables </w:t>
            </w:r>
          </w:p>
        </w:tc>
      </w:tr>
      <w:tr w:rsidR="003C4798" w14:paraId="1216CA02" w14:textId="77777777">
        <w:trPr>
          <w:trHeight w:val="300"/>
          <w:jc w:val="center"/>
        </w:trPr>
        <w:tc>
          <w:tcPr>
            <w:tcW w:w="1134" w:type="dxa"/>
            <w:shd w:val="clear" w:color="auto" w:fill="C6EFCE"/>
            <w:hideMark/>
          </w:tcPr>
          <w:p w14:paraId="1216C9FE" w14:textId="77777777" w:rsidR="003C4798" w:rsidRDefault="00417595">
            <w:pPr>
              <w:pStyle w:val="P68B1DB1-Normal85"/>
              <w:spacing w:line="240" w:lineRule="auto"/>
              <w:jc w:val="center"/>
              <w:textAlignment w:val="baseline"/>
              <w:rPr>
                <w:rFonts w:eastAsia="Times New Roman" w:cs="Times New Roman"/>
                <w:noProof/>
              </w:rPr>
            </w:pPr>
            <w:r>
              <w:rPr>
                <w:noProof/>
              </w:rPr>
              <w:t xml:space="preserve">G2L </w:t>
            </w:r>
          </w:p>
        </w:tc>
        <w:tc>
          <w:tcPr>
            <w:tcW w:w="3402" w:type="dxa"/>
            <w:shd w:val="clear" w:color="auto" w:fill="C6EFCE"/>
            <w:hideMark/>
          </w:tcPr>
          <w:p w14:paraId="1216C9FF" w14:textId="77777777" w:rsidR="003C4798" w:rsidRDefault="00417595">
            <w:pPr>
              <w:pStyle w:val="P68B1DB1-Normal85"/>
              <w:spacing w:line="240" w:lineRule="auto"/>
              <w:textAlignment w:val="baseline"/>
              <w:rPr>
                <w:rFonts w:eastAsia="Times New Roman" w:cs="Times New Roman"/>
                <w:noProof/>
              </w:rPr>
            </w:pPr>
            <w:r>
              <w:rPr>
                <w:noProof/>
              </w:rPr>
              <w:t>G3.1.1 Rationalisation du processus d'octroi de permis pour les sources d'énergie renouvelables</w:t>
            </w:r>
          </w:p>
        </w:tc>
        <w:tc>
          <w:tcPr>
            <w:tcW w:w="1276" w:type="dxa"/>
            <w:shd w:val="clear" w:color="auto" w:fill="C6EFCE"/>
            <w:hideMark/>
          </w:tcPr>
          <w:p w14:paraId="1216CA00" w14:textId="77777777" w:rsidR="003C4798" w:rsidRDefault="00417595">
            <w:pPr>
              <w:pStyle w:val="P68B1DB1-Normal85"/>
              <w:spacing w:line="240" w:lineRule="auto"/>
              <w:ind w:left="75"/>
              <w:jc w:val="center"/>
              <w:textAlignment w:val="baseline"/>
              <w:rPr>
                <w:rFonts w:eastAsia="Times New Roman" w:cs="Times New Roman"/>
                <w:noProof/>
              </w:rPr>
            </w:pPr>
            <w:r>
              <w:rPr>
                <w:noProof/>
              </w:rPr>
              <w:t>Étape</w:t>
            </w:r>
          </w:p>
        </w:tc>
        <w:tc>
          <w:tcPr>
            <w:tcW w:w="3685" w:type="dxa"/>
            <w:shd w:val="clear" w:color="auto" w:fill="C6EFCE"/>
            <w:hideMark/>
          </w:tcPr>
          <w:p w14:paraId="1216CA01" w14:textId="77777777" w:rsidR="003C4798" w:rsidRDefault="00417595">
            <w:pPr>
              <w:pStyle w:val="P68B1DB1-Normal87"/>
              <w:spacing w:line="240" w:lineRule="auto"/>
              <w:textAlignment w:val="baseline"/>
              <w:rPr>
                <w:noProof/>
              </w:rPr>
            </w:pPr>
            <w:r>
              <w:rPr>
                <w:noProof/>
              </w:rPr>
              <w:t>Acte(s) juridique(s) établissant un cadre juridique pour la désignation des zones d’accélération des énergies renouvelables</w:t>
            </w:r>
          </w:p>
        </w:tc>
      </w:tr>
      <w:tr w:rsidR="003C4798" w14:paraId="1216CA07" w14:textId="77777777">
        <w:trPr>
          <w:trHeight w:val="300"/>
          <w:jc w:val="center"/>
        </w:trPr>
        <w:tc>
          <w:tcPr>
            <w:tcW w:w="1134" w:type="dxa"/>
            <w:shd w:val="clear" w:color="auto" w:fill="C6EFCE"/>
            <w:hideMark/>
          </w:tcPr>
          <w:p w14:paraId="1216CA03" w14:textId="77777777" w:rsidR="003C4798" w:rsidRDefault="00417595">
            <w:pPr>
              <w:pStyle w:val="P68B1DB1-Normal85"/>
              <w:spacing w:line="240" w:lineRule="auto"/>
              <w:jc w:val="center"/>
              <w:textAlignment w:val="baseline"/>
              <w:rPr>
                <w:rFonts w:eastAsia="Times New Roman" w:cs="Times New Roman"/>
                <w:noProof/>
              </w:rPr>
            </w:pPr>
            <w:r>
              <w:rPr>
                <w:noProof/>
              </w:rPr>
              <w:t xml:space="preserve">G11L </w:t>
            </w:r>
          </w:p>
        </w:tc>
        <w:tc>
          <w:tcPr>
            <w:tcW w:w="3402" w:type="dxa"/>
            <w:shd w:val="clear" w:color="auto" w:fill="C6EFCE"/>
            <w:hideMark/>
          </w:tcPr>
          <w:p w14:paraId="1216CA04" w14:textId="77777777" w:rsidR="003C4798" w:rsidRDefault="00417595">
            <w:pPr>
              <w:pStyle w:val="P68B1DB1-Normal85"/>
              <w:spacing w:line="240" w:lineRule="auto"/>
              <w:ind w:right="210"/>
              <w:textAlignment w:val="baseline"/>
              <w:rPr>
                <w:rFonts w:eastAsia="Times New Roman" w:cs="Times New Roman"/>
                <w:noProof/>
              </w:rPr>
            </w:pPr>
            <w:r>
              <w:rPr>
                <w:noProof/>
              </w:rPr>
              <w:t>G3.1.3 Renforcer l'efficacité énergétique et accélérer l'élimination progressive des combustibles fossiles dans le chauffage</w:t>
            </w:r>
          </w:p>
        </w:tc>
        <w:tc>
          <w:tcPr>
            <w:tcW w:w="1276" w:type="dxa"/>
            <w:shd w:val="clear" w:color="auto" w:fill="C6EFCE"/>
            <w:hideMark/>
          </w:tcPr>
          <w:p w14:paraId="1216CA05" w14:textId="77777777" w:rsidR="003C4798" w:rsidRDefault="00417595">
            <w:pPr>
              <w:pStyle w:val="P68B1DB1-Normal85"/>
              <w:spacing w:line="240" w:lineRule="auto"/>
              <w:jc w:val="center"/>
              <w:textAlignment w:val="baseline"/>
              <w:rPr>
                <w:rFonts w:eastAsia="Times New Roman" w:cs="Times New Roman"/>
                <w:noProof/>
              </w:rPr>
            </w:pPr>
            <w:r>
              <w:rPr>
                <w:noProof/>
              </w:rPr>
              <w:t>Étape</w:t>
            </w:r>
          </w:p>
        </w:tc>
        <w:tc>
          <w:tcPr>
            <w:tcW w:w="3685" w:type="dxa"/>
            <w:shd w:val="clear" w:color="auto" w:fill="C6EFCE"/>
            <w:hideMark/>
          </w:tcPr>
          <w:p w14:paraId="1216CA06" w14:textId="77777777" w:rsidR="003C4798" w:rsidRDefault="00417595">
            <w:pPr>
              <w:pStyle w:val="P68B1DB1-Normal87"/>
              <w:spacing w:line="240" w:lineRule="auto"/>
              <w:textAlignment w:val="baseline"/>
              <w:rPr>
                <w:noProof/>
              </w:rPr>
            </w:pPr>
            <w:r>
              <w:rPr>
                <w:noProof/>
              </w:rPr>
              <w:t>Programme prioritaire de services intégrés de rénovation domiciliaire</w:t>
            </w:r>
          </w:p>
        </w:tc>
      </w:tr>
      <w:tr w:rsidR="003C4798" w14:paraId="1216CA0C" w14:textId="77777777">
        <w:trPr>
          <w:trHeight w:val="300"/>
          <w:jc w:val="center"/>
        </w:trPr>
        <w:tc>
          <w:tcPr>
            <w:tcW w:w="1134" w:type="dxa"/>
            <w:shd w:val="clear" w:color="auto" w:fill="C6EFCE"/>
            <w:hideMark/>
          </w:tcPr>
          <w:p w14:paraId="1216CA08" w14:textId="77777777" w:rsidR="003C4798" w:rsidRDefault="00417595">
            <w:pPr>
              <w:pStyle w:val="P68B1DB1-Normal85"/>
              <w:spacing w:line="240" w:lineRule="auto"/>
              <w:textAlignment w:val="baseline"/>
              <w:rPr>
                <w:rFonts w:eastAsia="Times New Roman" w:cs="Times New Roman"/>
                <w:noProof/>
              </w:rPr>
            </w:pPr>
            <w:r>
              <w:rPr>
                <w:noProof/>
              </w:rPr>
              <w:t xml:space="preserve"> </w:t>
            </w:r>
          </w:p>
        </w:tc>
        <w:tc>
          <w:tcPr>
            <w:tcW w:w="3402" w:type="dxa"/>
            <w:shd w:val="clear" w:color="auto" w:fill="C6EFCE"/>
            <w:hideMark/>
          </w:tcPr>
          <w:p w14:paraId="1216CA09" w14:textId="77777777" w:rsidR="003C4798" w:rsidRDefault="00417595">
            <w:pPr>
              <w:pStyle w:val="P68B1DB1-Normal85"/>
              <w:spacing w:line="240" w:lineRule="auto"/>
              <w:textAlignment w:val="baseline"/>
              <w:rPr>
                <w:rFonts w:eastAsia="Times New Roman" w:cs="Times New Roman"/>
                <w:noProof/>
              </w:rPr>
            </w:pPr>
            <w:r>
              <w:rPr>
                <w:noProof/>
              </w:rPr>
              <w:t xml:space="preserve"> </w:t>
            </w:r>
          </w:p>
        </w:tc>
        <w:tc>
          <w:tcPr>
            <w:tcW w:w="1276" w:type="dxa"/>
            <w:shd w:val="clear" w:color="auto" w:fill="C6EFCE"/>
            <w:hideMark/>
          </w:tcPr>
          <w:p w14:paraId="1216CA0A" w14:textId="77777777" w:rsidR="003C4798" w:rsidRDefault="00417595">
            <w:pPr>
              <w:pStyle w:val="P68B1DB1-Normal85"/>
              <w:spacing w:line="240" w:lineRule="auto"/>
              <w:jc w:val="center"/>
              <w:textAlignment w:val="baseline"/>
              <w:rPr>
                <w:rFonts w:eastAsia="Times New Roman" w:cs="Times New Roman"/>
                <w:noProof/>
              </w:rPr>
            </w:pPr>
            <w:r>
              <w:rPr>
                <w:noProof/>
              </w:rPr>
              <w:t>Montant des acomptes provisionnels</w:t>
            </w:r>
          </w:p>
        </w:tc>
        <w:tc>
          <w:tcPr>
            <w:tcW w:w="3685" w:type="dxa"/>
            <w:shd w:val="clear" w:color="auto" w:fill="C6EFCE"/>
            <w:hideMark/>
          </w:tcPr>
          <w:p w14:paraId="1216CA0B" w14:textId="77777777" w:rsidR="003C4798" w:rsidRDefault="00417595">
            <w:pPr>
              <w:pStyle w:val="P68B1DB1-Normal85"/>
              <w:spacing w:line="240" w:lineRule="auto"/>
              <w:textAlignment w:val="baseline"/>
              <w:rPr>
                <w:rFonts w:eastAsia="Times New Roman" w:cs="Times New Roman"/>
                <w:noProof/>
                <w:u w:val="single"/>
              </w:rPr>
            </w:pPr>
            <w:r>
              <w:rPr>
                <w:noProof/>
              </w:rPr>
              <w:t>624 431 032 EUR</w:t>
            </w:r>
          </w:p>
        </w:tc>
      </w:tr>
    </w:tbl>
    <w:p w14:paraId="1216CA0D" w14:textId="77777777" w:rsidR="003C4798" w:rsidRDefault="003C4798">
      <w:pPr>
        <w:spacing w:line="240" w:lineRule="auto"/>
        <w:textAlignment w:val="baseline"/>
        <w:rPr>
          <w:rFonts w:ascii="Times New Roman" w:eastAsia="Times New Roman" w:hAnsi="Times New Roman" w:cs="Times New Roman"/>
          <w:noProof/>
        </w:rPr>
      </w:pPr>
    </w:p>
    <w:p w14:paraId="1216CA0E" w14:textId="73BEA129" w:rsidR="003C4798" w:rsidRDefault="00417595">
      <w:pPr>
        <w:pStyle w:val="P68B1DB1-Normal85"/>
        <w:spacing w:line="240" w:lineRule="auto"/>
        <w:textAlignment w:val="baseline"/>
        <w:rPr>
          <w:rFonts w:ascii="Segoe UI" w:eastAsia="Times New Roman" w:hAnsi="Segoe UI" w:cs="Segoe UI"/>
          <w:noProof/>
          <w:sz w:val="18"/>
          <w:szCs w:val="18"/>
        </w:rPr>
      </w:pPr>
      <w:r>
        <w:rPr>
          <w:noProof/>
        </w:rPr>
        <w:t>2.2.7. Septième tranche (soutien remboursable):</w:t>
      </w:r>
    </w:p>
    <w:tbl>
      <w:tblPr>
        <w:tblW w:w="94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131"/>
        <w:gridCol w:w="3377"/>
        <w:gridCol w:w="1201"/>
        <w:gridCol w:w="3788"/>
      </w:tblGrid>
      <w:tr w:rsidR="003C4798" w14:paraId="1216CA13" w14:textId="77777777">
        <w:trPr>
          <w:trHeight w:val="300"/>
          <w:tblHeader/>
          <w:jc w:val="center"/>
        </w:trPr>
        <w:tc>
          <w:tcPr>
            <w:tcW w:w="1134" w:type="dxa"/>
            <w:shd w:val="clear" w:color="auto" w:fill="C6D9F1" w:themeFill="text2" w:themeFillTint="33"/>
            <w:hideMark/>
          </w:tcPr>
          <w:p w14:paraId="1216CA0F" w14:textId="77777777" w:rsidR="003C4798" w:rsidRDefault="00417595">
            <w:pPr>
              <w:pStyle w:val="P68B1DB1-Normal99"/>
              <w:spacing w:line="240" w:lineRule="auto"/>
              <w:jc w:val="center"/>
              <w:textAlignment w:val="baseline"/>
              <w:rPr>
                <w:rFonts w:eastAsia="Times New Roman" w:cs="Times New Roman"/>
                <w:noProof/>
                <w:sz w:val="24"/>
                <w:szCs w:val="24"/>
              </w:rPr>
            </w:pPr>
            <w:r>
              <w:rPr>
                <w:noProof/>
              </w:rPr>
              <w:t>Numéro séquentiel</w:t>
            </w:r>
          </w:p>
        </w:tc>
        <w:tc>
          <w:tcPr>
            <w:tcW w:w="3402" w:type="dxa"/>
            <w:shd w:val="clear" w:color="auto" w:fill="C6D9F1" w:themeFill="text2" w:themeFillTint="33"/>
            <w:hideMark/>
          </w:tcPr>
          <w:p w14:paraId="1216CA10" w14:textId="77777777" w:rsidR="003C4798" w:rsidRDefault="00417595">
            <w:pPr>
              <w:pStyle w:val="P68B1DB1-Normal99"/>
              <w:spacing w:line="240" w:lineRule="auto"/>
              <w:jc w:val="center"/>
              <w:textAlignment w:val="baseline"/>
              <w:rPr>
                <w:rFonts w:eastAsia="Times New Roman" w:cs="Times New Roman"/>
                <w:noProof/>
                <w:sz w:val="24"/>
                <w:szCs w:val="24"/>
              </w:rPr>
            </w:pPr>
            <w:r>
              <w:rPr>
                <w:noProof/>
              </w:rPr>
              <w:t>Mesure connexe (réforme ou investissement)</w:t>
            </w:r>
          </w:p>
        </w:tc>
        <w:tc>
          <w:tcPr>
            <w:tcW w:w="1142" w:type="dxa"/>
            <w:shd w:val="clear" w:color="auto" w:fill="C6D9F1" w:themeFill="text2" w:themeFillTint="33"/>
            <w:hideMark/>
          </w:tcPr>
          <w:p w14:paraId="1216CA11" w14:textId="77777777" w:rsidR="003C4798" w:rsidRDefault="00417595">
            <w:pPr>
              <w:pStyle w:val="P68B1DB1-Normal99"/>
              <w:spacing w:line="240" w:lineRule="auto"/>
              <w:ind w:left="15" w:right="15"/>
              <w:jc w:val="center"/>
              <w:textAlignment w:val="baseline"/>
              <w:rPr>
                <w:rFonts w:eastAsia="Times New Roman" w:cs="Times New Roman"/>
                <w:noProof/>
                <w:sz w:val="24"/>
                <w:szCs w:val="24"/>
              </w:rPr>
            </w:pPr>
            <w:r>
              <w:rPr>
                <w:noProof/>
              </w:rPr>
              <w:t>Étape/cible</w:t>
            </w:r>
          </w:p>
        </w:tc>
        <w:tc>
          <w:tcPr>
            <w:tcW w:w="3819" w:type="dxa"/>
            <w:shd w:val="clear" w:color="auto" w:fill="C6D9F1" w:themeFill="text2" w:themeFillTint="33"/>
            <w:hideMark/>
          </w:tcPr>
          <w:p w14:paraId="1216CA12" w14:textId="77777777" w:rsidR="003C4798" w:rsidRDefault="00417595">
            <w:pPr>
              <w:pStyle w:val="P68B1DB1-Normal99"/>
              <w:spacing w:line="240" w:lineRule="auto"/>
              <w:ind w:right="45"/>
              <w:jc w:val="center"/>
              <w:textAlignment w:val="baseline"/>
              <w:rPr>
                <w:rFonts w:eastAsia="Times New Roman" w:cs="Times New Roman"/>
                <w:noProof/>
                <w:sz w:val="24"/>
                <w:szCs w:val="24"/>
              </w:rPr>
            </w:pPr>
            <w:r>
              <w:rPr>
                <w:noProof/>
              </w:rPr>
              <w:t>Nom</w:t>
            </w:r>
          </w:p>
        </w:tc>
      </w:tr>
      <w:tr w:rsidR="003C4798" w14:paraId="1216CA18" w14:textId="77777777">
        <w:trPr>
          <w:trHeight w:val="300"/>
          <w:jc w:val="center"/>
        </w:trPr>
        <w:tc>
          <w:tcPr>
            <w:tcW w:w="1134" w:type="dxa"/>
            <w:shd w:val="clear" w:color="auto" w:fill="C6EFCE"/>
            <w:hideMark/>
          </w:tcPr>
          <w:p w14:paraId="1216CA14" w14:textId="77777777" w:rsidR="003C4798" w:rsidRDefault="00417595">
            <w:pPr>
              <w:pStyle w:val="P68B1DB1-Normal85"/>
              <w:spacing w:line="240" w:lineRule="auto"/>
              <w:ind w:right="45"/>
              <w:jc w:val="center"/>
              <w:textAlignment w:val="baseline"/>
              <w:rPr>
                <w:rFonts w:eastAsia="Times New Roman" w:cs="Times New Roman"/>
                <w:noProof/>
                <w:sz w:val="24"/>
                <w:szCs w:val="24"/>
              </w:rPr>
            </w:pPr>
            <w:r>
              <w:rPr>
                <w:noProof/>
              </w:rPr>
              <w:t xml:space="preserve">A8L </w:t>
            </w:r>
          </w:p>
        </w:tc>
        <w:tc>
          <w:tcPr>
            <w:tcW w:w="3402" w:type="dxa"/>
            <w:shd w:val="clear" w:color="auto" w:fill="C6EFCE"/>
            <w:hideMark/>
          </w:tcPr>
          <w:p w14:paraId="1216CA15" w14:textId="77777777" w:rsidR="003C4798" w:rsidRDefault="00417595">
            <w:pPr>
              <w:pStyle w:val="P68B1DB1-Normal85"/>
              <w:spacing w:line="240" w:lineRule="auto"/>
              <w:textAlignment w:val="baseline"/>
              <w:rPr>
                <w:rFonts w:eastAsia="Times New Roman" w:cs="Times New Roman"/>
                <w:noProof/>
                <w:sz w:val="24"/>
                <w:szCs w:val="24"/>
              </w:rPr>
            </w:pPr>
            <w:r>
              <w:rPr>
                <w:noProof/>
              </w:rPr>
              <w:t>A2.6.1 Investissements dans le Système national d'information par satellite (SNIS) et les satellites</w:t>
            </w:r>
          </w:p>
        </w:tc>
        <w:tc>
          <w:tcPr>
            <w:tcW w:w="1142" w:type="dxa"/>
            <w:shd w:val="clear" w:color="auto" w:fill="C6EFCE"/>
            <w:hideMark/>
          </w:tcPr>
          <w:p w14:paraId="1216CA16" w14:textId="77777777" w:rsidR="003C4798" w:rsidRDefault="00417595">
            <w:pPr>
              <w:pStyle w:val="P68B1DB1-Normal85"/>
              <w:spacing w:line="240" w:lineRule="auto"/>
              <w:ind w:right="45"/>
              <w:jc w:val="center"/>
              <w:textAlignment w:val="baseline"/>
              <w:rPr>
                <w:rFonts w:eastAsia="Times New Roman" w:cs="Times New Roman"/>
                <w:noProof/>
                <w:sz w:val="24"/>
                <w:szCs w:val="24"/>
              </w:rPr>
            </w:pPr>
            <w:r>
              <w:rPr>
                <w:noProof/>
              </w:rPr>
              <w:t>Étape</w:t>
            </w:r>
          </w:p>
        </w:tc>
        <w:tc>
          <w:tcPr>
            <w:tcW w:w="3819" w:type="dxa"/>
            <w:shd w:val="clear" w:color="auto" w:fill="C6EFCE"/>
            <w:hideMark/>
          </w:tcPr>
          <w:p w14:paraId="1216CA17" w14:textId="77777777" w:rsidR="003C4798" w:rsidRDefault="00417595">
            <w:pPr>
              <w:pStyle w:val="P68B1DB1-Normal87"/>
              <w:spacing w:line="240" w:lineRule="auto"/>
              <w:textAlignment w:val="baseline"/>
              <w:rPr>
                <w:noProof/>
                <w:sz w:val="24"/>
                <w:szCs w:val="24"/>
              </w:rPr>
            </w:pPr>
            <w:r>
              <w:rPr>
                <w:noProof/>
              </w:rPr>
              <w:t>Système national d'information par satellite (NSIS)</w:t>
            </w:r>
          </w:p>
        </w:tc>
      </w:tr>
      <w:tr w:rsidR="003C4798" w14:paraId="1216CA1D" w14:textId="77777777">
        <w:trPr>
          <w:trHeight w:val="300"/>
          <w:jc w:val="center"/>
        </w:trPr>
        <w:tc>
          <w:tcPr>
            <w:tcW w:w="1134" w:type="dxa"/>
            <w:shd w:val="clear" w:color="auto" w:fill="C6EFCE"/>
            <w:hideMark/>
          </w:tcPr>
          <w:p w14:paraId="1216CA19"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A12L </w:t>
            </w:r>
          </w:p>
        </w:tc>
        <w:tc>
          <w:tcPr>
            <w:tcW w:w="3402" w:type="dxa"/>
            <w:shd w:val="clear" w:color="auto" w:fill="C6EFCE"/>
            <w:hideMark/>
          </w:tcPr>
          <w:p w14:paraId="1216CA1A" w14:textId="77777777" w:rsidR="003C4798" w:rsidRDefault="00417595">
            <w:pPr>
              <w:pStyle w:val="P68B1DB1-Normal85"/>
              <w:spacing w:line="240" w:lineRule="auto"/>
              <w:textAlignment w:val="baseline"/>
              <w:rPr>
                <w:rFonts w:eastAsia="Times New Roman" w:cs="Times New Roman"/>
                <w:noProof/>
                <w:sz w:val="24"/>
                <w:szCs w:val="24"/>
              </w:rPr>
            </w:pPr>
            <w:r>
              <w:rPr>
                <w:noProof/>
              </w:rPr>
              <w:t>A2.7.1 Fonds pour la sécurité et la défense</w:t>
            </w:r>
          </w:p>
        </w:tc>
        <w:tc>
          <w:tcPr>
            <w:tcW w:w="1142" w:type="dxa"/>
            <w:shd w:val="clear" w:color="auto" w:fill="C6EFCE"/>
            <w:hideMark/>
          </w:tcPr>
          <w:p w14:paraId="1216CA1B"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Étape</w:t>
            </w:r>
          </w:p>
        </w:tc>
        <w:tc>
          <w:tcPr>
            <w:tcW w:w="3819" w:type="dxa"/>
            <w:shd w:val="clear" w:color="auto" w:fill="C6EFCE"/>
            <w:hideMark/>
          </w:tcPr>
          <w:p w14:paraId="1216CA1C" w14:textId="77777777" w:rsidR="003C4798" w:rsidRDefault="00417595">
            <w:pPr>
              <w:pStyle w:val="P68B1DB1-Normal87"/>
              <w:spacing w:line="240" w:lineRule="auto"/>
              <w:textAlignment w:val="baseline"/>
              <w:rPr>
                <w:noProof/>
              </w:rPr>
            </w:pPr>
            <w:r>
              <w:rPr>
                <w:noProof/>
              </w:rPr>
              <w:t>Établissement du cadre juridique du Fonds</w:t>
            </w:r>
          </w:p>
        </w:tc>
      </w:tr>
      <w:tr w:rsidR="003C4798" w14:paraId="1216CA22" w14:textId="77777777">
        <w:trPr>
          <w:trHeight w:val="300"/>
          <w:jc w:val="center"/>
        </w:trPr>
        <w:tc>
          <w:tcPr>
            <w:tcW w:w="1134" w:type="dxa"/>
            <w:shd w:val="clear" w:color="auto" w:fill="C6EFCE"/>
            <w:hideMark/>
          </w:tcPr>
          <w:p w14:paraId="1216CA1E" w14:textId="77777777" w:rsidR="003C4798" w:rsidRDefault="00417595">
            <w:pPr>
              <w:pStyle w:val="P68B1DB1-Normal85"/>
              <w:spacing w:line="240" w:lineRule="auto"/>
              <w:ind w:right="45"/>
              <w:jc w:val="center"/>
              <w:textAlignment w:val="baseline"/>
              <w:rPr>
                <w:rFonts w:eastAsia="Times New Roman" w:cs="Times New Roman"/>
                <w:noProof/>
                <w:sz w:val="24"/>
                <w:szCs w:val="24"/>
              </w:rPr>
            </w:pPr>
            <w:r>
              <w:rPr>
                <w:noProof/>
              </w:rPr>
              <w:t xml:space="preserve">B15L </w:t>
            </w:r>
          </w:p>
        </w:tc>
        <w:tc>
          <w:tcPr>
            <w:tcW w:w="3402" w:type="dxa"/>
            <w:shd w:val="clear" w:color="auto" w:fill="C6EFCE"/>
            <w:hideMark/>
          </w:tcPr>
          <w:p w14:paraId="1216CA1F" w14:textId="77777777" w:rsidR="003C4798" w:rsidRDefault="00417595">
            <w:pPr>
              <w:pStyle w:val="P68B1DB1-Normal85"/>
              <w:spacing w:line="240" w:lineRule="auto"/>
              <w:textAlignment w:val="baseline"/>
              <w:rPr>
                <w:rFonts w:eastAsia="Times New Roman" w:cs="Times New Roman"/>
                <w:noProof/>
                <w:sz w:val="24"/>
                <w:szCs w:val="24"/>
              </w:rPr>
            </w:pPr>
            <w:r>
              <w:rPr>
                <w:noProof/>
              </w:rPr>
              <w:t>B3.2 Appui à la restauration de l ' environnement et à la protection contre les substances dangereuses</w:t>
            </w:r>
          </w:p>
        </w:tc>
        <w:tc>
          <w:tcPr>
            <w:tcW w:w="1142" w:type="dxa"/>
            <w:shd w:val="clear" w:color="auto" w:fill="C6EFCE"/>
            <w:hideMark/>
          </w:tcPr>
          <w:p w14:paraId="1216CA20" w14:textId="77777777" w:rsidR="003C4798" w:rsidRDefault="00417595">
            <w:pPr>
              <w:pStyle w:val="P68B1DB1-Normal85"/>
              <w:spacing w:line="240" w:lineRule="auto"/>
              <w:ind w:left="60"/>
              <w:jc w:val="center"/>
              <w:textAlignment w:val="baseline"/>
              <w:rPr>
                <w:rFonts w:eastAsia="Times New Roman" w:cs="Times New Roman"/>
                <w:noProof/>
                <w:sz w:val="24"/>
                <w:szCs w:val="24"/>
              </w:rPr>
            </w:pPr>
            <w:r>
              <w:rPr>
                <w:noProof/>
              </w:rPr>
              <w:t>Étape</w:t>
            </w:r>
          </w:p>
        </w:tc>
        <w:tc>
          <w:tcPr>
            <w:tcW w:w="3819" w:type="dxa"/>
            <w:shd w:val="clear" w:color="auto" w:fill="C6EFCE"/>
            <w:hideMark/>
          </w:tcPr>
          <w:p w14:paraId="1216CA21" w14:textId="77777777" w:rsidR="003C4798" w:rsidRDefault="00417595">
            <w:pPr>
              <w:pStyle w:val="P68B1DB1-Normal87"/>
              <w:spacing w:line="240" w:lineRule="auto"/>
              <w:ind w:right="15"/>
              <w:textAlignment w:val="baseline"/>
              <w:rPr>
                <w:noProof/>
                <w:sz w:val="24"/>
                <w:szCs w:val="24"/>
              </w:rPr>
            </w:pPr>
            <w:r>
              <w:rPr>
                <w:noProof/>
              </w:rPr>
              <w:t>Entrée en vigueur d’un ou de plusieurs actes juridiques dans le domaine des matières dangereuses qui subsistent dans les zones marines de la République de Pologne</w:t>
            </w:r>
          </w:p>
        </w:tc>
      </w:tr>
      <w:tr w:rsidR="003C4798" w14:paraId="1216CA27" w14:textId="77777777">
        <w:trPr>
          <w:trHeight w:val="300"/>
          <w:jc w:val="center"/>
        </w:trPr>
        <w:tc>
          <w:tcPr>
            <w:tcW w:w="1134" w:type="dxa"/>
            <w:shd w:val="clear" w:color="auto" w:fill="C6EFCE"/>
            <w:hideMark/>
          </w:tcPr>
          <w:p w14:paraId="1216CA23" w14:textId="77777777" w:rsidR="003C4798" w:rsidRDefault="00417595">
            <w:pPr>
              <w:pStyle w:val="P68B1DB1-Normal85"/>
              <w:spacing w:line="240" w:lineRule="auto"/>
              <w:ind w:right="30"/>
              <w:jc w:val="center"/>
              <w:textAlignment w:val="baseline"/>
              <w:rPr>
                <w:noProof/>
              </w:rPr>
            </w:pPr>
            <w:r>
              <w:rPr>
                <w:noProof/>
              </w:rPr>
              <w:t>E7L</w:t>
            </w:r>
          </w:p>
        </w:tc>
        <w:tc>
          <w:tcPr>
            <w:tcW w:w="3402" w:type="dxa"/>
            <w:shd w:val="clear" w:color="auto" w:fill="C6EFCE"/>
            <w:hideMark/>
          </w:tcPr>
          <w:p w14:paraId="1216CA24" w14:textId="77777777" w:rsidR="003C4798" w:rsidRDefault="00417595">
            <w:pPr>
              <w:pStyle w:val="P68B1DB1-Normal85"/>
              <w:spacing w:line="240" w:lineRule="auto"/>
              <w:textAlignment w:val="baseline"/>
              <w:rPr>
                <w:rFonts w:eastAsia="Times New Roman" w:cs="Times New Roman"/>
                <w:noProof/>
                <w:sz w:val="24"/>
                <w:szCs w:val="24"/>
              </w:rPr>
            </w:pPr>
            <w:r>
              <w:rPr>
                <w:noProof/>
              </w:rPr>
              <w:t>E3.1.1 Facilité de soutien à une économie à faible intensité de carbone</w:t>
            </w:r>
          </w:p>
        </w:tc>
        <w:tc>
          <w:tcPr>
            <w:tcW w:w="1142" w:type="dxa"/>
            <w:shd w:val="clear" w:color="auto" w:fill="C6EFCE"/>
            <w:hideMark/>
          </w:tcPr>
          <w:p w14:paraId="1216CA25" w14:textId="77777777" w:rsidR="003C4798" w:rsidRDefault="00417595">
            <w:pPr>
              <w:pStyle w:val="P68B1DB1-Normal85"/>
              <w:spacing w:line="240" w:lineRule="auto"/>
              <w:ind w:left="75"/>
              <w:jc w:val="center"/>
              <w:textAlignment w:val="baseline"/>
              <w:rPr>
                <w:rFonts w:eastAsia="Times New Roman" w:cs="Times New Roman"/>
                <w:noProof/>
              </w:rPr>
            </w:pPr>
            <w:r>
              <w:rPr>
                <w:noProof/>
              </w:rPr>
              <w:t>Étape</w:t>
            </w:r>
          </w:p>
        </w:tc>
        <w:tc>
          <w:tcPr>
            <w:tcW w:w="3819" w:type="dxa"/>
            <w:shd w:val="clear" w:color="auto" w:fill="C6EFCE"/>
            <w:hideMark/>
          </w:tcPr>
          <w:p w14:paraId="1216CA26" w14:textId="77777777" w:rsidR="003C4798" w:rsidRDefault="00417595">
            <w:pPr>
              <w:pStyle w:val="P68B1DB1-Normal87"/>
              <w:spacing w:line="240" w:lineRule="auto"/>
              <w:textAlignment w:val="baseline"/>
              <w:rPr>
                <w:noProof/>
              </w:rPr>
            </w:pPr>
            <w:r>
              <w:rPr>
                <w:noProof/>
              </w:rPr>
              <w:t>Accord de mise en œuvre</w:t>
            </w:r>
          </w:p>
        </w:tc>
      </w:tr>
      <w:tr w:rsidR="003C4798" w14:paraId="1216CA2C" w14:textId="77777777">
        <w:trPr>
          <w:trHeight w:val="300"/>
          <w:jc w:val="center"/>
        </w:trPr>
        <w:tc>
          <w:tcPr>
            <w:tcW w:w="1134" w:type="dxa"/>
            <w:shd w:val="clear" w:color="auto" w:fill="C6EFCE"/>
            <w:hideMark/>
          </w:tcPr>
          <w:p w14:paraId="1216CA28"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 xml:space="preserve">G8L </w:t>
            </w:r>
          </w:p>
        </w:tc>
        <w:tc>
          <w:tcPr>
            <w:tcW w:w="3402" w:type="dxa"/>
            <w:shd w:val="clear" w:color="auto" w:fill="C6EFCE"/>
            <w:hideMark/>
          </w:tcPr>
          <w:p w14:paraId="1216CA29" w14:textId="77777777" w:rsidR="003C4798" w:rsidRDefault="00417595">
            <w:pPr>
              <w:pStyle w:val="P68B1DB1-Normal85"/>
              <w:spacing w:line="240" w:lineRule="auto"/>
              <w:textAlignment w:val="baseline"/>
              <w:rPr>
                <w:rFonts w:eastAsia="Times New Roman" w:cs="Times New Roman"/>
                <w:noProof/>
                <w:sz w:val="24"/>
                <w:szCs w:val="24"/>
              </w:rPr>
            </w:pPr>
            <w:r>
              <w:rPr>
                <w:noProof/>
              </w:rPr>
              <w:t>G3.1.2 Compétences pour la transition écologique</w:t>
            </w:r>
          </w:p>
        </w:tc>
        <w:tc>
          <w:tcPr>
            <w:tcW w:w="1142" w:type="dxa"/>
            <w:shd w:val="clear" w:color="auto" w:fill="C6EFCE"/>
            <w:hideMark/>
          </w:tcPr>
          <w:p w14:paraId="1216CA2A" w14:textId="77777777" w:rsidR="003C4798" w:rsidRDefault="00417595">
            <w:pPr>
              <w:pStyle w:val="P68B1DB1-Normal85"/>
              <w:spacing w:line="240" w:lineRule="auto"/>
              <w:ind w:left="75"/>
              <w:jc w:val="center"/>
              <w:textAlignment w:val="baseline"/>
              <w:rPr>
                <w:rFonts w:eastAsia="Times New Roman" w:cs="Times New Roman"/>
                <w:noProof/>
                <w:sz w:val="24"/>
                <w:szCs w:val="24"/>
              </w:rPr>
            </w:pPr>
            <w:r>
              <w:rPr>
                <w:noProof/>
              </w:rPr>
              <w:t>Étape</w:t>
            </w:r>
          </w:p>
        </w:tc>
        <w:tc>
          <w:tcPr>
            <w:tcW w:w="3819" w:type="dxa"/>
            <w:shd w:val="clear" w:color="auto" w:fill="C6EFCE"/>
            <w:hideMark/>
          </w:tcPr>
          <w:p w14:paraId="1216CA2B" w14:textId="77777777" w:rsidR="003C4798" w:rsidRDefault="00417595">
            <w:pPr>
              <w:pStyle w:val="P68B1DB1-Normal87"/>
              <w:spacing w:line="240" w:lineRule="auto"/>
              <w:textAlignment w:val="baseline"/>
              <w:rPr>
                <w:noProof/>
              </w:rPr>
            </w:pPr>
            <w:r>
              <w:rPr>
                <w:noProof/>
              </w:rPr>
              <w:t>Quatre rapports sur les cadres de qualification sectoriels modifiés pour la transformation écologique</w:t>
            </w:r>
          </w:p>
        </w:tc>
      </w:tr>
      <w:tr w:rsidR="003C4798" w14:paraId="1216CA31" w14:textId="77777777">
        <w:trPr>
          <w:trHeight w:val="300"/>
          <w:jc w:val="center"/>
        </w:trPr>
        <w:tc>
          <w:tcPr>
            <w:tcW w:w="1134" w:type="dxa"/>
            <w:shd w:val="clear" w:color="auto" w:fill="C6EFCE"/>
            <w:hideMark/>
          </w:tcPr>
          <w:p w14:paraId="1216CA2D"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 xml:space="preserve">G13L </w:t>
            </w:r>
          </w:p>
        </w:tc>
        <w:tc>
          <w:tcPr>
            <w:tcW w:w="3402" w:type="dxa"/>
            <w:shd w:val="clear" w:color="auto" w:fill="C6EFCE"/>
            <w:hideMark/>
          </w:tcPr>
          <w:p w14:paraId="1216CA2E" w14:textId="77777777" w:rsidR="003C4798" w:rsidRDefault="00417595">
            <w:pPr>
              <w:pStyle w:val="P68B1DB1-Normal85"/>
              <w:spacing w:line="240" w:lineRule="auto"/>
              <w:textAlignment w:val="baseline"/>
              <w:rPr>
                <w:rFonts w:eastAsia="Times New Roman" w:cs="Times New Roman"/>
                <w:noProof/>
                <w:sz w:val="24"/>
                <w:szCs w:val="24"/>
              </w:rPr>
            </w:pPr>
            <w:r>
              <w:rPr>
                <w:noProof/>
              </w:rPr>
              <w:t>G3.1.4 Soutien au système énergétique national (Fonds de soutien à l'énergie)</w:t>
            </w:r>
          </w:p>
        </w:tc>
        <w:tc>
          <w:tcPr>
            <w:tcW w:w="1142" w:type="dxa"/>
            <w:shd w:val="clear" w:color="auto" w:fill="C6EFCE"/>
            <w:hideMark/>
          </w:tcPr>
          <w:p w14:paraId="1216CA2F" w14:textId="77777777" w:rsidR="003C4798" w:rsidRDefault="00417595">
            <w:pPr>
              <w:pStyle w:val="P68B1DB1-Normal85"/>
              <w:spacing w:line="240" w:lineRule="auto"/>
              <w:ind w:right="30"/>
              <w:jc w:val="center"/>
              <w:textAlignment w:val="baseline"/>
              <w:rPr>
                <w:rFonts w:eastAsia="Times New Roman" w:cs="Times New Roman"/>
                <w:noProof/>
                <w:sz w:val="24"/>
                <w:szCs w:val="24"/>
              </w:rPr>
            </w:pPr>
            <w:r>
              <w:rPr>
                <w:noProof/>
              </w:rPr>
              <w:t>Objectif</w:t>
            </w:r>
          </w:p>
        </w:tc>
        <w:tc>
          <w:tcPr>
            <w:tcW w:w="3819" w:type="dxa"/>
            <w:shd w:val="clear" w:color="auto" w:fill="C6EFCE"/>
            <w:hideMark/>
          </w:tcPr>
          <w:p w14:paraId="1216CA30" w14:textId="77777777" w:rsidR="003C4798" w:rsidRDefault="00417595">
            <w:pPr>
              <w:pStyle w:val="P68B1DB1-Normal87"/>
              <w:spacing w:line="240" w:lineRule="auto"/>
              <w:textAlignment w:val="baseline"/>
              <w:rPr>
                <w:noProof/>
                <w:sz w:val="24"/>
                <w:szCs w:val="24"/>
              </w:rPr>
            </w:pPr>
            <w:r>
              <w:rPr>
                <w:noProof/>
              </w:rPr>
              <w:t>Accords juridiques signés avec les bénéficiaires finaux</w:t>
            </w:r>
          </w:p>
        </w:tc>
      </w:tr>
      <w:tr w:rsidR="003C4798" w14:paraId="1216CA36" w14:textId="77777777">
        <w:trPr>
          <w:trHeight w:val="300"/>
          <w:jc w:val="center"/>
        </w:trPr>
        <w:tc>
          <w:tcPr>
            <w:tcW w:w="1134" w:type="dxa"/>
            <w:shd w:val="clear" w:color="auto" w:fill="C6EFCE"/>
          </w:tcPr>
          <w:p w14:paraId="1216CA32" w14:textId="77777777" w:rsidR="003C4798" w:rsidRDefault="00417595">
            <w:pPr>
              <w:pStyle w:val="P68B1DB1-Normal85"/>
              <w:spacing w:line="240" w:lineRule="auto"/>
              <w:ind w:right="30"/>
              <w:jc w:val="center"/>
              <w:textAlignment w:val="baseline"/>
              <w:rPr>
                <w:noProof/>
              </w:rPr>
            </w:pPr>
            <w:r>
              <w:rPr>
                <w:noProof/>
              </w:rPr>
              <w:t xml:space="preserve">G18L </w:t>
            </w:r>
          </w:p>
        </w:tc>
        <w:tc>
          <w:tcPr>
            <w:tcW w:w="3402" w:type="dxa"/>
            <w:shd w:val="clear" w:color="auto" w:fill="C6EFCE"/>
          </w:tcPr>
          <w:p w14:paraId="1216CA33" w14:textId="77777777" w:rsidR="003C4798" w:rsidRDefault="00417595">
            <w:pPr>
              <w:pStyle w:val="P68B1DB1-Normal85"/>
              <w:spacing w:line="240" w:lineRule="auto"/>
              <w:textAlignment w:val="baseline"/>
              <w:rPr>
                <w:noProof/>
              </w:rPr>
            </w:pPr>
            <w:r>
              <w:rPr>
                <w:noProof/>
              </w:rPr>
              <w:t>G3.1.5 Construction de parcs éoliens en mer (Fonds pour l'énergie éolienne en mer)</w:t>
            </w:r>
          </w:p>
        </w:tc>
        <w:tc>
          <w:tcPr>
            <w:tcW w:w="1142" w:type="dxa"/>
            <w:shd w:val="clear" w:color="auto" w:fill="C6EFCE"/>
          </w:tcPr>
          <w:p w14:paraId="1216CA34" w14:textId="77777777" w:rsidR="003C4798" w:rsidRDefault="00417595">
            <w:pPr>
              <w:pStyle w:val="P68B1DB1-Normal85"/>
              <w:spacing w:line="240" w:lineRule="auto"/>
              <w:ind w:right="30"/>
              <w:jc w:val="center"/>
              <w:textAlignment w:val="baseline"/>
              <w:rPr>
                <w:noProof/>
              </w:rPr>
            </w:pPr>
            <w:r>
              <w:rPr>
                <w:noProof/>
              </w:rPr>
              <w:t>Objectif</w:t>
            </w:r>
          </w:p>
        </w:tc>
        <w:tc>
          <w:tcPr>
            <w:tcW w:w="3819" w:type="dxa"/>
            <w:shd w:val="clear" w:color="auto" w:fill="C6EFCE"/>
          </w:tcPr>
          <w:p w14:paraId="1216CA35" w14:textId="77777777" w:rsidR="003C4798" w:rsidRDefault="00417595">
            <w:pPr>
              <w:pStyle w:val="P68B1DB1-Normal85"/>
              <w:spacing w:line="240" w:lineRule="auto"/>
              <w:textAlignment w:val="baseline"/>
              <w:rPr>
                <w:noProof/>
              </w:rPr>
            </w:pPr>
            <w:r>
              <w:rPr>
                <w:noProof/>
              </w:rPr>
              <w:t>Accords juridiques signés avec les bénéficiaires finaux</w:t>
            </w:r>
          </w:p>
        </w:tc>
      </w:tr>
      <w:tr w:rsidR="003C4798" w14:paraId="1216CA3B" w14:textId="77777777">
        <w:trPr>
          <w:trHeight w:val="300"/>
          <w:jc w:val="center"/>
        </w:trPr>
        <w:tc>
          <w:tcPr>
            <w:tcW w:w="1134" w:type="dxa"/>
            <w:shd w:val="clear" w:color="auto" w:fill="C6EFCE"/>
          </w:tcPr>
          <w:p w14:paraId="1216CA37" w14:textId="77777777" w:rsidR="003C4798" w:rsidRDefault="00417595">
            <w:pPr>
              <w:pStyle w:val="P68B1DB1-Normal85"/>
              <w:spacing w:line="240" w:lineRule="auto"/>
              <w:ind w:right="30"/>
              <w:jc w:val="center"/>
              <w:textAlignment w:val="baseline"/>
              <w:rPr>
                <w:noProof/>
              </w:rPr>
            </w:pPr>
            <w:r>
              <w:rPr>
                <w:noProof/>
              </w:rPr>
              <w:t xml:space="preserve">G19L </w:t>
            </w:r>
          </w:p>
        </w:tc>
        <w:tc>
          <w:tcPr>
            <w:tcW w:w="3402" w:type="dxa"/>
            <w:shd w:val="clear" w:color="auto" w:fill="C6EFCE"/>
          </w:tcPr>
          <w:p w14:paraId="1216CA38" w14:textId="77777777" w:rsidR="003C4798" w:rsidRDefault="00417595">
            <w:pPr>
              <w:pStyle w:val="P68B1DB1-Normal85"/>
              <w:spacing w:line="240" w:lineRule="auto"/>
              <w:textAlignment w:val="baseline"/>
              <w:rPr>
                <w:noProof/>
              </w:rPr>
            </w:pPr>
            <w:r>
              <w:rPr>
                <w:noProof/>
              </w:rPr>
              <w:t>G3.1.5 Construction de parcs éoliens en mer (Fonds pour l'énergie éolienne en mer)</w:t>
            </w:r>
          </w:p>
        </w:tc>
        <w:tc>
          <w:tcPr>
            <w:tcW w:w="1142" w:type="dxa"/>
            <w:shd w:val="clear" w:color="auto" w:fill="C6EFCE"/>
          </w:tcPr>
          <w:p w14:paraId="1216CA39" w14:textId="77777777" w:rsidR="003C4798" w:rsidRDefault="00417595">
            <w:pPr>
              <w:pStyle w:val="P68B1DB1-Normal85"/>
              <w:spacing w:line="240" w:lineRule="auto"/>
              <w:ind w:right="30"/>
              <w:jc w:val="center"/>
              <w:textAlignment w:val="baseline"/>
              <w:rPr>
                <w:noProof/>
              </w:rPr>
            </w:pPr>
            <w:r>
              <w:rPr>
                <w:noProof/>
              </w:rPr>
              <w:t>Étape</w:t>
            </w:r>
          </w:p>
        </w:tc>
        <w:tc>
          <w:tcPr>
            <w:tcW w:w="3819" w:type="dxa"/>
            <w:shd w:val="clear" w:color="auto" w:fill="C6EFCE"/>
          </w:tcPr>
          <w:p w14:paraId="1216CA3A" w14:textId="77777777" w:rsidR="003C4798" w:rsidRDefault="00417595">
            <w:pPr>
              <w:pStyle w:val="P68B1DB1-Normal85"/>
              <w:spacing w:line="240" w:lineRule="auto"/>
              <w:textAlignment w:val="baseline"/>
              <w:rPr>
                <w:noProof/>
              </w:rPr>
            </w:pPr>
            <w:r>
              <w:rPr>
                <w:noProof/>
              </w:rPr>
              <w:t>Le ministère a terminé l'investissement</w:t>
            </w:r>
          </w:p>
        </w:tc>
      </w:tr>
      <w:tr w:rsidR="003C4798" w14:paraId="1216CA40" w14:textId="77777777">
        <w:trPr>
          <w:trHeight w:val="300"/>
          <w:jc w:val="center"/>
        </w:trPr>
        <w:tc>
          <w:tcPr>
            <w:tcW w:w="1134" w:type="dxa"/>
            <w:shd w:val="clear" w:color="auto" w:fill="C6EFCE"/>
            <w:hideMark/>
          </w:tcPr>
          <w:p w14:paraId="1216CA3C" w14:textId="77777777" w:rsidR="003C4798" w:rsidRDefault="00417595">
            <w:pPr>
              <w:pStyle w:val="P68B1DB1-Normal85"/>
              <w:spacing w:line="240" w:lineRule="auto"/>
              <w:textAlignment w:val="baseline"/>
              <w:rPr>
                <w:rFonts w:eastAsia="Times New Roman" w:cs="Times New Roman"/>
                <w:noProof/>
                <w:sz w:val="24"/>
                <w:szCs w:val="24"/>
              </w:rPr>
            </w:pPr>
            <w:r>
              <w:rPr>
                <w:noProof/>
              </w:rPr>
              <w:t xml:space="preserve"> </w:t>
            </w:r>
          </w:p>
        </w:tc>
        <w:tc>
          <w:tcPr>
            <w:tcW w:w="3402" w:type="dxa"/>
            <w:shd w:val="clear" w:color="auto" w:fill="C6EFCE"/>
            <w:hideMark/>
          </w:tcPr>
          <w:p w14:paraId="1216CA3D" w14:textId="77777777" w:rsidR="003C4798" w:rsidRDefault="00417595">
            <w:pPr>
              <w:pStyle w:val="P68B1DB1-Normal85"/>
              <w:spacing w:line="240" w:lineRule="auto"/>
              <w:textAlignment w:val="baseline"/>
              <w:rPr>
                <w:rFonts w:eastAsia="Times New Roman" w:cs="Times New Roman"/>
                <w:noProof/>
                <w:sz w:val="24"/>
                <w:szCs w:val="24"/>
              </w:rPr>
            </w:pPr>
            <w:r>
              <w:rPr>
                <w:noProof/>
              </w:rPr>
              <w:t xml:space="preserve"> </w:t>
            </w:r>
          </w:p>
        </w:tc>
        <w:tc>
          <w:tcPr>
            <w:tcW w:w="1142" w:type="dxa"/>
            <w:shd w:val="clear" w:color="auto" w:fill="C6EFCE"/>
            <w:hideMark/>
          </w:tcPr>
          <w:p w14:paraId="1216CA3E"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Montant des acomptes provisionnels</w:t>
            </w:r>
          </w:p>
        </w:tc>
        <w:tc>
          <w:tcPr>
            <w:tcW w:w="3819" w:type="dxa"/>
            <w:shd w:val="clear" w:color="auto" w:fill="C6EFCE"/>
            <w:hideMark/>
          </w:tcPr>
          <w:p w14:paraId="1216CA3F" w14:textId="77777777" w:rsidR="003C4798" w:rsidRDefault="00417595">
            <w:pPr>
              <w:pStyle w:val="P68B1DB1-Normal85"/>
              <w:spacing w:line="240" w:lineRule="auto"/>
              <w:textAlignment w:val="baseline"/>
              <w:rPr>
                <w:rFonts w:eastAsia="Times New Roman" w:cs="Times New Roman"/>
                <w:strike/>
                <w:noProof/>
              </w:rPr>
            </w:pPr>
            <w:r>
              <w:rPr>
                <w:noProof/>
              </w:rPr>
              <w:t>2 162 723 229 EUR</w:t>
            </w:r>
          </w:p>
        </w:tc>
      </w:tr>
    </w:tbl>
    <w:p w14:paraId="4755C511" w14:textId="77777777" w:rsidR="003C4798" w:rsidRDefault="003C4798">
      <w:pPr>
        <w:spacing w:line="240" w:lineRule="auto"/>
        <w:textAlignment w:val="baseline"/>
        <w:rPr>
          <w:rFonts w:ascii="Times New Roman" w:eastAsia="Times New Roman" w:hAnsi="Times New Roman" w:cs="Times New Roman"/>
          <w:noProof/>
        </w:rPr>
      </w:pPr>
    </w:p>
    <w:p w14:paraId="1216CA42" w14:textId="7FD5C78F" w:rsidR="003C4798" w:rsidRDefault="00417595">
      <w:pPr>
        <w:pStyle w:val="P68B1DB1-Normal85"/>
        <w:spacing w:line="240" w:lineRule="auto"/>
        <w:textAlignment w:val="baseline"/>
        <w:rPr>
          <w:rFonts w:ascii="Segoe UI" w:eastAsia="Times New Roman" w:hAnsi="Segoe UI" w:cs="Segoe UI"/>
          <w:noProof/>
          <w:sz w:val="18"/>
          <w:szCs w:val="18"/>
        </w:rPr>
      </w:pPr>
      <w:r>
        <w:rPr>
          <w:noProof/>
        </w:rPr>
        <w:t>2.2.8. Huitième tranche (soutien remboursable):</w:t>
      </w:r>
    </w:p>
    <w:tbl>
      <w:tblPr>
        <w:tblW w:w="9497"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6EFCE"/>
        <w:tblCellMar>
          <w:left w:w="0" w:type="dxa"/>
          <w:right w:w="0" w:type="dxa"/>
        </w:tblCellMar>
        <w:tblLook w:val="04A0" w:firstRow="1" w:lastRow="0" w:firstColumn="1" w:lastColumn="0" w:noHBand="0" w:noVBand="1"/>
      </w:tblPr>
      <w:tblGrid>
        <w:gridCol w:w="1131"/>
        <w:gridCol w:w="3375"/>
        <w:gridCol w:w="1201"/>
        <w:gridCol w:w="3790"/>
      </w:tblGrid>
      <w:tr w:rsidR="003C4798" w14:paraId="1216CA47" w14:textId="77777777">
        <w:trPr>
          <w:trHeight w:val="300"/>
          <w:tblHeader/>
          <w:jc w:val="center"/>
        </w:trPr>
        <w:tc>
          <w:tcPr>
            <w:tcW w:w="1134" w:type="dxa"/>
            <w:shd w:val="clear" w:color="auto" w:fill="C6D9F1" w:themeFill="text2" w:themeFillTint="33"/>
            <w:hideMark/>
          </w:tcPr>
          <w:p w14:paraId="1216CA43" w14:textId="77777777" w:rsidR="003C4798" w:rsidRDefault="00417595">
            <w:pPr>
              <w:pStyle w:val="P68B1DB1-Normal99"/>
              <w:spacing w:line="240" w:lineRule="auto"/>
              <w:jc w:val="center"/>
              <w:textAlignment w:val="baseline"/>
              <w:rPr>
                <w:rFonts w:eastAsia="Times New Roman" w:cs="Times New Roman"/>
                <w:noProof/>
              </w:rPr>
            </w:pPr>
            <w:r>
              <w:rPr>
                <w:noProof/>
              </w:rPr>
              <w:t>Numéro séquentiel</w:t>
            </w:r>
          </w:p>
        </w:tc>
        <w:tc>
          <w:tcPr>
            <w:tcW w:w="3402" w:type="dxa"/>
            <w:shd w:val="clear" w:color="auto" w:fill="C6D9F1" w:themeFill="text2" w:themeFillTint="33"/>
            <w:hideMark/>
          </w:tcPr>
          <w:p w14:paraId="1216CA44" w14:textId="77777777" w:rsidR="003C4798" w:rsidRDefault="00417595">
            <w:pPr>
              <w:pStyle w:val="P68B1DB1-Normal99"/>
              <w:spacing w:line="240" w:lineRule="auto"/>
              <w:jc w:val="center"/>
              <w:textAlignment w:val="baseline"/>
              <w:rPr>
                <w:rFonts w:eastAsia="Times New Roman" w:cs="Times New Roman"/>
                <w:noProof/>
              </w:rPr>
            </w:pPr>
            <w:r>
              <w:rPr>
                <w:noProof/>
              </w:rPr>
              <w:t>Mesure connexe (réforme ou investissement)</w:t>
            </w:r>
          </w:p>
        </w:tc>
        <w:tc>
          <w:tcPr>
            <w:tcW w:w="1134" w:type="dxa"/>
            <w:shd w:val="clear" w:color="auto" w:fill="C6D9F1" w:themeFill="text2" w:themeFillTint="33"/>
            <w:hideMark/>
          </w:tcPr>
          <w:p w14:paraId="1216CA45" w14:textId="77777777" w:rsidR="003C4798" w:rsidRDefault="00417595">
            <w:pPr>
              <w:pStyle w:val="P68B1DB1-Normal99"/>
              <w:spacing w:line="240" w:lineRule="auto"/>
              <w:ind w:left="15"/>
              <w:jc w:val="center"/>
              <w:textAlignment w:val="baseline"/>
              <w:rPr>
                <w:rFonts w:eastAsia="Times New Roman" w:cs="Times New Roman"/>
                <w:noProof/>
              </w:rPr>
            </w:pPr>
            <w:r>
              <w:rPr>
                <w:noProof/>
              </w:rPr>
              <w:t>Étape/cible</w:t>
            </w:r>
          </w:p>
        </w:tc>
        <w:tc>
          <w:tcPr>
            <w:tcW w:w="3827" w:type="dxa"/>
            <w:shd w:val="clear" w:color="auto" w:fill="C6D9F1" w:themeFill="text2" w:themeFillTint="33"/>
            <w:hideMark/>
          </w:tcPr>
          <w:p w14:paraId="1216CA46" w14:textId="77777777" w:rsidR="003C4798" w:rsidRDefault="00417595">
            <w:pPr>
              <w:pStyle w:val="P68B1DB1-Normal99"/>
              <w:spacing w:line="240" w:lineRule="auto"/>
              <w:ind w:right="30"/>
              <w:jc w:val="center"/>
              <w:textAlignment w:val="baseline"/>
              <w:rPr>
                <w:rFonts w:eastAsia="Times New Roman" w:cs="Times New Roman"/>
                <w:noProof/>
              </w:rPr>
            </w:pPr>
            <w:r>
              <w:rPr>
                <w:noProof/>
              </w:rPr>
              <w:t>Nom</w:t>
            </w:r>
          </w:p>
        </w:tc>
      </w:tr>
      <w:tr w:rsidR="003C4798" w14:paraId="1216CA4C" w14:textId="77777777">
        <w:trPr>
          <w:trHeight w:val="300"/>
          <w:jc w:val="center"/>
        </w:trPr>
        <w:tc>
          <w:tcPr>
            <w:tcW w:w="1134" w:type="dxa"/>
            <w:shd w:val="clear" w:color="auto" w:fill="C6EFCE"/>
            <w:hideMark/>
          </w:tcPr>
          <w:p w14:paraId="1216CA48"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A3L </w:t>
            </w:r>
          </w:p>
        </w:tc>
        <w:tc>
          <w:tcPr>
            <w:tcW w:w="3402" w:type="dxa"/>
            <w:shd w:val="clear" w:color="auto" w:fill="C6EFCE"/>
            <w:hideMark/>
          </w:tcPr>
          <w:p w14:paraId="1216CA49" w14:textId="77777777" w:rsidR="003C4798" w:rsidRDefault="00417595">
            <w:pPr>
              <w:pStyle w:val="P68B1DB1-Normal85"/>
              <w:spacing w:line="240" w:lineRule="auto"/>
              <w:textAlignment w:val="baseline"/>
              <w:rPr>
                <w:rFonts w:eastAsia="Times New Roman" w:cs="Times New Roman"/>
                <w:noProof/>
              </w:rPr>
            </w:pPr>
            <w:r>
              <w:rPr>
                <w:noProof/>
              </w:rPr>
              <w:t>A2.5.1 Programme d'appui aux activités des entités des secteurs de la culture et de la création</w:t>
            </w:r>
          </w:p>
        </w:tc>
        <w:tc>
          <w:tcPr>
            <w:tcW w:w="1134" w:type="dxa"/>
            <w:shd w:val="clear" w:color="auto" w:fill="C6EFCE"/>
            <w:hideMark/>
          </w:tcPr>
          <w:p w14:paraId="1216CA4A"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827" w:type="dxa"/>
            <w:shd w:val="clear" w:color="auto" w:fill="C6EFCE"/>
            <w:hideMark/>
          </w:tcPr>
          <w:p w14:paraId="1216CA4B" w14:textId="77777777" w:rsidR="003C4798" w:rsidRDefault="00417595">
            <w:pPr>
              <w:pStyle w:val="P68B1DB1-Normal87"/>
              <w:spacing w:line="240" w:lineRule="auto"/>
              <w:ind w:right="30"/>
              <w:textAlignment w:val="baseline"/>
              <w:rPr>
                <w:noProof/>
              </w:rPr>
            </w:pPr>
            <w:r>
              <w:rPr>
                <w:noProof/>
              </w:rPr>
              <w:t>Nombre de contrats signés pour des projets dans les secteurs de la culture et de la création (SCC)</w:t>
            </w:r>
          </w:p>
        </w:tc>
      </w:tr>
      <w:tr w:rsidR="003C4798" w14:paraId="1216CA51" w14:textId="77777777">
        <w:trPr>
          <w:trHeight w:val="300"/>
          <w:jc w:val="center"/>
        </w:trPr>
        <w:tc>
          <w:tcPr>
            <w:tcW w:w="1134" w:type="dxa"/>
            <w:shd w:val="clear" w:color="auto" w:fill="C6EFCE"/>
            <w:hideMark/>
          </w:tcPr>
          <w:p w14:paraId="1216CA4D" w14:textId="77777777" w:rsidR="003C4798" w:rsidRDefault="00417595">
            <w:pPr>
              <w:pStyle w:val="P68B1DB1-Normal85"/>
              <w:spacing w:line="240" w:lineRule="auto"/>
              <w:ind w:right="30"/>
              <w:jc w:val="center"/>
              <w:textAlignment w:val="baseline"/>
              <w:rPr>
                <w:rFonts w:eastAsia="Times New Roman" w:cs="Times New Roman"/>
                <w:noProof/>
              </w:rPr>
            </w:pPr>
            <w:r>
              <w:rPr>
                <w:noProof/>
              </w:rPr>
              <w:t xml:space="preserve">A4L </w:t>
            </w:r>
          </w:p>
        </w:tc>
        <w:tc>
          <w:tcPr>
            <w:tcW w:w="3402" w:type="dxa"/>
            <w:shd w:val="clear" w:color="auto" w:fill="C6EFCE"/>
            <w:hideMark/>
          </w:tcPr>
          <w:p w14:paraId="1216CA4E" w14:textId="77777777" w:rsidR="003C4798" w:rsidRDefault="00417595">
            <w:pPr>
              <w:pStyle w:val="P68B1DB1-Normal85"/>
              <w:spacing w:line="240" w:lineRule="auto"/>
              <w:textAlignment w:val="baseline"/>
              <w:rPr>
                <w:rFonts w:eastAsia="Times New Roman" w:cs="Times New Roman"/>
                <w:noProof/>
              </w:rPr>
            </w:pPr>
            <w:r>
              <w:rPr>
                <w:noProof/>
              </w:rPr>
              <w:t>A2.5.1 Programme d'appui aux activités des entités des secteurs de la culture et de la création</w:t>
            </w:r>
          </w:p>
        </w:tc>
        <w:tc>
          <w:tcPr>
            <w:tcW w:w="1134" w:type="dxa"/>
            <w:shd w:val="clear" w:color="auto" w:fill="C6EFCE"/>
            <w:hideMark/>
          </w:tcPr>
          <w:p w14:paraId="1216CA4F" w14:textId="77777777" w:rsidR="003C4798" w:rsidRDefault="00417595">
            <w:pPr>
              <w:pStyle w:val="P68B1DB1-Normal85"/>
              <w:spacing w:line="240" w:lineRule="auto"/>
              <w:ind w:right="30"/>
              <w:jc w:val="center"/>
              <w:textAlignment w:val="baseline"/>
              <w:rPr>
                <w:rFonts w:eastAsia="Times New Roman" w:cs="Times New Roman"/>
                <w:noProof/>
              </w:rPr>
            </w:pPr>
            <w:r>
              <w:rPr>
                <w:noProof/>
              </w:rPr>
              <w:t>Objectif</w:t>
            </w:r>
          </w:p>
        </w:tc>
        <w:tc>
          <w:tcPr>
            <w:tcW w:w="3827" w:type="dxa"/>
            <w:shd w:val="clear" w:color="auto" w:fill="C6EFCE"/>
            <w:hideMark/>
          </w:tcPr>
          <w:p w14:paraId="1216CA50" w14:textId="77777777" w:rsidR="003C4798" w:rsidRDefault="00417595">
            <w:pPr>
              <w:pStyle w:val="P68B1DB1-Normal87"/>
              <w:spacing w:line="240" w:lineRule="auto"/>
              <w:textAlignment w:val="baseline"/>
              <w:rPr>
                <w:noProof/>
              </w:rPr>
            </w:pPr>
            <w:r>
              <w:rPr>
                <w:noProof/>
              </w:rPr>
              <w:t>Nombre de bourses octroyées dans les secteurs de la culture et de la création (SCC)</w:t>
            </w:r>
          </w:p>
        </w:tc>
      </w:tr>
      <w:tr w:rsidR="003C4798" w14:paraId="1216CA56" w14:textId="77777777">
        <w:trPr>
          <w:trHeight w:val="300"/>
          <w:jc w:val="center"/>
        </w:trPr>
        <w:tc>
          <w:tcPr>
            <w:tcW w:w="1134" w:type="dxa"/>
            <w:shd w:val="clear" w:color="auto" w:fill="C6EFCE"/>
            <w:hideMark/>
          </w:tcPr>
          <w:p w14:paraId="1216CA52" w14:textId="77777777" w:rsidR="003C4798" w:rsidRDefault="00417595">
            <w:pPr>
              <w:pStyle w:val="P68B1DB1-Normal85"/>
              <w:spacing w:line="240" w:lineRule="auto"/>
              <w:jc w:val="center"/>
              <w:rPr>
                <w:noProof/>
              </w:rPr>
            </w:pPr>
            <w:r>
              <w:rPr>
                <w:noProof/>
              </w:rPr>
              <w:t>A7L</w:t>
            </w:r>
          </w:p>
        </w:tc>
        <w:tc>
          <w:tcPr>
            <w:tcW w:w="3402" w:type="dxa"/>
            <w:shd w:val="clear" w:color="auto" w:fill="C6EFCE"/>
            <w:hideMark/>
          </w:tcPr>
          <w:p w14:paraId="1216CA53" w14:textId="77777777" w:rsidR="003C4798" w:rsidRDefault="00417595">
            <w:pPr>
              <w:pStyle w:val="P68B1DB1-Normal85"/>
              <w:spacing w:line="240" w:lineRule="auto"/>
              <w:rPr>
                <w:noProof/>
              </w:rPr>
            </w:pPr>
            <w:r>
              <w:rPr>
                <w:noProof/>
              </w:rPr>
              <w:t>A2.6 Réforme du système national de surveillance des services, produits, outils d'analyse, services et infrastructures d'accompagnement utilisant les données satellitaires</w:t>
            </w:r>
          </w:p>
        </w:tc>
        <w:tc>
          <w:tcPr>
            <w:tcW w:w="1134" w:type="dxa"/>
            <w:shd w:val="clear" w:color="auto" w:fill="C6EFCE"/>
            <w:hideMark/>
          </w:tcPr>
          <w:p w14:paraId="1216CA54" w14:textId="77777777" w:rsidR="003C4798" w:rsidRDefault="00417595">
            <w:pPr>
              <w:pStyle w:val="P68B1DB1-Normal85"/>
              <w:spacing w:line="240" w:lineRule="auto"/>
              <w:ind w:right="30"/>
              <w:jc w:val="center"/>
              <w:rPr>
                <w:noProof/>
              </w:rPr>
            </w:pPr>
            <w:r>
              <w:rPr>
                <w:noProof/>
              </w:rPr>
              <w:t>Étape</w:t>
            </w:r>
          </w:p>
        </w:tc>
        <w:tc>
          <w:tcPr>
            <w:tcW w:w="3827" w:type="dxa"/>
            <w:shd w:val="clear" w:color="auto" w:fill="C6EFCE"/>
            <w:hideMark/>
          </w:tcPr>
          <w:p w14:paraId="1216CA55" w14:textId="77777777" w:rsidR="003C4798" w:rsidRDefault="00417595">
            <w:pPr>
              <w:pStyle w:val="P68B1DB1-Normal87"/>
              <w:spacing w:line="240" w:lineRule="auto"/>
              <w:rPr>
                <w:noProof/>
              </w:rPr>
            </w:pPr>
            <w:r>
              <w:rPr>
                <w:noProof/>
              </w:rPr>
              <w:t>Entrée en vigueur d'une loi sur les activités spatiales</w:t>
            </w:r>
          </w:p>
        </w:tc>
      </w:tr>
      <w:tr w:rsidR="003C4798" w14:paraId="1216CA5B" w14:textId="77777777">
        <w:trPr>
          <w:trHeight w:val="300"/>
          <w:jc w:val="center"/>
        </w:trPr>
        <w:tc>
          <w:tcPr>
            <w:tcW w:w="1134" w:type="dxa"/>
            <w:shd w:val="clear" w:color="auto" w:fill="C6EFCE"/>
            <w:hideMark/>
          </w:tcPr>
          <w:p w14:paraId="1216CA57" w14:textId="77777777" w:rsidR="003C4798" w:rsidRDefault="00417595">
            <w:pPr>
              <w:pStyle w:val="P68B1DB1-Normal85"/>
              <w:spacing w:line="240" w:lineRule="auto"/>
              <w:jc w:val="center"/>
              <w:textAlignment w:val="baseline"/>
              <w:rPr>
                <w:rFonts w:eastAsia="Times New Roman" w:cs="Times New Roman"/>
                <w:noProof/>
              </w:rPr>
            </w:pPr>
            <w:r>
              <w:rPr>
                <w:noProof/>
              </w:rPr>
              <w:t>A13L </w:t>
            </w:r>
          </w:p>
        </w:tc>
        <w:tc>
          <w:tcPr>
            <w:tcW w:w="3402" w:type="dxa"/>
            <w:shd w:val="clear" w:color="auto" w:fill="C6EFCE"/>
            <w:hideMark/>
          </w:tcPr>
          <w:p w14:paraId="1216CA58" w14:textId="77777777" w:rsidR="003C4798" w:rsidRDefault="00417595">
            <w:pPr>
              <w:pStyle w:val="P68B1DB1-Normal85"/>
              <w:spacing w:line="240" w:lineRule="auto"/>
              <w:textAlignment w:val="baseline"/>
              <w:rPr>
                <w:rFonts w:eastAsia="Times New Roman" w:cs="Times New Roman"/>
                <w:noProof/>
              </w:rPr>
            </w:pPr>
            <w:r>
              <w:rPr>
                <w:noProof/>
              </w:rPr>
              <w:t>A2.7.1 Fonds pour la sécurité et la défense</w:t>
            </w:r>
          </w:p>
        </w:tc>
        <w:tc>
          <w:tcPr>
            <w:tcW w:w="1134" w:type="dxa"/>
            <w:shd w:val="clear" w:color="auto" w:fill="C6EFCE"/>
            <w:hideMark/>
          </w:tcPr>
          <w:p w14:paraId="1216CA59" w14:textId="77777777" w:rsidR="003C4798" w:rsidRDefault="00417595">
            <w:pPr>
              <w:pStyle w:val="P68B1DB1-Normal85"/>
              <w:spacing w:line="240" w:lineRule="auto"/>
              <w:ind w:right="30"/>
              <w:jc w:val="center"/>
              <w:rPr>
                <w:rFonts w:eastAsia="Times New Roman" w:cs="Times New Roman"/>
                <w:noProof/>
              </w:rPr>
            </w:pPr>
            <w:r>
              <w:rPr>
                <w:noProof/>
              </w:rPr>
              <w:t>Étape</w:t>
            </w:r>
          </w:p>
        </w:tc>
        <w:tc>
          <w:tcPr>
            <w:tcW w:w="3827" w:type="dxa"/>
            <w:shd w:val="clear" w:color="auto" w:fill="C6EFCE"/>
            <w:hideMark/>
          </w:tcPr>
          <w:p w14:paraId="1216CA5A" w14:textId="77777777" w:rsidR="003C4798" w:rsidRDefault="00417595">
            <w:pPr>
              <w:pStyle w:val="P68B1DB1-Normal87"/>
              <w:spacing w:line="240" w:lineRule="auto"/>
              <w:textAlignment w:val="baseline"/>
              <w:rPr>
                <w:noProof/>
              </w:rPr>
            </w:pPr>
            <w:r>
              <w:rPr>
                <w:noProof/>
              </w:rPr>
              <w:t>Adoption de la politique d'investissement</w:t>
            </w:r>
          </w:p>
        </w:tc>
      </w:tr>
      <w:tr w:rsidR="003C4798" w14:paraId="1216CA60" w14:textId="77777777">
        <w:trPr>
          <w:trHeight w:val="300"/>
          <w:jc w:val="center"/>
        </w:trPr>
        <w:tc>
          <w:tcPr>
            <w:tcW w:w="1134" w:type="dxa"/>
            <w:shd w:val="clear" w:color="auto" w:fill="C6EFCE"/>
            <w:hideMark/>
          </w:tcPr>
          <w:p w14:paraId="1216CA5C" w14:textId="77777777" w:rsidR="003C4798" w:rsidRDefault="00417595">
            <w:pPr>
              <w:pStyle w:val="P68B1DB1-Normal85"/>
              <w:spacing w:line="240" w:lineRule="auto"/>
              <w:ind w:right="45"/>
              <w:jc w:val="center"/>
              <w:textAlignment w:val="baseline"/>
              <w:rPr>
                <w:rFonts w:eastAsia="Times New Roman" w:cs="Times New Roman"/>
                <w:noProof/>
              </w:rPr>
            </w:pPr>
            <w:r>
              <w:rPr>
                <w:noProof/>
              </w:rPr>
              <w:t xml:space="preserve">B5L </w:t>
            </w:r>
          </w:p>
        </w:tc>
        <w:tc>
          <w:tcPr>
            <w:tcW w:w="3402" w:type="dxa"/>
            <w:shd w:val="clear" w:color="auto" w:fill="C6EFCE"/>
            <w:hideMark/>
          </w:tcPr>
          <w:p w14:paraId="1216CA5D" w14:textId="77777777" w:rsidR="003C4798" w:rsidRDefault="00417595">
            <w:pPr>
              <w:pStyle w:val="P68B1DB1-Normal85"/>
              <w:spacing w:line="240" w:lineRule="auto"/>
              <w:textAlignment w:val="baseline"/>
              <w:rPr>
                <w:rFonts w:eastAsia="Times New Roman" w:cs="Times New Roman"/>
                <w:noProof/>
              </w:rPr>
            </w:pPr>
            <w:r>
              <w:rPr>
                <w:noProof/>
              </w:rPr>
              <w:t>B2.3 Soutien aux investissements dans les parcs éoliens en mer</w:t>
            </w:r>
          </w:p>
        </w:tc>
        <w:tc>
          <w:tcPr>
            <w:tcW w:w="1134" w:type="dxa"/>
            <w:shd w:val="clear" w:color="auto" w:fill="C6EFCE"/>
            <w:hideMark/>
          </w:tcPr>
          <w:p w14:paraId="1216CA5E" w14:textId="77777777" w:rsidR="003C4798" w:rsidRDefault="00417595">
            <w:pPr>
              <w:pStyle w:val="P68B1DB1-Normal85"/>
              <w:spacing w:line="240" w:lineRule="auto"/>
              <w:ind w:right="30"/>
              <w:jc w:val="center"/>
              <w:rPr>
                <w:rFonts w:eastAsia="Times New Roman" w:cs="Times New Roman"/>
                <w:noProof/>
              </w:rPr>
            </w:pPr>
            <w:r>
              <w:rPr>
                <w:noProof/>
              </w:rPr>
              <w:t>Étape</w:t>
            </w:r>
          </w:p>
        </w:tc>
        <w:tc>
          <w:tcPr>
            <w:tcW w:w="3827" w:type="dxa"/>
            <w:shd w:val="clear" w:color="auto" w:fill="C6EFCE"/>
            <w:hideMark/>
          </w:tcPr>
          <w:p w14:paraId="1216CA5F" w14:textId="77777777" w:rsidR="003C4798" w:rsidRDefault="00417595">
            <w:pPr>
              <w:pStyle w:val="P68B1DB1-Normal87"/>
              <w:spacing w:line="240" w:lineRule="auto"/>
              <w:textAlignment w:val="baseline"/>
              <w:rPr>
                <w:noProof/>
              </w:rPr>
            </w:pPr>
            <w:r>
              <w:rPr>
                <w:noProof/>
              </w:rPr>
              <w:t>Résultats des contrats d’enchères de différence pour l’éolien en mer</w:t>
            </w:r>
          </w:p>
        </w:tc>
      </w:tr>
      <w:tr w:rsidR="003C4798" w14:paraId="1216CA65" w14:textId="77777777">
        <w:trPr>
          <w:trHeight w:val="300"/>
          <w:jc w:val="center"/>
        </w:trPr>
        <w:tc>
          <w:tcPr>
            <w:tcW w:w="1134" w:type="dxa"/>
            <w:shd w:val="clear" w:color="auto" w:fill="C6EFCE"/>
            <w:hideMark/>
          </w:tcPr>
          <w:p w14:paraId="1216CA61" w14:textId="77777777" w:rsidR="003C4798" w:rsidRDefault="00417595">
            <w:pPr>
              <w:pStyle w:val="P68B1DB1-Normal85"/>
              <w:spacing w:line="240" w:lineRule="auto"/>
              <w:jc w:val="center"/>
              <w:rPr>
                <w:rFonts w:eastAsia="Times New Roman" w:cs="Times New Roman"/>
                <w:noProof/>
              </w:rPr>
            </w:pPr>
            <w:r>
              <w:rPr>
                <w:noProof/>
              </w:rPr>
              <w:t>B6aL </w:t>
            </w:r>
          </w:p>
        </w:tc>
        <w:tc>
          <w:tcPr>
            <w:tcW w:w="3402" w:type="dxa"/>
            <w:shd w:val="clear" w:color="auto" w:fill="C6EFCE"/>
            <w:hideMark/>
          </w:tcPr>
          <w:p w14:paraId="1216CA62" w14:textId="77777777" w:rsidR="003C4798" w:rsidRDefault="00417595">
            <w:pPr>
              <w:pStyle w:val="P68B1DB1-Normal85"/>
              <w:spacing w:line="240" w:lineRule="auto"/>
              <w:rPr>
                <w:rFonts w:eastAsia="Times New Roman" w:cs="Times New Roman"/>
                <w:noProof/>
              </w:rPr>
            </w:pPr>
            <w:r>
              <w:rPr>
                <w:noProof/>
              </w:rPr>
              <w:t>B2.3 Soutien aux investissements dans les parcs éoliens en mer</w:t>
            </w:r>
          </w:p>
        </w:tc>
        <w:tc>
          <w:tcPr>
            <w:tcW w:w="1134" w:type="dxa"/>
            <w:shd w:val="clear" w:color="auto" w:fill="C6EFCE"/>
            <w:hideMark/>
          </w:tcPr>
          <w:p w14:paraId="1216CA63" w14:textId="77777777" w:rsidR="003C4798" w:rsidRDefault="00417595">
            <w:pPr>
              <w:pStyle w:val="P68B1DB1-Normal85"/>
              <w:spacing w:line="240" w:lineRule="auto"/>
              <w:ind w:right="30"/>
              <w:jc w:val="center"/>
              <w:rPr>
                <w:rFonts w:eastAsia="Times New Roman" w:cs="Times New Roman"/>
                <w:noProof/>
              </w:rPr>
            </w:pPr>
            <w:r>
              <w:rPr>
                <w:noProof/>
              </w:rPr>
              <w:t>Étape</w:t>
            </w:r>
          </w:p>
        </w:tc>
        <w:tc>
          <w:tcPr>
            <w:tcW w:w="3827" w:type="dxa"/>
            <w:shd w:val="clear" w:color="auto" w:fill="C6EFCE"/>
            <w:hideMark/>
          </w:tcPr>
          <w:p w14:paraId="1216CA64" w14:textId="77777777" w:rsidR="003C4798" w:rsidRDefault="00417595">
            <w:pPr>
              <w:pStyle w:val="P68B1DB1-Normal87"/>
              <w:spacing w:line="240" w:lineRule="auto"/>
              <w:rPr>
                <w:noProof/>
              </w:rPr>
            </w:pPr>
            <w:r>
              <w:rPr>
                <w:noProof/>
              </w:rPr>
              <w:t>Étude sur les mesures visant à limiter les contraintes d’allocation dans le système électrique polonais</w:t>
            </w:r>
          </w:p>
        </w:tc>
      </w:tr>
      <w:tr w:rsidR="003C4798" w14:paraId="1216CA6A" w14:textId="77777777">
        <w:trPr>
          <w:trHeight w:val="300"/>
          <w:jc w:val="center"/>
        </w:trPr>
        <w:tc>
          <w:tcPr>
            <w:tcW w:w="1134" w:type="dxa"/>
            <w:shd w:val="clear" w:color="auto" w:fill="C6EFCE"/>
          </w:tcPr>
          <w:p w14:paraId="1216CA66" w14:textId="77777777" w:rsidR="003C4798" w:rsidRDefault="00417595">
            <w:pPr>
              <w:pStyle w:val="P68B1DB1-Normal85"/>
              <w:spacing w:line="240" w:lineRule="auto"/>
              <w:jc w:val="center"/>
              <w:rPr>
                <w:noProof/>
              </w:rPr>
            </w:pPr>
            <w:r>
              <w:rPr>
                <w:noProof/>
              </w:rPr>
              <w:t>C13aL</w:t>
            </w:r>
          </w:p>
        </w:tc>
        <w:tc>
          <w:tcPr>
            <w:tcW w:w="3402" w:type="dxa"/>
            <w:shd w:val="clear" w:color="auto" w:fill="C6EFCE"/>
          </w:tcPr>
          <w:p w14:paraId="1216CA67" w14:textId="77777777" w:rsidR="003C4798" w:rsidRDefault="00417595">
            <w:pPr>
              <w:pStyle w:val="P68B1DB1-Normal85"/>
              <w:spacing w:line="240" w:lineRule="auto"/>
              <w:ind w:right="15"/>
              <w:rPr>
                <w:rFonts w:eastAsia="Times New Roman" w:cs="Times New Roman"/>
                <w:noProof/>
              </w:rPr>
            </w:pPr>
            <w:r>
              <w:rPr>
                <w:noProof/>
              </w:rPr>
              <w:t>C2.2.1 Les technologies numériques dans l'enseignement</w:t>
            </w:r>
          </w:p>
        </w:tc>
        <w:tc>
          <w:tcPr>
            <w:tcW w:w="1134" w:type="dxa"/>
            <w:shd w:val="clear" w:color="auto" w:fill="C6EFCE"/>
          </w:tcPr>
          <w:p w14:paraId="1216CA68" w14:textId="77777777" w:rsidR="003C4798" w:rsidRDefault="00417595">
            <w:pPr>
              <w:pStyle w:val="P68B1DB1-Normal85"/>
              <w:spacing w:line="240" w:lineRule="auto"/>
              <w:jc w:val="center"/>
              <w:rPr>
                <w:noProof/>
              </w:rPr>
            </w:pPr>
            <w:r>
              <w:rPr>
                <w:noProof/>
              </w:rPr>
              <w:t>Étape</w:t>
            </w:r>
          </w:p>
        </w:tc>
        <w:tc>
          <w:tcPr>
            <w:tcW w:w="3827" w:type="dxa"/>
            <w:shd w:val="clear" w:color="auto" w:fill="C6EFCE"/>
          </w:tcPr>
          <w:p w14:paraId="1216CA69" w14:textId="64B489E0" w:rsidR="003C4798" w:rsidRDefault="00417595">
            <w:pPr>
              <w:pStyle w:val="P68B1DB1-Normal87"/>
              <w:spacing w:line="240" w:lineRule="auto"/>
              <w:rPr>
                <w:noProof/>
              </w:rPr>
            </w:pPr>
            <w:r>
              <w:rPr>
                <w:noProof/>
              </w:rPr>
              <w:t>Accord(s)-cadre(s) pour les laboratoires d’intelligence artificielle (IA)</w:t>
            </w:r>
          </w:p>
        </w:tc>
      </w:tr>
      <w:tr w:rsidR="003C4798" w14:paraId="1216CA79" w14:textId="77777777">
        <w:trPr>
          <w:trHeight w:val="300"/>
          <w:jc w:val="center"/>
        </w:trPr>
        <w:tc>
          <w:tcPr>
            <w:tcW w:w="1134" w:type="dxa"/>
            <w:shd w:val="clear" w:color="auto" w:fill="C6EFCE"/>
            <w:hideMark/>
          </w:tcPr>
          <w:p w14:paraId="1216CA75" w14:textId="77777777" w:rsidR="003C4798" w:rsidRDefault="00417595">
            <w:pPr>
              <w:pStyle w:val="P68B1DB1-Normal85"/>
              <w:spacing w:line="240" w:lineRule="auto"/>
              <w:ind w:right="45"/>
              <w:jc w:val="center"/>
              <w:textAlignment w:val="baseline"/>
              <w:rPr>
                <w:rFonts w:eastAsia="Times New Roman" w:cs="Times New Roman"/>
                <w:noProof/>
              </w:rPr>
            </w:pPr>
            <w:r>
              <w:rPr>
                <w:noProof/>
              </w:rPr>
              <w:t xml:space="preserve">E2L </w:t>
            </w:r>
          </w:p>
        </w:tc>
        <w:tc>
          <w:tcPr>
            <w:tcW w:w="3402" w:type="dxa"/>
            <w:shd w:val="clear" w:color="auto" w:fill="C6EFCE"/>
            <w:hideMark/>
          </w:tcPr>
          <w:p w14:paraId="1216CA76" w14:textId="77777777" w:rsidR="003C4798" w:rsidRDefault="00417595">
            <w:pPr>
              <w:pStyle w:val="P68B1DB1-Normal85"/>
              <w:spacing w:line="240" w:lineRule="auto"/>
              <w:ind w:right="15"/>
              <w:textAlignment w:val="baseline"/>
              <w:rPr>
                <w:rFonts w:eastAsia="Times New Roman" w:cs="Times New Roman"/>
                <w:noProof/>
              </w:rPr>
            </w:pPr>
            <w:r>
              <w:rPr>
                <w:noProof/>
              </w:rPr>
              <w:t>E1.2 2 Accroître la part des transports à émissions nulles et faibles, prévenir et réduire l'impact négatif des transports sur l'environnement</w:t>
            </w:r>
          </w:p>
        </w:tc>
        <w:tc>
          <w:tcPr>
            <w:tcW w:w="1134" w:type="dxa"/>
            <w:shd w:val="clear" w:color="auto" w:fill="C6EFCE"/>
            <w:hideMark/>
          </w:tcPr>
          <w:p w14:paraId="1216CA77" w14:textId="77777777" w:rsidR="003C4798" w:rsidRDefault="00417595">
            <w:pPr>
              <w:pStyle w:val="P68B1DB1-Normal85"/>
              <w:spacing w:line="240" w:lineRule="auto"/>
              <w:ind w:right="30"/>
              <w:jc w:val="center"/>
              <w:rPr>
                <w:rFonts w:eastAsia="Times New Roman" w:cs="Times New Roman"/>
                <w:noProof/>
              </w:rPr>
            </w:pPr>
            <w:r>
              <w:rPr>
                <w:noProof/>
              </w:rPr>
              <w:t>Étape</w:t>
            </w:r>
          </w:p>
        </w:tc>
        <w:tc>
          <w:tcPr>
            <w:tcW w:w="3827" w:type="dxa"/>
            <w:shd w:val="clear" w:color="auto" w:fill="C6EFCE"/>
            <w:hideMark/>
          </w:tcPr>
          <w:p w14:paraId="1216CA78" w14:textId="77777777" w:rsidR="003C4798" w:rsidRDefault="00417595">
            <w:pPr>
              <w:pStyle w:val="P68B1DB1-Normal87"/>
              <w:spacing w:line="240" w:lineRule="auto"/>
              <w:textAlignment w:val="baseline"/>
              <w:rPr>
                <w:noProof/>
              </w:rPr>
            </w:pPr>
            <w:r>
              <w:rPr>
                <w:noProof/>
              </w:rPr>
              <w:t>Zones de transport à faibles émissions</w:t>
            </w:r>
          </w:p>
        </w:tc>
      </w:tr>
      <w:tr w:rsidR="003C4798" w14:paraId="31A3CDEC" w14:textId="77777777">
        <w:trPr>
          <w:trHeight w:val="300"/>
          <w:jc w:val="center"/>
        </w:trPr>
        <w:tc>
          <w:tcPr>
            <w:tcW w:w="1134" w:type="dxa"/>
            <w:shd w:val="clear" w:color="auto" w:fill="C6EFCE"/>
          </w:tcPr>
          <w:p w14:paraId="5E207C94" w14:textId="79712C91" w:rsidR="003C4798" w:rsidRDefault="00417595">
            <w:pPr>
              <w:pStyle w:val="P68B1DB1-Normal85"/>
              <w:spacing w:line="240" w:lineRule="auto"/>
              <w:ind w:right="45"/>
              <w:jc w:val="center"/>
              <w:textAlignment w:val="baseline"/>
              <w:rPr>
                <w:noProof/>
              </w:rPr>
            </w:pPr>
            <w:r>
              <w:rPr>
                <w:noProof/>
              </w:rPr>
              <w:t xml:space="preserve">E4L </w:t>
            </w:r>
          </w:p>
        </w:tc>
        <w:tc>
          <w:tcPr>
            <w:tcW w:w="3402" w:type="dxa"/>
            <w:shd w:val="clear" w:color="auto" w:fill="C6EFCE"/>
          </w:tcPr>
          <w:p w14:paraId="1F5810C2" w14:textId="728DADA0" w:rsidR="003C4798" w:rsidRDefault="00417595">
            <w:pPr>
              <w:pStyle w:val="P68B1DB1-Normal85"/>
              <w:spacing w:line="240" w:lineRule="auto"/>
              <w:ind w:right="15"/>
              <w:textAlignment w:val="baseline"/>
              <w:rPr>
                <w:noProof/>
              </w:rPr>
            </w:pPr>
            <w:r>
              <w:rPr>
                <w:noProof/>
              </w:rPr>
              <w:t>E1.2.1 Transports publics dans les villes (trams)</w:t>
            </w:r>
          </w:p>
        </w:tc>
        <w:tc>
          <w:tcPr>
            <w:tcW w:w="1134" w:type="dxa"/>
            <w:shd w:val="clear" w:color="auto" w:fill="C6EFCE"/>
          </w:tcPr>
          <w:p w14:paraId="1087B7E6" w14:textId="5B241773" w:rsidR="003C4798" w:rsidRDefault="00417595">
            <w:pPr>
              <w:pStyle w:val="P68B1DB1-Normal85"/>
              <w:spacing w:line="240" w:lineRule="auto"/>
              <w:ind w:right="30"/>
              <w:jc w:val="center"/>
              <w:rPr>
                <w:noProof/>
              </w:rPr>
            </w:pPr>
            <w:r>
              <w:rPr>
                <w:noProof/>
              </w:rPr>
              <w:t>Objectif</w:t>
            </w:r>
          </w:p>
        </w:tc>
        <w:tc>
          <w:tcPr>
            <w:tcW w:w="3827" w:type="dxa"/>
            <w:shd w:val="clear" w:color="auto" w:fill="C6EFCE"/>
          </w:tcPr>
          <w:p w14:paraId="41A6A8BA" w14:textId="404ACFA8" w:rsidR="003C4798" w:rsidRDefault="00417595">
            <w:pPr>
              <w:pStyle w:val="P68B1DB1-Normal87"/>
              <w:spacing w:line="240" w:lineRule="auto"/>
              <w:textAlignment w:val="baseline"/>
              <w:rPr>
                <w:noProof/>
              </w:rPr>
            </w:pPr>
            <w:r>
              <w:rPr>
                <w:noProof/>
              </w:rPr>
              <w:t>Tramway</w:t>
            </w:r>
          </w:p>
        </w:tc>
      </w:tr>
      <w:tr w:rsidR="003C4798" w14:paraId="1216CA7E" w14:textId="77777777">
        <w:trPr>
          <w:trHeight w:val="300"/>
          <w:jc w:val="center"/>
        </w:trPr>
        <w:tc>
          <w:tcPr>
            <w:tcW w:w="1134" w:type="dxa"/>
            <w:shd w:val="clear" w:color="auto" w:fill="C6EFCE"/>
            <w:hideMark/>
          </w:tcPr>
          <w:p w14:paraId="1216CA7A" w14:textId="77777777" w:rsidR="003C4798" w:rsidRDefault="00417595">
            <w:pPr>
              <w:pStyle w:val="P68B1DB1-Normal85"/>
              <w:spacing w:line="240" w:lineRule="auto"/>
              <w:ind w:right="45"/>
              <w:jc w:val="center"/>
              <w:rPr>
                <w:noProof/>
              </w:rPr>
            </w:pPr>
            <w:r>
              <w:rPr>
                <w:noProof/>
              </w:rPr>
              <w:t>E9L</w:t>
            </w:r>
          </w:p>
        </w:tc>
        <w:tc>
          <w:tcPr>
            <w:tcW w:w="3402" w:type="dxa"/>
            <w:shd w:val="clear" w:color="auto" w:fill="C6EFCE"/>
            <w:hideMark/>
          </w:tcPr>
          <w:p w14:paraId="1216CA7B" w14:textId="77777777" w:rsidR="003C4798" w:rsidRDefault="00417595">
            <w:pPr>
              <w:pStyle w:val="P68B1DB1-Normal85"/>
              <w:spacing w:line="240" w:lineRule="auto"/>
              <w:ind w:right="45"/>
              <w:rPr>
                <w:noProof/>
              </w:rPr>
            </w:pPr>
            <w:r>
              <w:rPr>
                <w:noProof/>
              </w:rPr>
              <w:t>E3.1.1 Facilité de soutien à une économie à faible intensité de carbone</w:t>
            </w:r>
          </w:p>
        </w:tc>
        <w:tc>
          <w:tcPr>
            <w:tcW w:w="1134" w:type="dxa"/>
            <w:shd w:val="clear" w:color="auto" w:fill="C6EFCE"/>
            <w:hideMark/>
          </w:tcPr>
          <w:p w14:paraId="1216CA7C" w14:textId="77777777" w:rsidR="003C4798" w:rsidRDefault="00417595">
            <w:pPr>
              <w:pStyle w:val="P68B1DB1-Normal85"/>
              <w:spacing w:line="240" w:lineRule="auto"/>
              <w:ind w:right="45"/>
              <w:jc w:val="center"/>
              <w:rPr>
                <w:noProof/>
              </w:rPr>
            </w:pPr>
            <w:r>
              <w:rPr>
                <w:noProof/>
              </w:rPr>
              <w:t>Étape</w:t>
            </w:r>
          </w:p>
        </w:tc>
        <w:tc>
          <w:tcPr>
            <w:tcW w:w="3827" w:type="dxa"/>
            <w:shd w:val="clear" w:color="auto" w:fill="C6EFCE"/>
            <w:hideMark/>
          </w:tcPr>
          <w:p w14:paraId="1216CA7D" w14:textId="77777777" w:rsidR="003C4798" w:rsidRDefault="00417595">
            <w:pPr>
              <w:pStyle w:val="P68B1DB1-Normal87"/>
              <w:spacing w:line="240" w:lineRule="auto"/>
              <w:ind w:right="45"/>
              <w:rPr>
                <w:noProof/>
              </w:rPr>
            </w:pPr>
            <w:r>
              <w:rPr>
                <w:noProof/>
              </w:rPr>
              <w:t>Signature des accords de financement</w:t>
            </w:r>
          </w:p>
        </w:tc>
      </w:tr>
      <w:tr w:rsidR="003C4798" w14:paraId="1216CA83" w14:textId="77777777">
        <w:trPr>
          <w:trHeight w:val="300"/>
          <w:jc w:val="center"/>
        </w:trPr>
        <w:tc>
          <w:tcPr>
            <w:tcW w:w="1134" w:type="dxa"/>
            <w:shd w:val="clear" w:color="auto" w:fill="C6EFCE"/>
            <w:hideMark/>
          </w:tcPr>
          <w:p w14:paraId="1216CA7F" w14:textId="77777777" w:rsidR="003C4798" w:rsidRDefault="00417595">
            <w:pPr>
              <w:pStyle w:val="P68B1DB1-Normal85"/>
              <w:spacing w:line="240" w:lineRule="auto"/>
              <w:jc w:val="center"/>
              <w:textAlignment w:val="baseline"/>
              <w:rPr>
                <w:rFonts w:eastAsia="Times New Roman" w:cs="Times New Roman"/>
                <w:noProof/>
              </w:rPr>
            </w:pPr>
            <w:r>
              <w:rPr>
                <w:noProof/>
              </w:rPr>
              <w:t xml:space="preserve">G10L </w:t>
            </w:r>
          </w:p>
        </w:tc>
        <w:tc>
          <w:tcPr>
            <w:tcW w:w="3402" w:type="dxa"/>
            <w:shd w:val="clear" w:color="auto" w:fill="C6EFCE"/>
            <w:hideMark/>
          </w:tcPr>
          <w:p w14:paraId="1216CA80" w14:textId="77777777" w:rsidR="003C4798" w:rsidRDefault="00417595">
            <w:pPr>
              <w:pStyle w:val="P68B1DB1-Normal85"/>
              <w:spacing w:line="240" w:lineRule="auto"/>
              <w:textAlignment w:val="baseline"/>
              <w:rPr>
                <w:rFonts w:eastAsia="Times New Roman" w:cs="Times New Roman"/>
                <w:noProof/>
              </w:rPr>
            </w:pPr>
            <w:r>
              <w:rPr>
                <w:noProof/>
              </w:rPr>
              <w:t>G3.1.2 Compétences pour la transition écologique</w:t>
            </w:r>
          </w:p>
        </w:tc>
        <w:tc>
          <w:tcPr>
            <w:tcW w:w="1134" w:type="dxa"/>
            <w:shd w:val="clear" w:color="auto" w:fill="C6EFCE"/>
            <w:hideMark/>
          </w:tcPr>
          <w:p w14:paraId="1216CA81" w14:textId="77777777" w:rsidR="003C4798" w:rsidRDefault="00417595">
            <w:pPr>
              <w:pStyle w:val="P68B1DB1-Normal85"/>
              <w:spacing w:line="240" w:lineRule="auto"/>
              <w:ind w:left="75"/>
              <w:jc w:val="center"/>
              <w:textAlignment w:val="baseline"/>
              <w:rPr>
                <w:rFonts w:eastAsia="Times New Roman" w:cs="Times New Roman"/>
                <w:noProof/>
              </w:rPr>
            </w:pPr>
            <w:r>
              <w:rPr>
                <w:noProof/>
              </w:rPr>
              <w:t>Étape</w:t>
            </w:r>
          </w:p>
        </w:tc>
        <w:tc>
          <w:tcPr>
            <w:tcW w:w="3827" w:type="dxa"/>
            <w:shd w:val="clear" w:color="auto" w:fill="C6EFCE"/>
            <w:hideMark/>
          </w:tcPr>
          <w:p w14:paraId="1216CA82" w14:textId="77777777" w:rsidR="003C4798" w:rsidRDefault="00417595">
            <w:pPr>
              <w:pStyle w:val="P68B1DB1-Normal87"/>
              <w:spacing w:line="240" w:lineRule="auto"/>
              <w:textAlignment w:val="baseline"/>
              <w:rPr>
                <w:noProof/>
              </w:rPr>
            </w:pPr>
            <w:r>
              <w:rPr>
                <w:noProof/>
              </w:rPr>
              <w:t>Cadres sectoriels de certification pour la construction, l’énergie, la gestion de l’eau et la gestion des déchets intégrés dans le système intégré de certification</w:t>
            </w:r>
          </w:p>
        </w:tc>
      </w:tr>
      <w:tr w:rsidR="003C4798" w14:paraId="1216CA88" w14:textId="77777777">
        <w:trPr>
          <w:trHeight w:val="300"/>
          <w:jc w:val="center"/>
        </w:trPr>
        <w:tc>
          <w:tcPr>
            <w:tcW w:w="1134" w:type="dxa"/>
            <w:shd w:val="clear" w:color="auto" w:fill="C6EFCE"/>
          </w:tcPr>
          <w:p w14:paraId="1216CA84" w14:textId="77777777" w:rsidR="003C4798" w:rsidRDefault="00417595">
            <w:pPr>
              <w:pStyle w:val="P68B1DB1-Normal85"/>
              <w:spacing w:line="240" w:lineRule="auto"/>
              <w:jc w:val="center"/>
              <w:textAlignment w:val="baseline"/>
              <w:rPr>
                <w:noProof/>
              </w:rPr>
            </w:pPr>
            <w:r>
              <w:rPr>
                <w:noProof/>
              </w:rPr>
              <w:t xml:space="preserve">G14L </w:t>
            </w:r>
          </w:p>
        </w:tc>
        <w:tc>
          <w:tcPr>
            <w:tcW w:w="3402" w:type="dxa"/>
            <w:shd w:val="clear" w:color="auto" w:fill="C6EFCE"/>
          </w:tcPr>
          <w:p w14:paraId="1216CA85" w14:textId="77777777" w:rsidR="003C4798" w:rsidRDefault="00417595">
            <w:pPr>
              <w:pStyle w:val="P68B1DB1-Normal85"/>
              <w:spacing w:line="240" w:lineRule="auto"/>
              <w:textAlignment w:val="baseline"/>
              <w:rPr>
                <w:noProof/>
              </w:rPr>
            </w:pPr>
            <w:r>
              <w:rPr>
                <w:noProof/>
              </w:rPr>
              <w:t>G3.1.4 Soutien au système énergétique national (Fonds de soutien à l'énergie)</w:t>
            </w:r>
          </w:p>
        </w:tc>
        <w:tc>
          <w:tcPr>
            <w:tcW w:w="1134" w:type="dxa"/>
            <w:shd w:val="clear" w:color="auto" w:fill="C6EFCE"/>
          </w:tcPr>
          <w:p w14:paraId="1216CA86" w14:textId="77777777" w:rsidR="003C4798" w:rsidRDefault="00417595">
            <w:pPr>
              <w:pStyle w:val="P68B1DB1-Normal85"/>
              <w:spacing w:line="240" w:lineRule="auto"/>
              <w:ind w:left="75"/>
              <w:jc w:val="center"/>
              <w:textAlignment w:val="baseline"/>
              <w:rPr>
                <w:noProof/>
              </w:rPr>
            </w:pPr>
            <w:r>
              <w:rPr>
                <w:noProof/>
              </w:rPr>
              <w:t>Objectif</w:t>
            </w:r>
          </w:p>
        </w:tc>
        <w:tc>
          <w:tcPr>
            <w:tcW w:w="3827" w:type="dxa"/>
            <w:shd w:val="clear" w:color="auto" w:fill="C6EFCE"/>
          </w:tcPr>
          <w:p w14:paraId="1216CA87" w14:textId="77777777" w:rsidR="003C4798" w:rsidRDefault="00417595">
            <w:pPr>
              <w:pStyle w:val="P68B1DB1-Normal85"/>
              <w:spacing w:line="240" w:lineRule="auto"/>
              <w:textAlignment w:val="baseline"/>
              <w:rPr>
                <w:noProof/>
              </w:rPr>
            </w:pPr>
            <w:r>
              <w:rPr>
                <w:noProof/>
              </w:rPr>
              <w:t>Accords juridiques signés avec les bénéficiaires finaux</w:t>
            </w:r>
          </w:p>
        </w:tc>
      </w:tr>
      <w:tr w:rsidR="003C4798" w14:paraId="1216CA8D" w14:textId="77777777">
        <w:trPr>
          <w:trHeight w:val="300"/>
          <w:jc w:val="center"/>
        </w:trPr>
        <w:tc>
          <w:tcPr>
            <w:tcW w:w="1134" w:type="dxa"/>
            <w:shd w:val="clear" w:color="auto" w:fill="C6EFCE"/>
          </w:tcPr>
          <w:p w14:paraId="1216CA89" w14:textId="77777777" w:rsidR="003C4798" w:rsidRDefault="00417595">
            <w:pPr>
              <w:pStyle w:val="P68B1DB1-Normal85"/>
              <w:spacing w:line="240" w:lineRule="auto"/>
              <w:jc w:val="center"/>
              <w:textAlignment w:val="baseline"/>
              <w:rPr>
                <w:noProof/>
              </w:rPr>
            </w:pPr>
            <w:r>
              <w:rPr>
                <w:noProof/>
              </w:rPr>
              <w:t xml:space="preserve">G24L </w:t>
            </w:r>
          </w:p>
        </w:tc>
        <w:tc>
          <w:tcPr>
            <w:tcW w:w="3402" w:type="dxa"/>
            <w:shd w:val="clear" w:color="auto" w:fill="C6EFCE"/>
          </w:tcPr>
          <w:p w14:paraId="1216CA8A" w14:textId="77777777" w:rsidR="003C4798" w:rsidRDefault="00417595">
            <w:pPr>
              <w:pStyle w:val="P68B1DB1-Normal85"/>
              <w:spacing w:line="240" w:lineRule="auto"/>
              <w:textAlignment w:val="baseline"/>
              <w:rPr>
                <w:noProof/>
              </w:rPr>
            </w:pPr>
            <w:r>
              <w:rPr>
                <w:noProof/>
              </w:rPr>
              <w:t>G3.3.1 Systèmes de stockage d'énergie (soutien remboursable)</w:t>
            </w:r>
          </w:p>
        </w:tc>
        <w:tc>
          <w:tcPr>
            <w:tcW w:w="1134" w:type="dxa"/>
            <w:shd w:val="clear" w:color="auto" w:fill="C6EFCE"/>
          </w:tcPr>
          <w:p w14:paraId="1216CA8B" w14:textId="77777777" w:rsidR="003C4798" w:rsidRDefault="00417595">
            <w:pPr>
              <w:pStyle w:val="P68B1DB1-Normal85"/>
              <w:spacing w:line="240" w:lineRule="auto"/>
              <w:ind w:left="75"/>
              <w:jc w:val="center"/>
              <w:textAlignment w:val="baseline"/>
              <w:rPr>
                <w:noProof/>
              </w:rPr>
            </w:pPr>
            <w:r>
              <w:rPr>
                <w:noProof/>
              </w:rPr>
              <w:t>Étape</w:t>
            </w:r>
          </w:p>
        </w:tc>
        <w:tc>
          <w:tcPr>
            <w:tcW w:w="3827" w:type="dxa"/>
            <w:shd w:val="clear" w:color="auto" w:fill="C6EFCE"/>
          </w:tcPr>
          <w:p w14:paraId="1216CA8C" w14:textId="77777777" w:rsidR="003C4798" w:rsidRDefault="00417595">
            <w:pPr>
              <w:pStyle w:val="P68B1DB1-Normal85"/>
              <w:spacing w:line="240" w:lineRule="auto"/>
              <w:textAlignment w:val="baseline"/>
              <w:rPr>
                <w:noProof/>
              </w:rPr>
            </w:pPr>
            <w:r>
              <w:rPr>
                <w:noProof/>
              </w:rPr>
              <w:t>Modernisation de l'installation existante de stockage par pompage</w:t>
            </w:r>
          </w:p>
        </w:tc>
      </w:tr>
      <w:tr w:rsidR="003C4798" w14:paraId="1216CA92" w14:textId="77777777">
        <w:trPr>
          <w:trHeight w:val="300"/>
          <w:jc w:val="center"/>
        </w:trPr>
        <w:tc>
          <w:tcPr>
            <w:tcW w:w="1134" w:type="dxa"/>
            <w:shd w:val="clear" w:color="auto" w:fill="C6EFCE"/>
            <w:hideMark/>
          </w:tcPr>
          <w:p w14:paraId="1216CA8E" w14:textId="77777777" w:rsidR="003C4798" w:rsidRDefault="00417595">
            <w:pPr>
              <w:pStyle w:val="P68B1DB1-Normal85"/>
              <w:spacing w:line="240" w:lineRule="auto"/>
              <w:textAlignment w:val="baseline"/>
              <w:rPr>
                <w:rFonts w:eastAsia="Times New Roman" w:cs="Times New Roman"/>
                <w:noProof/>
              </w:rPr>
            </w:pPr>
            <w:r>
              <w:rPr>
                <w:noProof/>
              </w:rPr>
              <w:t xml:space="preserve"> </w:t>
            </w:r>
          </w:p>
        </w:tc>
        <w:tc>
          <w:tcPr>
            <w:tcW w:w="3402" w:type="dxa"/>
            <w:shd w:val="clear" w:color="auto" w:fill="C6EFCE"/>
            <w:hideMark/>
          </w:tcPr>
          <w:p w14:paraId="1216CA8F" w14:textId="77777777" w:rsidR="003C4798" w:rsidRDefault="00417595">
            <w:pPr>
              <w:pStyle w:val="P68B1DB1-Normal85"/>
              <w:spacing w:line="240" w:lineRule="auto"/>
              <w:textAlignment w:val="baseline"/>
              <w:rPr>
                <w:rFonts w:eastAsia="Times New Roman" w:cs="Times New Roman"/>
                <w:noProof/>
              </w:rPr>
            </w:pPr>
            <w:r>
              <w:rPr>
                <w:noProof/>
              </w:rPr>
              <w:t xml:space="preserve"> </w:t>
            </w:r>
          </w:p>
        </w:tc>
        <w:tc>
          <w:tcPr>
            <w:tcW w:w="1134" w:type="dxa"/>
            <w:shd w:val="clear" w:color="auto" w:fill="C6EFCE"/>
            <w:hideMark/>
          </w:tcPr>
          <w:p w14:paraId="1216CA90" w14:textId="77777777" w:rsidR="003C4798" w:rsidRDefault="00417595">
            <w:pPr>
              <w:pStyle w:val="P68B1DB1-Normal85"/>
              <w:spacing w:line="240" w:lineRule="auto"/>
              <w:jc w:val="center"/>
              <w:textAlignment w:val="baseline"/>
              <w:rPr>
                <w:rFonts w:eastAsia="Times New Roman" w:cs="Times New Roman"/>
                <w:noProof/>
              </w:rPr>
            </w:pPr>
            <w:r>
              <w:rPr>
                <w:noProof/>
              </w:rPr>
              <w:t>Montant des acomptes provisionnels</w:t>
            </w:r>
          </w:p>
        </w:tc>
        <w:tc>
          <w:tcPr>
            <w:tcW w:w="3827" w:type="dxa"/>
            <w:shd w:val="clear" w:color="auto" w:fill="C6EFCE"/>
            <w:hideMark/>
          </w:tcPr>
          <w:p w14:paraId="1216CA91" w14:textId="7C8A5AA1" w:rsidR="003C4798" w:rsidRDefault="00417595">
            <w:pPr>
              <w:pStyle w:val="P68B1DB1-Normal85"/>
              <w:spacing w:line="240" w:lineRule="auto"/>
              <w:textAlignment w:val="baseline"/>
              <w:rPr>
                <w:rFonts w:eastAsia="Times New Roman" w:cs="Times New Roman"/>
                <w:noProof/>
                <w:u w:val="single"/>
              </w:rPr>
            </w:pPr>
            <w:r>
              <w:rPr>
                <w:noProof/>
              </w:rPr>
              <w:t>4 659 813 429 EUR</w:t>
            </w:r>
          </w:p>
        </w:tc>
      </w:tr>
    </w:tbl>
    <w:p w14:paraId="1216CA93" w14:textId="77777777" w:rsidR="003C4798" w:rsidRDefault="003C4798">
      <w:pPr>
        <w:spacing w:line="240" w:lineRule="auto"/>
        <w:textAlignment w:val="baseline"/>
        <w:rPr>
          <w:rFonts w:ascii="Segoe UI" w:eastAsia="Times New Roman" w:hAnsi="Segoe UI" w:cs="Segoe UI"/>
          <w:noProof/>
          <w:sz w:val="18"/>
          <w:szCs w:val="18"/>
        </w:rPr>
      </w:pPr>
    </w:p>
    <w:p w14:paraId="1216CA94" w14:textId="19DA2E4C" w:rsidR="003C4798" w:rsidRDefault="00417595">
      <w:pPr>
        <w:pStyle w:val="P68B1DB1-Normal85"/>
        <w:spacing w:line="240" w:lineRule="auto"/>
        <w:textAlignment w:val="baseline"/>
        <w:rPr>
          <w:rFonts w:ascii="Segoe UI" w:eastAsia="Times New Roman" w:hAnsi="Segoe UI" w:cs="Segoe UI"/>
          <w:noProof/>
          <w:sz w:val="18"/>
          <w:szCs w:val="18"/>
        </w:rPr>
      </w:pPr>
      <w:r>
        <w:rPr>
          <w:noProof/>
        </w:rPr>
        <w:t>2.2.9. Neuvième tranche (soutien remboursable):</w:t>
      </w:r>
    </w:p>
    <w:tbl>
      <w:tblPr>
        <w:tblW w:w="9497"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6EFCE"/>
        <w:tblCellMar>
          <w:left w:w="0" w:type="dxa"/>
          <w:right w:w="0" w:type="dxa"/>
        </w:tblCellMar>
        <w:tblLook w:val="04A0" w:firstRow="1" w:lastRow="0" w:firstColumn="1" w:lastColumn="0" w:noHBand="0" w:noVBand="1"/>
      </w:tblPr>
      <w:tblGrid>
        <w:gridCol w:w="1132"/>
        <w:gridCol w:w="3373"/>
        <w:gridCol w:w="1201"/>
        <w:gridCol w:w="3791"/>
      </w:tblGrid>
      <w:tr w:rsidR="003C4798" w14:paraId="1216CA99" w14:textId="77777777">
        <w:trPr>
          <w:trHeight w:val="300"/>
          <w:tblHeader/>
          <w:jc w:val="center"/>
        </w:trPr>
        <w:tc>
          <w:tcPr>
            <w:tcW w:w="1134" w:type="dxa"/>
            <w:shd w:val="clear" w:color="auto" w:fill="C6D9F1" w:themeFill="text2" w:themeFillTint="33"/>
          </w:tcPr>
          <w:p w14:paraId="1216CA95" w14:textId="77777777" w:rsidR="003C4798" w:rsidRDefault="00417595">
            <w:pPr>
              <w:pStyle w:val="P68B1DB1-Normal99"/>
              <w:spacing w:line="240" w:lineRule="auto"/>
              <w:jc w:val="center"/>
              <w:textAlignment w:val="baseline"/>
              <w:rPr>
                <w:rFonts w:eastAsia="Times New Roman" w:cs="Times New Roman"/>
                <w:noProof/>
                <w:sz w:val="24"/>
                <w:szCs w:val="24"/>
              </w:rPr>
            </w:pPr>
            <w:r>
              <w:rPr>
                <w:noProof/>
              </w:rPr>
              <w:t>Numéro séquentiel</w:t>
            </w:r>
          </w:p>
        </w:tc>
        <w:tc>
          <w:tcPr>
            <w:tcW w:w="3402" w:type="dxa"/>
            <w:shd w:val="clear" w:color="auto" w:fill="C6D9F1" w:themeFill="text2" w:themeFillTint="33"/>
          </w:tcPr>
          <w:p w14:paraId="1216CA96" w14:textId="77777777" w:rsidR="003C4798" w:rsidRDefault="00417595">
            <w:pPr>
              <w:pStyle w:val="P68B1DB1-Normal99"/>
              <w:spacing w:line="240" w:lineRule="auto"/>
              <w:jc w:val="center"/>
              <w:textAlignment w:val="baseline"/>
              <w:rPr>
                <w:rFonts w:eastAsia="Times New Roman" w:cs="Times New Roman"/>
                <w:noProof/>
                <w:sz w:val="24"/>
                <w:szCs w:val="24"/>
              </w:rPr>
            </w:pPr>
            <w:r>
              <w:rPr>
                <w:noProof/>
              </w:rPr>
              <w:t>Mesure connexe (réforme ou investissement)</w:t>
            </w:r>
          </w:p>
        </w:tc>
        <w:tc>
          <w:tcPr>
            <w:tcW w:w="1134" w:type="dxa"/>
            <w:shd w:val="clear" w:color="auto" w:fill="C6D9F1" w:themeFill="text2" w:themeFillTint="33"/>
          </w:tcPr>
          <w:p w14:paraId="1216CA97" w14:textId="77777777" w:rsidR="003C4798" w:rsidRDefault="00417595">
            <w:pPr>
              <w:pStyle w:val="P68B1DB1-Normal99"/>
              <w:spacing w:line="240" w:lineRule="auto"/>
              <w:ind w:left="15"/>
              <w:jc w:val="center"/>
              <w:textAlignment w:val="baseline"/>
              <w:rPr>
                <w:rFonts w:eastAsia="Times New Roman" w:cs="Times New Roman"/>
                <w:noProof/>
                <w:sz w:val="24"/>
                <w:szCs w:val="24"/>
              </w:rPr>
            </w:pPr>
            <w:r>
              <w:rPr>
                <w:noProof/>
              </w:rPr>
              <w:t>Étape/cible</w:t>
            </w:r>
          </w:p>
        </w:tc>
        <w:tc>
          <w:tcPr>
            <w:tcW w:w="3827" w:type="dxa"/>
            <w:shd w:val="clear" w:color="auto" w:fill="C6D9F1" w:themeFill="text2" w:themeFillTint="33"/>
          </w:tcPr>
          <w:p w14:paraId="1216CA98" w14:textId="77777777" w:rsidR="003C4798" w:rsidRDefault="00417595">
            <w:pPr>
              <w:pStyle w:val="P68B1DB1-Normal99"/>
              <w:spacing w:line="240" w:lineRule="auto"/>
              <w:jc w:val="center"/>
              <w:textAlignment w:val="baseline"/>
              <w:rPr>
                <w:rFonts w:eastAsia="Times New Roman" w:cs="Times New Roman"/>
                <w:noProof/>
                <w:sz w:val="24"/>
                <w:szCs w:val="24"/>
              </w:rPr>
            </w:pPr>
            <w:r>
              <w:rPr>
                <w:noProof/>
              </w:rPr>
              <w:t>Nom</w:t>
            </w:r>
          </w:p>
        </w:tc>
      </w:tr>
      <w:tr w:rsidR="003C4798" w14:paraId="1216CA9E" w14:textId="77777777">
        <w:trPr>
          <w:trHeight w:val="300"/>
          <w:jc w:val="center"/>
        </w:trPr>
        <w:tc>
          <w:tcPr>
            <w:tcW w:w="1134" w:type="dxa"/>
            <w:shd w:val="clear" w:color="auto" w:fill="C6EFCE"/>
            <w:hideMark/>
          </w:tcPr>
          <w:p w14:paraId="1216CA9A" w14:textId="77777777" w:rsidR="003C4798" w:rsidRDefault="00417595">
            <w:pPr>
              <w:pStyle w:val="P68B1DB1-Normal85"/>
              <w:spacing w:line="240" w:lineRule="auto"/>
              <w:jc w:val="center"/>
              <w:textAlignment w:val="baseline"/>
              <w:rPr>
                <w:rFonts w:eastAsia="Times New Roman" w:cs="Times New Roman"/>
                <w:noProof/>
              </w:rPr>
            </w:pPr>
            <w:r>
              <w:rPr>
                <w:noProof/>
              </w:rPr>
              <w:t xml:space="preserve">A11L </w:t>
            </w:r>
          </w:p>
        </w:tc>
        <w:tc>
          <w:tcPr>
            <w:tcW w:w="3402" w:type="dxa"/>
            <w:shd w:val="clear" w:color="auto" w:fill="C6EFCE"/>
            <w:hideMark/>
          </w:tcPr>
          <w:p w14:paraId="1216CA9B" w14:textId="77777777" w:rsidR="003C4798" w:rsidRDefault="00417595">
            <w:pPr>
              <w:pStyle w:val="P68B1DB1-Normal85"/>
              <w:spacing w:line="240" w:lineRule="auto"/>
              <w:textAlignment w:val="baseline"/>
              <w:rPr>
                <w:rFonts w:eastAsia="Times New Roman" w:cs="Times New Roman"/>
                <w:noProof/>
              </w:rPr>
            </w:pPr>
            <w:r>
              <w:rPr>
                <w:noProof/>
              </w:rPr>
              <w:t>A2.6.1 Investissements dans le Système national d'information par satellite (SNIS) et les satellites</w:t>
            </w:r>
          </w:p>
        </w:tc>
        <w:tc>
          <w:tcPr>
            <w:tcW w:w="1134" w:type="dxa"/>
            <w:shd w:val="clear" w:color="auto" w:fill="C6EFCE"/>
            <w:hideMark/>
          </w:tcPr>
          <w:p w14:paraId="1216CA9C" w14:textId="77777777" w:rsidR="003C4798" w:rsidRDefault="00417595">
            <w:pPr>
              <w:pStyle w:val="P68B1DB1-Normal85"/>
              <w:spacing w:line="240" w:lineRule="auto"/>
              <w:jc w:val="center"/>
              <w:textAlignment w:val="baseline"/>
              <w:rPr>
                <w:rFonts w:eastAsia="Times New Roman" w:cs="Times New Roman"/>
                <w:noProof/>
              </w:rPr>
            </w:pPr>
            <w:r>
              <w:rPr>
                <w:noProof/>
              </w:rPr>
              <w:t>Objectif</w:t>
            </w:r>
          </w:p>
        </w:tc>
        <w:tc>
          <w:tcPr>
            <w:tcW w:w="3827" w:type="dxa"/>
            <w:shd w:val="clear" w:color="auto" w:fill="C6EFCE"/>
            <w:hideMark/>
          </w:tcPr>
          <w:p w14:paraId="1216CA9D" w14:textId="77777777" w:rsidR="003C4798" w:rsidRDefault="00417595">
            <w:pPr>
              <w:pStyle w:val="P68B1DB1-Normal87"/>
              <w:spacing w:line="240" w:lineRule="auto"/>
              <w:textAlignment w:val="baseline"/>
              <w:rPr>
                <w:noProof/>
              </w:rPr>
            </w:pPr>
            <w:r>
              <w:rPr>
                <w:noProof/>
              </w:rPr>
              <w:t>Construction de quatre satellites</w:t>
            </w:r>
          </w:p>
        </w:tc>
      </w:tr>
      <w:tr w:rsidR="003C4798" w14:paraId="1216CAA3" w14:textId="77777777">
        <w:trPr>
          <w:trHeight w:val="300"/>
          <w:jc w:val="center"/>
        </w:trPr>
        <w:tc>
          <w:tcPr>
            <w:tcW w:w="1134" w:type="dxa"/>
            <w:shd w:val="clear" w:color="auto" w:fill="C6EFCE"/>
            <w:hideMark/>
          </w:tcPr>
          <w:p w14:paraId="1216CA9F" w14:textId="77777777" w:rsidR="003C4798" w:rsidRDefault="00417595">
            <w:pPr>
              <w:pStyle w:val="P68B1DB1-Normal85"/>
              <w:spacing w:line="240" w:lineRule="auto"/>
              <w:jc w:val="center"/>
              <w:textAlignment w:val="baseline"/>
              <w:rPr>
                <w:rFonts w:eastAsia="Times New Roman" w:cs="Times New Roman"/>
                <w:noProof/>
              </w:rPr>
            </w:pPr>
            <w:r>
              <w:rPr>
                <w:noProof/>
              </w:rPr>
              <w:t>A14L </w:t>
            </w:r>
          </w:p>
        </w:tc>
        <w:tc>
          <w:tcPr>
            <w:tcW w:w="3402" w:type="dxa"/>
            <w:shd w:val="clear" w:color="auto" w:fill="C6EFCE"/>
            <w:hideMark/>
          </w:tcPr>
          <w:p w14:paraId="1216CAA0" w14:textId="77777777" w:rsidR="003C4798" w:rsidRDefault="00417595">
            <w:pPr>
              <w:pStyle w:val="P68B1DB1-Normal85"/>
              <w:spacing w:line="240" w:lineRule="auto"/>
              <w:textAlignment w:val="baseline"/>
              <w:rPr>
                <w:rFonts w:eastAsia="Times New Roman" w:cs="Times New Roman"/>
                <w:noProof/>
              </w:rPr>
            </w:pPr>
            <w:r>
              <w:rPr>
                <w:noProof/>
              </w:rPr>
              <w:t>A2.7.1 Fonds pour la sécurité et la défense</w:t>
            </w:r>
          </w:p>
        </w:tc>
        <w:tc>
          <w:tcPr>
            <w:tcW w:w="1134" w:type="dxa"/>
            <w:shd w:val="clear" w:color="auto" w:fill="C6EFCE"/>
            <w:hideMark/>
          </w:tcPr>
          <w:p w14:paraId="1216CAA1" w14:textId="77777777" w:rsidR="003C4798" w:rsidRDefault="00417595">
            <w:pPr>
              <w:pStyle w:val="P68B1DB1-Normal85"/>
              <w:spacing w:line="240" w:lineRule="auto"/>
              <w:jc w:val="center"/>
              <w:textAlignment w:val="baseline"/>
              <w:rPr>
                <w:rFonts w:eastAsia="Times New Roman" w:cs="Times New Roman"/>
                <w:noProof/>
              </w:rPr>
            </w:pPr>
            <w:r>
              <w:rPr>
                <w:noProof/>
              </w:rPr>
              <w:t>Étape</w:t>
            </w:r>
          </w:p>
        </w:tc>
        <w:tc>
          <w:tcPr>
            <w:tcW w:w="3827" w:type="dxa"/>
            <w:shd w:val="clear" w:color="auto" w:fill="C6EFCE"/>
            <w:hideMark/>
          </w:tcPr>
          <w:p w14:paraId="1216CAA2" w14:textId="77777777" w:rsidR="003C4798" w:rsidRDefault="00417595">
            <w:pPr>
              <w:pStyle w:val="P68B1DB1-Normal87"/>
              <w:spacing w:line="240" w:lineRule="auto"/>
              <w:textAlignment w:val="baseline"/>
              <w:rPr>
                <w:noProof/>
              </w:rPr>
            </w:pPr>
            <w:r>
              <w:rPr>
                <w:noProof/>
              </w:rPr>
              <w:t>Injection de fonds propres</w:t>
            </w:r>
          </w:p>
        </w:tc>
      </w:tr>
      <w:tr w:rsidR="003C4798" w14:paraId="1216CAA8" w14:textId="77777777">
        <w:trPr>
          <w:trHeight w:val="300"/>
          <w:jc w:val="center"/>
        </w:trPr>
        <w:tc>
          <w:tcPr>
            <w:tcW w:w="1134" w:type="dxa"/>
            <w:shd w:val="clear" w:color="auto" w:fill="C6EFCE"/>
            <w:hideMark/>
          </w:tcPr>
          <w:p w14:paraId="1216CAA4" w14:textId="77777777" w:rsidR="003C4798" w:rsidRDefault="00417595">
            <w:pPr>
              <w:pStyle w:val="P68B1DB1-Normal85"/>
              <w:spacing w:line="240" w:lineRule="auto"/>
              <w:jc w:val="center"/>
              <w:textAlignment w:val="baseline"/>
              <w:rPr>
                <w:rFonts w:eastAsia="Times New Roman" w:cs="Times New Roman"/>
                <w:noProof/>
              </w:rPr>
            </w:pPr>
            <w:r>
              <w:rPr>
                <w:noProof/>
              </w:rPr>
              <w:t xml:space="preserve">B16L </w:t>
            </w:r>
          </w:p>
        </w:tc>
        <w:tc>
          <w:tcPr>
            <w:tcW w:w="3402" w:type="dxa"/>
            <w:shd w:val="clear" w:color="auto" w:fill="C6EFCE"/>
            <w:hideMark/>
          </w:tcPr>
          <w:p w14:paraId="1216CAA5" w14:textId="77777777" w:rsidR="003C4798" w:rsidRDefault="00417595">
            <w:pPr>
              <w:pStyle w:val="P68B1DB1-Normal85"/>
              <w:spacing w:line="240" w:lineRule="auto"/>
              <w:textAlignment w:val="baseline"/>
              <w:rPr>
                <w:rFonts w:eastAsia="Times New Roman" w:cs="Times New Roman"/>
                <w:noProof/>
              </w:rPr>
            </w:pPr>
            <w:r>
              <w:rPr>
                <w:noProof/>
              </w:rPr>
              <w:t> B3.2.1 Investissements dans la neutralisation des risques et la restauration des sites onshore et offshore</w:t>
            </w:r>
          </w:p>
        </w:tc>
        <w:tc>
          <w:tcPr>
            <w:tcW w:w="1134" w:type="dxa"/>
            <w:shd w:val="clear" w:color="auto" w:fill="C6EFCE"/>
            <w:hideMark/>
          </w:tcPr>
          <w:p w14:paraId="1216CAA6" w14:textId="77777777" w:rsidR="003C4798" w:rsidRDefault="00417595">
            <w:pPr>
              <w:pStyle w:val="P68B1DB1-Normal85"/>
              <w:spacing w:line="240" w:lineRule="auto"/>
              <w:jc w:val="center"/>
              <w:textAlignment w:val="baseline"/>
              <w:rPr>
                <w:rFonts w:eastAsia="Times New Roman" w:cs="Times New Roman"/>
                <w:noProof/>
              </w:rPr>
            </w:pPr>
            <w:r>
              <w:rPr>
                <w:noProof/>
              </w:rPr>
              <w:t>Objectif</w:t>
            </w:r>
          </w:p>
        </w:tc>
        <w:tc>
          <w:tcPr>
            <w:tcW w:w="3827" w:type="dxa"/>
            <w:shd w:val="clear" w:color="auto" w:fill="C6EFCE"/>
            <w:hideMark/>
          </w:tcPr>
          <w:p w14:paraId="1216CAA7" w14:textId="77777777" w:rsidR="003C4798" w:rsidRDefault="00417595">
            <w:pPr>
              <w:pStyle w:val="P68B1DB1-Normal87"/>
              <w:spacing w:line="240" w:lineRule="auto"/>
              <w:textAlignment w:val="baseline"/>
              <w:rPr>
                <w:noProof/>
              </w:rPr>
            </w:pPr>
            <w:r>
              <w:rPr>
                <w:noProof/>
              </w:rPr>
              <w:t>Documentation pour les investissements liés aux sites terrestres et offshore exposés à la présence de polluants ou de substances dangereuses</w:t>
            </w:r>
          </w:p>
        </w:tc>
      </w:tr>
      <w:tr w:rsidR="003C4798" w14:paraId="1216CAAD" w14:textId="77777777">
        <w:trPr>
          <w:trHeight w:val="465"/>
          <w:jc w:val="center"/>
        </w:trPr>
        <w:tc>
          <w:tcPr>
            <w:tcW w:w="1134" w:type="dxa"/>
            <w:shd w:val="clear" w:color="auto" w:fill="C6EFCE"/>
            <w:hideMark/>
          </w:tcPr>
          <w:p w14:paraId="1216CAA9" w14:textId="77777777" w:rsidR="003C4798" w:rsidRDefault="00417595">
            <w:pPr>
              <w:pStyle w:val="P68B1DB1-Normal85"/>
              <w:spacing w:line="240" w:lineRule="auto"/>
              <w:jc w:val="center"/>
              <w:textAlignment w:val="baseline"/>
              <w:rPr>
                <w:rFonts w:eastAsia="Times New Roman" w:cs="Times New Roman"/>
                <w:noProof/>
              </w:rPr>
            </w:pPr>
            <w:r>
              <w:rPr>
                <w:noProof/>
              </w:rPr>
              <w:t>B27aL</w:t>
            </w:r>
            <w:r>
              <w:rPr>
                <w:b/>
                <w:noProof/>
              </w:rPr>
              <w:t xml:space="preserve"> </w:t>
            </w:r>
          </w:p>
        </w:tc>
        <w:tc>
          <w:tcPr>
            <w:tcW w:w="3402" w:type="dxa"/>
            <w:shd w:val="clear" w:color="auto" w:fill="C6EFCE"/>
            <w:hideMark/>
          </w:tcPr>
          <w:p w14:paraId="1216CAAA" w14:textId="77777777" w:rsidR="003C4798" w:rsidRDefault="00417595">
            <w:pPr>
              <w:pStyle w:val="P68B1DB1-Normal85"/>
              <w:spacing w:line="240" w:lineRule="auto"/>
              <w:textAlignment w:val="baseline"/>
              <w:rPr>
                <w:rFonts w:eastAsia="Times New Roman" w:cs="Times New Roman"/>
                <w:noProof/>
              </w:rPr>
            </w:pPr>
            <w:r>
              <w:rPr>
                <w:noProof/>
              </w:rPr>
              <w:t>B3.4.1 Investissements dans une transformation écologique des villes</w:t>
            </w:r>
          </w:p>
        </w:tc>
        <w:tc>
          <w:tcPr>
            <w:tcW w:w="1134" w:type="dxa"/>
            <w:shd w:val="clear" w:color="auto" w:fill="C6EFCE"/>
            <w:hideMark/>
          </w:tcPr>
          <w:p w14:paraId="1216CAAB" w14:textId="77777777" w:rsidR="003C4798" w:rsidRDefault="00417595">
            <w:pPr>
              <w:pStyle w:val="P68B1DB1-Normal85"/>
              <w:spacing w:line="240" w:lineRule="auto"/>
              <w:jc w:val="center"/>
              <w:textAlignment w:val="baseline"/>
              <w:rPr>
                <w:rFonts w:eastAsia="Times New Roman" w:cs="Times New Roman"/>
                <w:noProof/>
              </w:rPr>
            </w:pPr>
            <w:r>
              <w:rPr>
                <w:noProof/>
              </w:rPr>
              <w:t>Objectif</w:t>
            </w:r>
          </w:p>
        </w:tc>
        <w:tc>
          <w:tcPr>
            <w:tcW w:w="3827" w:type="dxa"/>
            <w:shd w:val="clear" w:color="auto" w:fill="C6EFCE"/>
            <w:hideMark/>
          </w:tcPr>
          <w:p w14:paraId="1216CAAC" w14:textId="046020A3" w:rsidR="003C4798" w:rsidRDefault="00417595">
            <w:pPr>
              <w:pStyle w:val="P68B1DB1-Normal87"/>
              <w:spacing w:line="240" w:lineRule="auto"/>
              <w:textAlignment w:val="baseline"/>
              <w:rPr>
                <w:noProof/>
              </w:rPr>
            </w:pPr>
            <w:r>
              <w:rPr>
                <w:noProof/>
              </w:rPr>
              <w:t>T2 - Investissements dans la transition écologique</w:t>
            </w:r>
          </w:p>
        </w:tc>
      </w:tr>
      <w:tr w:rsidR="003C4798" w14:paraId="1216CAB2" w14:textId="77777777">
        <w:trPr>
          <w:trHeight w:val="300"/>
          <w:jc w:val="center"/>
        </w:trPr>
        <w:tc>
          <w:tcPr>
            <w:tcW w:w="1134" w:type="dxa"/>
            <w:shd w:val="clear" w:color="auto" w:fill="C6EFCE"/>
            <w:hideMark/>
          </w:tcPr>
          <w:p w14:paraId="1216CAAE" w14:textId="77777777" w:rsidR="003C4798" w:rsidRDefault="00417595">
            <w:pPr>
              <w:pStyle w:val="P68B1DB1-Normal85"/>
              <w:spacing w:line="240" w:lineRule="auto"/>
              <w:jc w:val="center"/>
              <w:textAlignment w:val="baseline"/>
              <w:rPr>
                <w:rFonts w:eastAsia="Times New Roman" w:cs="Times New Roman"/>
                <w:noProof/>
              </w:rPr>
            </w:pPr>
            <w:r>
              <w:rPr>
                <w:noProof/>
              </w:rPr>
              <w:t xml:space="preserve">B30L </w:t>
            </w:r>
          </w:p>
        </w:tc>
        <w:tc>
          <w:tcPr>
            <w:tcW w:w="3402" w:type="dxa"/>
            <w:shd w:val="clear" w:color="auto" w:fill="C6EFCE"/>
            <w:hideMark/>
          </w:tcPr>
          <w:p w14:paraId="1216CAAF" w14:textId="79082FA0" w:rsidR="003C4798" w:rsidRDefault="00417595">
            <w:pPr>
              <w:pStyle w:val="P68B1DB1-Normal85"/>
              <w:spacing w:line="240" w:lineRule="auto"/>
              <w:textAlignment w:val="baseline"/>
              <w:rPr>
                <w:rFonts w:eastAsia="Times New Roman" w:cs="Times New Roman"/>
                <w:noProof/>
              </w:rPr>
            </w:pPr>
            <w:r>
              <w:rPr>
                <w:noProof/>
              </w:rPr>
              <w:t>B3.5.1 Investissements dans des projets de logement</w:t>
            </w:r>
          </w:p>
        </w:tc>
        <w:tc>
          <w:tcPr>
            <w:tcW w:w="1134" w:type="dxa"/>
            <w:shd w:val="clear" w:color="auto" w:fill="C6EFCE"/>
            <w:hideMark/>
          </w:tcPr>
          <w:p w14:paraId="1216CAB0" w14:textId="77777777" w:rsidR="003C4798" w:rsidRDefault="00417595">
            <w:pPr>
              <w:pStyle w:val="P68B1DB1-Normal85"/>
              <w:spacing w:line="240" w:lineRule="auto"/>
              <w:jc w:val="center"/>
              <w:textAlignment w:val="baseline"/>
              <w:rPr>
                <w:rFonts w:eastAsia="Times New Roman" w:cs="Times New Roman"/>
                <w:noProof/>
              </w:rPr>
            </w:pPr>
            <w:r>
              <w:rPr>
                <w:noProof/>
              </w:rPr>
              <w:t>Objectif</w:t>
            </w:r>
          </w:p>
        </w:tc>
        <w:tc>
          <w:tcPr>
            <w:tcW w:w="3827" w:type="dxa"/>
            <w:shd w:val="clear" w:color="auto" w:fill="C6EFCE"/>
            <w:hideMark/>
          </w:tcPr>
          <w:p w14:paraId="1216CAB1" w14:textId="77777777" w:rsidR="003C4798" w:rsidRDefault="00417595">
            <w:pPr>
              <w:pStyle w:val="P68B1DB1-Normal87"/>
              <w:spacing w:line="240" w:lineRule="auto"/>
              <w:textAlignment w:val="baseline"/>
              <w:rPr>
                <w:noProof/>
              </w:rPr>
            </w:pPr>
            <w:r>
              <w:rPr>
                <w:noProof/>
              </w:rPr>
              <w:t>Construction ou rénovation de bâtiments</w:t>
            </w:r>
          </w:p>
        </w:tc>
      </w:tr>
      <w:tr w:rsidR="003C4798" w14:paraId="1216CAB7" w14:textId="77777777">
        <w:trPr>
          <w:trHeight w:val="300"/>
          <w:jc w:val="center"/>
        </w:trPr>
        <w:tc>
          <w:tcPr>
            <w:tcW w:w="1134" w:type="dxa"/>
            <w:shd w:val="clear" w:color="auto" w:fill="C6EFCE"/>
          </w:tcPr>
          <w:p w14:paraId="1216CAB3" w14:textId="77777777" w:rsidR="003C4798" w:rsidRDefault="00417595">
            <w:pPr>
              <w:pStyle w:val="P68B1DB1-Normal85"/>
              <w:spacing w:line="240" w:lineRule="auto"/>
              <w:jc w:val="center"/>
              <w:rPr>
                <w:noProof/>
              </w:rPr>
            </w:pPr>
            <w:r>
              <w:rPr>
                <w:noProof/>
              </w:rPr>
              <w:t>C12L</w:t>
            </w:r>
          </w:p>
        </w:tc>
        <w:tc>
          <w:tcPr>
            <w:tcW w:w="3402" w:type="dxa"/>
            <w:shd w:val="clear" w:color="auto" w:fill="C6EFCE"/>
          </w:tcPr>
          <w:p w14:paraId="1216CAB4" w14:textId="77777777" w:rsidR="003C4798" w:rsidRDefault="00417595">
            <w:pPr>
              <w:pStyle w:val="P68B1DB1-Normal85"/>
              <w:spacing w:line="240" w:lineRule="auto"/>
              <w:rPr>
                <w:rFonts w:eastAsia="Times New Roman" w:cs="Times New Roman"/>
                <w:noProof/>
              </w:rPr>
            </w:pPr>
            <w:r>
              <w:rPr>
                <w:noProof/>
              </w:rPr>
              <w:t>C2.2.1 Les technologies numériques dans l'enseignement</w:t>
            </w:r>
          </w:p>
        </w:tc>
        <w:tc>
          <w:tcPr>
            <w:tcW w:w="1134" w:type="dxa"/>
            <w:shd w:val="clear" w:color="auto" w:fill="C6EFCE"/>
          </w:tcPr>
          <w:p w14:paraId="1216CAB5" w14:textId="77777777" w:rsidR="003C4798" w:rsidRDefault="00417595">
            <w:pPr>
              <w:pStyle w:val="P68B1DB1-Normal85"/>
              <w:spacing w:line="240" w:lineRule="auto"/>
              <w:jc w:val="center"/>
              <w:rPr>
                <w:noProof/>
              </w:rPr>
            </w:pPr>
            <w:r>
              <w:rPr>
                <w:noProof/>
              </w:rPr>
              <w:t>Objectif</w:t>
            </w:r>
          </w:p>
        </w:tc>
        <w:tc>
          <w:tcPr>
            <w:tcW w:w="3827" w:type="dxa"/>
            <w:shd w:val="clear" w:color="auto" w:fill="C6EFCE"/>
          </w:tcPr>
          <w:p w14:paraId="1216CAB6" w14:textId="2643D90D" w:rsidR="003C4798" w:rsidRDefault="00417595">
            <w:pPr>
              <w:pStyle w:val="P68B1DB1-Normal87"/>
              <w:spacing w:line="240" w:lineRule="auto"/>
              <w:rPr>
                <w:noProof/>
              </w:rPr>
            </w:pPr>
            <w:r>
              <w:rPr>
                <w:noProof/>
              </w:rPr>
              <w:t>Kits TIC («Zestaw») livrés</w:t>
            </w:r>
          </w:p>
        </w:tc>
      </w:tr>
      <w:tr w:rsidR="003C4798" w14:paraId="1216CABC" w14:textId="77777777">
        <w:trPr>
          <w:trHeight w:val="300"/>
          <w:jc w:val="center"/>
        </w:trPr>
        <w:tc>
          <w:tcPr>
            <w:tcW w:w="1134" w:type="dxa"/>
            <w:shd w:val="clear" w:color="auto" w:fill="C6EFCE"/>
          </w:tcPr>
          <w:p w14:paraId="1216CAB8" w14:textId="77777777" w:rsidR="003C4798" w:rsidRDefault="00417595">
            <w:pPr>
              <w:pStyle w:val="P68B1DB1-Normal85"/>
              <w:spacing w:line="240" w:lineRule="auto"/>
              <w:jc w:val="center"/>
              <w:textAlignment w:val="baseline"/>
              <w:rPr>
                <w:noProof/>
              </w:rPr>
            </w:pPr>
            <w:r>
              <w:rPr>
                <w:noProof/>
              </w:rPr>
              <w:t xml:space="preserve">C13L </w:t>
            </w:r>
          </w:p>
        </w:tc>
        <w:tc>
          <w:tcPr>
            <w:tcW w:w="3402" w:type="dxa"/>
            <w:shd w:val="clear" w:color="auto" w:fill="C6EFCE"/>
          </w:tcPr>
          <w:p w14:paraId="1216CAB9" w14:textId="77777777" w:rsidR="003C4798" w:rsidRDefault="00417595">
            <w:pPr>
              <w:pStyle w:val="P68B1DB1-Normal85"/>
              <w:spacing w:line="240" w:lineRule="auto"/>
              <w:textAlignment w:val="baseline"/>
              <w:rPr>
                <w:rFonts w:eastAsia="Times New Roman" w:cs="Times New Roman"/>
                <w:noProof/>
              </w:rPr>
            </w:pPr>
            <w:r>
              <w:rPr>
                <w:noProof/>
              </w:rPr>
              <w:t>C2.2.1 Les technologies numériques dans l'enseignement</w:t>
            </w:r>
          </w:p>
        </w:tc>
        <w:tc>
          <w:tcPr>
            <w:tcW w:w="1134" w:type="dxa"/>
            <w:shd w:val="clear" w:color="auto" w:fill="C6EFCE"/>
          </w:tcPr>
          <w:p w14:paraId="1216CABA" w14:textId="77777777" w:rsidR="003C4798" w:rsidRDefault="00417595">
            <w:pPr>
              <w:pStyle w:val="P68B1DB1-Normal85"/>
              <w:spacing w:line="240" w:lineRule="auto"/>
              <w:jc w:val="center"/>
              <w:textAlignment w:val="baseline"/>
              <w:rPr>
                <w:noProof/>
              </w:rPr>
            </w:pPr>
            <w:r>
              <w:rPr>
                <w:noProof/>
              </w:rPr>
              <w:t>Objectif</w:t>
            </w:r>
          </w:p>
        </w:tc>
        <w:tc>
          <w:tcPr>
            <w:tcW w:w="3827" w:type="dxa"/>
            <w:shd w:val="clear" w:color="auto" w:fill="C6EFCE"/>
          </w:tcPr>
          <w:p w14:paraId="1216CABB" w14:textId="0748988F" w:rsidR="003C4798" w:rsidRDefault="00417595">
            <w:pPr>
              <w:pStyle w:val="P68B1DB1-Normal87"/>
              <w:spacing w:line="240" w:lineRule="auto"/>
              <w:textAlignment w:val="baseline"/>
              <w:rPr>
                <w:noProof/>
              </w:rPr>
            </w:pPr>
            <w:r>
              <w:rPr>
                <w:noProof/>
              </w:rPr>
              <w:t>Laboratoires d’intelligence artificielle (IA) («Zestaw») livrés</w:t>
            </w:r>
          </w:p>
        </w:tc>
      </w:tr>
      <w:tr w:rsidR="003C4798" w14:paraId="7562B4A2" w14:textId="77777777">
        <w:trPr>
          <w:trHeight w:val="300"/>
          <w:jc w:val="center"/>
        </w:trPr>
        <w:tc>
          <w:tcPr>
            <w:tcW w:w="1134" w:type="dxa"/>
            <w:shd w:val="clear" w:color="auto" w:fill="C6EFCE"/>
          </w:tcPr>
          <w:p w14:paraId="17BF5789" w14:textId="025E0894" w:rsidR="003C4798" w:rsidRDefault="00417595">
            <w:pPr>
              <w:pStyle w:val="P68B1DB1-Normal85"/>
              <w:spacing w:line="240" w:lineRule="auto"/>
              <w:jc w:val="center"/>
              <w:rPr>
                <w:rFonts w:eastAsia="Times New Roman" w:cs="Times New Roman"/>
                <w:noProof/>
              </w:rPr>
            </w:pPr>
            <w:r>
              <w:rPr>
                <w:noProof/>
              </w:rPr>
              <w:t>C17L</w:t>
            </w:r>
          </w:p>
        </w:tc>
        <w:tc>
          <w:tcPr>
            <w:tcW w:w="3402" w:type="dxa"/>
            <w:shd w:val="clear" w:color="auto" w:fill="C6EFCE"/>
          </w:tcPr>
          <w:p w14:paraId="228DD101" w14:textId="4EA07261" w:rsidR="003C4798" w:rsidRDefault="00417595">
            <w:pPr>
              <w:pStyle w:val="P68B1DB1-Normal85"/>
              <w:spacing w:line="240" w:lineRule="auto"/>
              <w:rPr>
                <w:rFonts w:eastAsia="Times New Roman" w:cs="Times New Roman"/>
                <w:noProof/>
              </w:rPr>
            </w:pPr>
            <w:r>
              <w:rPr>
                <w:noProof/>
              </w:rPr>
              <w:t>C4.1.1 Prise en charge de la transformation numérique avancée</w:t>
            </w:r>
          </w:p>
        </w:tc>
        <w:tc>
          <w:tcPr>
            <w:tcW w:w="1134" w:type="dxa"/>
            <w:shd w:val="clear" w:color="auto" w:fill="C6EFCE"/>
          </w:tcPr>
          <w:p w14:paraId="3597C99D" w14:textId="5E30663F" w:rsidR="003C4798" w:rsidRDefault="00417595">
            <w:pPr>
              <w:pStyle w:val="P68B1DB1-Normal85"/>
              <w:spacing w:line="240" w:lineRule="auto"/>
              <w:jc w:val="center"/>
              <w:rPr>
                <w:rFonts w:eastAsia="Times New Roman" w:cs="Times New Roman"/>
                <w:noProof/>
              </w:rPr>
            </w:pPr>
            <w:r>
              <w:rPr>
                <w:noProof/>
              </w:rPr>
              <w:t>Objectif</w:t>
            </w:r>
          </w:p>
        </w:tc>
        <w:tc>
          <w:tcPr>
            <w:tcW w:w="3827" w:type="dxa"/>
            <w:shd w:val="clear" w:color="auto" w:fill="C6EFCE"/>
          </w:tcPr>
          <w:p w14:paraId="1B1E52FF" w14:textId="44130A23" w:rsidR="003C4798" w:rsidRDefault="00417595">
            <w:pPr>
              <w:pStyle w:val="P68B1DB1-Normal85"/>
              <w:spacing w:line="240" w:lineRule="auto"/>
              <w:rPr>
                <w:rFonts w:eastAsia="Times New Roman" w:cs="Times New Roman"/>
                <w:noProof/>
              </w:rPr>
            </w:pPr>
            <w:r>
              <w:rPr>
                <w:noProof/>
              </w:rPr>
              <w:t>Accords juridiques signés avec les bénéficiaires finaux</w:t>
            </w:r>
          </w:p>
        </w:tc>
      </w:tr>
      <w:tr w:rsidR="003C4798" w14:paraId="40D687D7" w14:textId="77777777">
        <w:trPr>
          <w:trHeight w:val="300"/>
          <w:jc w:val="center"/>
        </w:trPr>
        <w:tc>
          <w:tcPr>
            <w:tcW w:w="1134" w:type="dxa"/>
            <w:shd w:val="clear" w:color="auto" w:fill="C6EFCE"/>
          </w:tcPr>
          <w:p w14:paraId="170C3911" w14:textId="4890089A" w:rsidR="003C4798" w:rsidRDefault="00417595">
            <w:pPr>
              <w:pStyle w:val="P68B1DB1-Normal85"/>
              <w:spacing w:line="240" w:lineRule="auto"/>
              <w:jc w:val="center"/>
              <w:rPr>
                <w:rFonts w:eastAsia="Times New Roman" w:cs="Times New Roman"/>
                <w:noProof/>
              </w:rPr>
            </w:pPr>
            <w:r>
              <w:rPr>
                <w:noProof/>
              </w:rPr>
              <w:t>C18L</w:t>
            </w:r>
          </w:p>
        </w:tc>
        <w:tc>
          <w:tcPr>
            <w:tcW w:w="3402" w:type="dxa"/>
            <w:shd w:val="clear" w:color="auto" w:fill="C6EFCE"/>
          </w:tcPr>
          <w:p w14:paraId="4AF5F972" w14:textId="2C5DFB18" w:rsidR="003C4798" w:rsidRDefault="00417595">
            <w:pPr>
              <w:pStyle w:val="P68B1DB1-Normal85"/>
              <w:spacing w:line="240" w:lineRule="auto"/>
              <w:rPr>
                <w:rFonts w:eastAsia="Times New Roman" w:cs="Times New Roman"/>
                <w:noProof/>
              </w:rPr>
            </w:pPr>
            <w:r>
              <w:rPr>
                <w:noProof/>
              </w:rPr>
              <w:t>C4.1.1 Prise en charge de la transformation numérique avancée</w:t>
            </w:r>
          </w:p>
        </w:tc>
        <w:tc>
          <w:tcPr>
            <w:tcW w:w="1134" w:type="dxa"/>
            <w:shd w:val="clear" w:color="auto" w:fill="C6EFCE"/>
          </w:tcPr>
          <w:p w14:paraId="596F7410" w14:textId="62A354C6" w:rsidR="003C4798" w:rsidRDefault="00417595">
            <w:pPr>
              <w:pStyle w:val="P68B1DB1-Normal85"/>
              <w:spacing w:line="240" w:lineRule="auto"/>
              <w:jc w:val="center"/>
              <w:rPr>
                <w:rFonts w:eastAsia="Times New Roman" w:cs="Times New Roman"/>
                <w:noProof/>
              </w:rPr>
            </w:pPr>
            <w:r>
              <w:rPr>
                <w:noProof/>
              </w:rPr>
              <w:t>Étape</w:t>
            </w:r>
          </w:p>
        </w:tc>
        <w:tc>
          <w:tcPr>
            <w:tcW w:w="3827" w:type="dxa"/>
            <w:shd w:val="clear" w:color="auto" w:fill="C6EFCE"/>
          </w:tcPr>
          <w:p w14:paraId="23C46800" w14:textId="6924EA97" w:rsidR="003C4798" w:rsidRDefault="00417595">
            <w:pPr>
              <w:pStyle w:val="P68B1DB1-Normal85"/>
              <w:spacing w:line="240" w:lineRule="auto"/>
              <w:rPr>
                <w:rFonts w:eastAsia="Times New Roman" w:cs="Times New Roman"/>
                <w:noProof/>
              </w:rPr>
            </w:pPr>
            <w:r>
              <w:rPr>
                <w:noProof/>
              </w:rPr>
              <w:t>Le ministère a terminé l'investissement</w:t>
            </w:r>
          </w:p>
        </w:tc>
      </w:tr>
      <w:tr w:rsidR="003C4798" w14:paraId="1216CAC6" w14:textId="77777777">
        <w:trPr>
          <w:trHeight w:val="300"/>
          <w:jc w:val="center"/>
        </w:trPr>
        <w:tc>
          <w:tcPr>
            <w:tcW w:w="1134" w:type="dxa"/>
            <w:shd w:val="clear" w:color="auto" w:fill="C6EFCE"/>
            <w:hideMark/>
          </w:tcPr>
          <w:p w14:paraId="1216CAC2" w14:textId="77777777" w:rsidR="003C4798" w:rsidRDefault="00417595">
            <w:pPr>
              <w:pStyle w:val="P68B1DB1-Normal87"/>
              <w:spacing w:line="240" w:lineRule="auto"/>
              <w:jc w:val="center"/>
              <w:rPr>
                <w:noProof/>
              </w:rPr>
            </w:pPr>
            <w:r>
              <w:rPr>
                <w:noProof/>
              </w:rPr>
              <w:t>E10L</w:t>
            </w:r>
          </w:p>
        </w:tc>
        <w:tc>
          <w:tcPr>
            <w:tcW w:w="3402" w:type="dxa"/>
            <w:shd w:val="clear" w:color="auto" w:fill="C6EFCE"/>
            <w:hideMark/>
          </w:tcPr>
          <w:p w14:paraId="1216CAC3" w14:textId="427FCC55" w:rsidR="003C4798" w:rsidRDefault="00417595">
            <w:pPr>
              <w:pStyle w:val="P68B1DB1-Normal87"/>
              <w:spacing w:line="240" w:lineRule="auto"/>
              <w:rPr>
                <w:noProof/>
              </w:rPr>
            </w:pPr>
            <w:r>
              <w:rPr>
                <w:noProof/>
              </w:rPr>
              <w:t xml:space="preserve">E3.1.1 Facilité de soutien à une économie à faible intensité de carbone </w:t>
            </w:r>
          </w:p>
        </w:tc>
        <w:tc>
          <w:tcPr>
            <w:tcW w:w="1134" w:type="dxa"/>
            <w:shd w:val="clear" w:color="auto" w:fill="C6EFCE"/>
            <w:hideMark/>
          </w:tcPr>
          <w:p w14:paraId="1216CAC4" w14:textId="77777777" w:rsidR="003C4798" w:rsidRDefault="00417595">
            <w:pPr>
              <w:pStyle w:val="P68B1DB1-Normal87"/>
              <w:spacing w:line="240" w:lineRule="auto"/>
              <w:jc w:val="center"/>
              <w:rPr>
                <w:noProof/>
              </w:rPr>
            </w:pPr>
            <w:r>
              <w:rPr>
                <w:noProof/>
              </w:rPr>
              <w:t>Étape</w:t>
            </w:r>
          </w:p>
        </w:tc>
        <w:tc>
          <w:tcPr>
            <w:tcW w:w="3827" w:type="dxa"/>
            <w:shd w:val="clear" w:color="auto" w:fill="C6EFCE"/>
            <w:hideMark/>
          </w:tcPr>
          <w:p w14:paraId="1216CAC5" w14:textId="0582794F" w:rsidR="003C4798" w:rsidRDefault="00417595">
            <w:pPr>
              <w:pStyle w:val="P68B1DB1-Normal87"/>
              <w:spacing w:line="240" w:lineRule="auto"/>
              <w:rPr>
                <w:noProof/>
              </w:rPr>
            </w:pPr>
            <w:r>
              <w:rPr>
                <w:noProof/>
              </w:rPr>
              <w:t xml:space="preserve">Achèvement des prises de participation </w:t>
            </w:r>
          </w:p>
        </w:tc>
      </w:tr>
      <w:tr w:rsidR="003C4798" w14:paraId="1216CACB" w14:textId="77777777">
        <w:trPr>
          <w:trHeight w:val="300"/>
          <w:jc w:val="center"/>
        </w:trPr>
        <w:tc>
          <w:tcPr>
            <w:tcW w:w="1134" w:type="dxa"/>
            <w:shd w:val="clear" w:color="auto" w:fill="C6EFCE"/>
            <w:hideMark/>
          </w:tcPr>
          <w:p w14:paraId="1216CAC7" w14:textId="77777777" w:rsidR="003C4798" w:rsidRDefault="00417595">
            <w:pPr>
              <w:pStyle w:val="P68B1DB1-Normal85"/>
              <w:spacing w:line="240" w:lineRule="auto"/>
              <w:jc w:val="center"/>
              <w:textAlignment w:val="baseline"/>
              <w:rPr>
                <w:rFonts w:eastAsia="Times New Roman" w:cs="Times New Roman"/>
                <w:noProof/>
              </w:rPr>
            </w:pPr>
            <w:r>
              <w:rPr>
                <w:noProof/>
              </w:rPr>
              <w:t xml:space="preserve">G5L </w:t>
            </w:r>
          </w:p>
        </w:tc>
        <w:tc>
          <w:tcPr>
            <w:tcW w:w="3402" w:type="dxa"/>
            <w:shd w:val="clear" w:color="auto" w:fill="C6EFCE"/>
            <w:hideMark/>
          </w:tcPr>
          <w:p w14:paraId="1216CAC8" w14:textId="77777777" w:rsidR="003C4798" w:rsidRDefault="00417595">
            <w:pPr>
              <w:pStyle w:val="P68B1DB1-Normal85"/>
              <w:spacing w:line="240" w:lineRule="auto"/>
              <w:textAlignment w:val="baseline"/>
              <w:rPr>
                <w:rFonts w:eastAsia="Times New Roman" w:cs="Times New Roman"/>
                <w:noProof/>
              </w:rPr>
            </w:pPr>
            <w:r>
              <w:rPr>
                <w:noProof/>
              </w:rPr>
              <w:t>G3.1.1 Rationalisation du processus d'octroi de permis pour les sources d'énergie renouvelables</w:t>
            </w:r>
          </w:p>
        </w:tc>
        <w:tc>
          <w:tcPr>
            <w:tcW w:w="1134" w:type="dxa"/>
            <w:shd w:val="clear" w:color="auto" w:fill="C6EFCE"/>
            <w:hideMark/>
          </w:tcPr>
          <w:p w14:paraId="1216CAC9" w14:textId="77777777" w:rsidR="003C4798" w:rsidRDefault="00417595">
            <w:pPr>
              <w:pStyle w:val="P68B1DB1-Normal85"/>
              <w:spacing w:line="240" w:lineRule="auto"/>
              <w:jc w:val="center"/>
              <w:textAlignment w:val="baseline"/>
              <w:rPr>
                <w:rFonts w:eastAsia="Times New Roman" w:cs="Times New Roman"/>
                <w:noProof/>
              </w:rPr>
            </w:pPr>
            <w:r>
              <w:rPr>
                <w:noProof/>
              </w:rPr>
              <w:t>Étape</w:t>
            </w:r>
          </w:p>
        </w:tc>
        <w:tc>
          <w:tcPr>
            <w:tcW w:w="3827" w:type="dxa"/>
            <w:shd w:val="clear" w:color="auto" w:fill="C6EFCE"/>
            <w:hideMark/>
          </w:tcPr>
          <w:p w14:paraId="1216CACA" w14:textId="68A6B745" w:rsidR="003C4798" w:rsidRDefault="00417595">
            <w:pPr>
              <w:pStyle w:val="P68B1DB1-Normal87"/>
              <w:spacing w:line="240" w:lineRule="auto"/>
              <w:textAlignment w:val="baseline"/>
              <w:rPr>
                <w:noProof/>
              </w:rPr>
            </w:pPr>
            <w:r>
              <w:rPr>
                <w:noProof/>
              </w:rPr>
              <w:t>Entrée en vigueur d’une résolution approuvant le financement d’une plateforme informatique pour les procédures d’autorisation des installations d’énergie renouvelable</w:t>
            </w:r>
          </w:p>
        </w:tc>
      </w:tr>
      <w:tr w:rsidR="003C4798" w14:paraId="1216CAD0" w14:textId="77777777">
        <w:trPr>
          <w:trHeight w:val="300"/>
          <w:jc w:val="center"/>
        </w:trPr>
        <w:tc>
          <w:tcPr>
            <w:tcW w:w="1134" w:type="dxa"/>
            <w:shd w:val="clear" w:color="auto" w:fill="C6EFCE"/>
            <w:hideMark/>
          </w:tcPr>
          <w:p w14:paraId="1216CACC" w14:textId="77777777" w:rsidR="003C4798" w:rsidRDefault="00417595">
            <w:pPr>
              <w:pStyle w:val="P68B1DB1-Normal85"/>
              <w:spacing w:line="240" w:lineRule="auto"/>
              <w:jc w:val="center"/>
              <w:textAlignment w:val="baseline"/>
              <w:rPr>
                <w:rFonts w:eastAsia="Times New Roman" w:cs="Times New Roman"/>
                <w:noProof/>
              </w:rPr>
            </w:pPr>
            <w:r>
              <w:rPr>
                <w:noProof/>
              </w:rPr>
              <w:t xml:space="preserve">G15L </w:t>
            </w:r>
          </w:p>
        </w:tc>
        <w:tc>
          <w:tcPr>
            <w:tcW w:w="3402" w:type="dxa"/>
            <w:shd w:val="clear" w:color="auto" w:fill="C6EFCE"/>
            <w:hideMark/>
          </w:tcPr>
          <w:p w14:paraId="1216CACD" w14:textId="77777777" w:rsidR="003C4798" w:rsidRDefault="00417595">
            <w:pPr>
              <w:pStyle w:val="P68B1DB1-Normal85"/>
              <w:spacing w:line="240" w:lineRule="auto"/>
              <w:textAlignment w:val="baseline"/>
              <w:rPr>
                <w:rFonts w:eastAsia="Times New Roman" w:cs="Times New Roman"/>
                <w:noProof/>
              </w:rPr>
            </w:pPr>
            <w:r>
              <w:rPr>
                <w:noProof/>
              </w:rPr>
              <w:t>G3.1.4 Soutien au système énergétique national (Fonds de soutien à l'énergie)</w:t>
            </w:r>
          </w:p>
        </w:tc>
        <w:tc>
          <w:tcPr>
            <w:tcW w:w="1134" w:type="dxa"/>
            <w:shd w:val="clear" w:color="auto" w:fill="C6EFCE"/>
            <w:hideMark/>
          </w:tcPr>
          <w:p w14:paraId="1216CACE" w14:textId="77777777" w:rsidR="003C4798" w:rsidRDefault="00417595">
            <w:pPr>
              <w:pStyle w:val="P68B1DB1-Normal85"/>
              <w:spacing w:line="240" w:lineRule="auto"/>
              <w:jc w:val="center"/>
              <w:textAlignment w:val="baseline"/>
              <w:rPr>
                <w:rFonts w:eastAsia="Times New Roman" w:cs="Times New Roman"/>
                <w:noProof/>
              </w:rPr>
            </w:pPr>
            <w:r>
              <w:rPr>
                <w:noProof/>
              </w:rPr>
              <w:t>Étape</w:t>
            </w:r>
          </w:p>
        </w:tc>
        <w:tc>
          <w:tcPr>
            <w:tcW w:w="3827" w:type="dxa"/>
            <w:shd w:val="clear" w:color="auto" w:fill="C6EFCE"/>
            <w:hideMark/>
          </w:tcPr>
          <w:p w14:paraId="1216CACF" w14:textId="77777777" w:rsidR="003C4798" w:rsidRDefault="00417595">
            <w:pPr>
              <w:pStyle w:val="P68B1DB1-Normal87"/>
              <w:spacing w:line="240" w:lineRule="auto"/>
              <w:textAlignment w:val="baseline"/>
              <w:rPr>
                <w:noProof/>
              </w:rPr>
            </w:pPr>
            <w:r>
              <w:rPr>
                <w:noProof/>
              </w:rPr>
              <w:t>Le ministère a terminé l'investissement</w:t>
            </w:r>
          </w:p>
        </w:tc>
      </w:tr>
      <w:tr w:rsidR="003C4798" w14:paraId="1216CAD5" w14:textId="77777777">
        <w:trPr>
          <w:trHeight w:val="300"/>
          <w:jc w:val="center"/>
        </w:trPr>
        <w:tc>
          <w:tcPr>
            <w:tcW w:w="1134" w:type="dxa"/>
            <w:shd w:val="clear" w:color="auto" w:fill="C6EFCE"/>
            <w:hideMark/>
          </w:tcPr>
          <w:p w14:paraId="1216CAD1" w14:textId="77777777" w:rsidR="003C4798" w:rsidRDefault="00417595">
            <w:pPr>
              <w:pStyle w:val="P68B1DB1-Normal85"/>
              <w:spacing w:line="240" w:lineRule="auto"/>
              <w:jc w:val="center"/>
              <w:textAlignment w:val="baseline"/>
              <w:rPr>
                <w:rFonts w:eastAsia="Times New Roman" w:cs="Times New Roman"/>
                <w:noProof/>
              </w:rPr>
            </w:pPr>
            <w:r>
              <w:rPr>
                <w:noProof/>
              </w:rPr>
              <w:t xml:space="preserve">G23L </w:t>
            </w:r>
          </w:p>
        </w:tc>
        <w:tc>
          <w:tcPr>
            <w:tcW w:w="3402" w:type="dxa"/>
            <w:shd w:val="clear" w:color="auto" w:fill="C6EFCE"/>
            <w:hideMark/>
          </w:tcPr>
          <w:p w14:paraId="1216CAD2" w14:textId="77777777" w:rsidR="003C4798" w:rsidRDefault="00417595">
            <w:pPr>
              <w:pStyle w:val="P68B1DB1-Normal85"/>
              <w:spacing w:line="240" w:lineRule="auto"/>
              <w:textAlignment w:val="baseline"/>
              <w:rPr>
                <w:rFonts w:eastAsia="Times New Roman" w:cs="Times New Roman"/>
                <w:noProof/>
              </w:rPr>
            </w:pPr>
            <w:r>
              <w:rPr>
                <w:noProof/>
              </w:rPr>
              <w:t> G3.2.1 Construction d'infrastructures de gaz naturel pour assurer la sécurité énergétique</w:t>
            </w:r>
          </w:p>
        </w:tc>
        <w:tc>
          <w:tcPr>
            <w:tcW w:w="1134" w:type="dxa"/>
            <w:shd w:val="clear" w:color="auto" w:fill="C6EFCE"/>
            <w:hideMark/>
          </w:tcPr>
          <w:p w14:paraId="1216CAD3" w14:textId="77777777" w:rsidR="003C4798" w:rsidRDefault="00417595">
            <w:pPr>
              <w:pStyle w:val="P68B1DB1-Normal85"/>
              <w:spacing w:line="240" w:lineRule="auto"/>
              <w:jc w:val="center"/>
              <w:textAlignment w:val="baseline"/>
              <w:rPr>
                <w:rFonts w:eastAsia="Times New Roman" w:cs="Times New Roman"/>
                <w:noProof/>
              </w:rPr>
            </w:pPr>
            <w:r>
              <w:rPr>
                <w:noProof/>
              </w:rPr>
              <w:t>Étape</w:t>
            </w:r>
          </w:p>
        </w:tc>
        <w:tc>
          <w:tcPr>
            <w:tcW w:w="3827" w:type="dxa"/>
            <w:shd w:val="clear" w:color="auto" w:fill="C6EFCE"/>
            <w:hideMark/>
          </w:tcPr>
          <w:p w14:paraId="1216CAD4" w14:textId="77777777" w:rsidR="003C4798" w:rsidRDefault="00417595">
            <w:pPr>
              <w:pStyle w:val="P68B1DB1-Normal87"/>
              <w:spacing w:line="240" w:lineRule="auto"/>
              <w:textAlignment w:val="baseline"/>
              <w:rPr>
                <w:noProof/>
              </w:rPr>
            </w:pPr>
            <w:r>
              <w:rPr>
                <w:noProof/>
              </w:rPr>
              <w:t>Construction du gazoduc</w:t>
            </w:r>
          </w:p>
        </w:tc>
      </w:tr>
      <w:tr w:rsidR="003C4798" w14:paraId="1216CADA" w14:textId="77777777">
        <w:trPr>
          <w:trHeight w:val="300"/>
          <w:jc w:val="center"/>
        </w:trPr>
        <w:tc>
          <w:tcPr>
            <w:tcW w:w="1134" w:type="dxa"/>
            <w:shd w:val="clear" w:color="auto" w:fill="C6EFCE"/>
            <w:hideMark/>
          </w:tcPr>
          <w:p w14:paraId="1216CAD6"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 xml:space="preserve"> </w:t>
            </w:r>
          </w:p>
        </w:tc>
        <w:tc>
          <w:tcPr>
            <w:tcW w:w="3402" w:type="dxa"/>
            <w:shd w:val="clear" w:color="auto" w:fill="C6EFCE"/>
            <w:hideMark/>
          </w:tcPr>
          <w:p w14:paraId="1216CAD7" w14:textId="77777777" w:rsidR="003C4798" w:rsidRDefault="00417595">
            <w:pPr>
              <w:pStyle w:val="P68B1DB1-Normal85"/>
              <w:spacing w:line="240" w:lineRule="auto"/>
              <w:textAlignment w:val="baseline"/>
              <w:rPr>
                <w:rFonts w:eastAsia="Times New Roman" w:cs="Times New Roman"/>
                <w:noProof/>
                <w:sz w:val="24"/>
                <w:szCs w:val="24"/>
              </w:rPr>
            </w:pPr>
            <w:r>
              <w:rPr>
                <w:noProof/>
              </w:rPr>
              <w:t xml:space="preserve"> </w:t>
            </w:r>
          </w:p>
        </w:tc>
        <w:tc>
          <w:tcPr>
            <w:tcW w:w="1134" w:type="dxa"/>
            <w:shd w:val="clear" w:color="auto" w:fill="C6EFCE"/>
            <w:hideMark/>
          </w:tcPr>
          <w:p w14:paraId="1216CAD8" w14:textId="77777777" w:rsidR="003C4798" w:rsidRDefault="00417595">
            <w:pPr>
              <w:pStyle w:val="P68B1DB1-Normal85"/>
              <w:spacing w:line="240" w:lineRule="auto"/>
              <w:jc w:val="center"/>
              <w:textAlignment w:val="baseline"/>
              <w:rPr>
                <w:rFonts w:eastAsia="Times New Roman" w:cs="Times New Roman"/>
                <w:noProof/>
                <w:sz w:val="24"/>
                <w:szCs w:val="24"/>
              </w:rPr>
            </w:pPr>
            <w:r>
              <w:rPr>
                <w:noProof/>
              </w:rPr>
              <w:t>Montant des acomptes provisionnels</w:t>
            </w:r>
          </w:p>
        </w:tc>
        <w:tc>
          <w:tcPr>
            <w:tcW w:w="3827" w:type="dxa"/>
            <w:shd w:val="clear" w:color="auto" w:fill="C6EFCE"/>
            <w:hideMark/>
          </w:tcPr>
          <w:p w14:paraId="1216CAD9" w14:textId="2AF43CD0" w:rsidR="003C4798" w:rsidRDefault="00417595">
            <w:pPr>
              <w:pStyle w:val="P68B1DB1-Normal85"/>
              <w:spacing w:line="240" w:lineRule="auto"/>
              <w:textAlignment w:val="baseline"/>
              <w:rPr>
                <w:rFonts w:eastAsia="Times New Roman" w:cs="Times New Roman"/>
                <w:noProof/>
                <w:u w:val="single"/>
              </w:rPr>
            </w:pPr>
            <w:r>
              <w:rPr>
                <w:noProof/>
              </w:rPr>
              <w:t>7 148 195 959 EUR</w:t>
            </w:r>
          </w:p>
        </w:tc>
      </w:tr>
    </w:tbl>
    <w:p w14:paraId="1216CADB" w14:textId="77777777" w:rsidR="003C4798" w:rsidRDefault="003C4798">
      <w:pPr>
        <w:pStyle w:val="Heading1"/>
        <w:spacing w:before="73" w:after="0"/>
        <w:ind w:left="0" w:firstLine="0"/>
        <w:rPr>
          <w:noProof/>
        </w:rPr>
        <w:sectPr w:rsidR="003C4798" w:rsidSect="006C5441">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299"/>
        </w:sectPr>
      </w:pPr>
    </w:p>
    <w:p w14:paraId="1216CADC" w14:textId="77777777" w:rsidR="003C4798" w:rsidRDefault="00417595">
      <w:pPr>
        <w:pStyle w:val="Heading1"/>
        <w:spacing w:before="73" w:after="0"/>
        <w:ind w:left="0" w:firstLine="0"/>
        <w:rPr>
          <w:bCs/>
          <w:noProof/>
        </w:rPr>
      </w:pPr>
      <w:r>
        <w:rPr>
          <w:noProof/>
        </w:rPr>
        <w:t>SECTION 3: DISPOSITIONS SUPPLÉMENTAIRES</w:t>
      </w:r>
    </w:p>
    <w:p w14:paraId="1216CADD" w14:textId="77777777" w:rsidR="003C4798" w:rsidRDefault="003C4798">
      <w:pPr>
        <w:spacing w:after="0"/>
        <w:ind w:left="141" w:right="1132"/>
        <w:rPr>
          <w:rFonts w:ascii="Times New Roman" w:eastAsia="Times New Roman" w:hAnsi="Times New Roman" w:cs="Times New Roman"/>
          <w:b/>
          <w:bCs/>
          <w:noProof/>
          <w:sz w:val="24"/>
          <w:szCs w:val="24"/>
        </w:rPr>
      </w:pPr>
    </w:p>
    <w:p w14:paraId="1216CADE" w14:textId="77777777" w:rsidR="003C4798" w:rsidRDefault="00417595">
      <w:pPr>
        <w:pStyle w:val="P68B1DB1-Normal13"/>
        <w:spacing w:before="120" w:after="0" w:line="240" w:lineRule="auto"/>
        <w:ind w:left="142" w:right="1132"/>
        <w:rPr>
          <w:bCs/>
          <w:noProof/>
        </w:rPr>
      </w:pPr>
      <w:r>
        <w:rPr>
          <w:noProof/>
        </w:rPr>
        <w:t>Modalités de suivi et de mise en œuvre du plan pour la reprise et la résilience</w:t>
      </w:r>
    </w:p>
    <w:p w14:paraId="1216CADF" w14:textId="77777777" w:rsidR="003C4798" w:rsidRDefault="00417595">
      <w:pPr>
        <w:pStyle w:val="P68B1DB1-Normal15"/>
        <w:spacing w:before="120" w:after="0" w:line="240" w:lineRule="auto"/>
        <w:ind w:left="142" w:right="147"/>
        <w:jc w:val="both"/>
        <w:rPr>
          <w:noProof/>
        </w:rPr>
      </w:pPr>
      <w:r>
        <w:rPr>
          <w:noProof/>
        </w:rPr>
        <w:t>Le suivi et la mise en œuvre du plan pour la reprise et la résilience de la Pologne s’effectuent conformément aux dispositions suivantes:</w:t>
      </w:r>
    </w:p>
    <w:p w14:paraId="1216CAE0" w14:textId="77777777" w:rsidR="003C4798" w:rsidRDefault="00417595">
      <w:pPr>
        <w:pStyle w:val="P68B1DB1-Normal15"/>
        <w:spacing w:before="120" w:after="0" w:line="240" w:lineRule="auto"/>
        <w:ind w:left="142" w:right="136"/>
        <w:jc w:val="both"/>
        <w:rPr>
          <w:noProof/>
        </w:rPr>
      </w:pPr>
      <w:r>
        <w:rPr>
          <w:noProof/>
        </w:rPr>
        <w:t>L’organisme responsable de la coordination globale de la mise en œuvre et du suivi du plan pour la reprise et la résilience est le ministère des fonds et de la politique régionale. Cet organisme est également responsable de l'établissement des demandes de paiement, des déclarations de gestion et du résumé des audits et assure également la liaison entre la Commission et les autorités polonaises. Les institutions responsables de la mise en œuvre des réformes et des investissements vérifient la conformité des mesures mises en œuvre avec le droit de l’Union et le droit national applicables et les progrès accomplis dans la réalisation des jalons et cibles définis au niveau des bénéficiaires finaux. Les informations et les résultats de ces vérifications sont transmis à l’organisme de coordination au moyen d’un système informatique.</w:t>
      </w:r>
    </w:p>
    <w:p w14:paraId="1216CAE1" w14:textId="77777777" w:rsidR="003C4798" w:rsidRDefault="00417595">
      <w:pPr>
        <w:pStyle w:val="P68B1DB1-Normal15"/>
        <w:spacing w:before="120" w:after="0" w:line="240" w:lineRule="auto"/>
        <w:ind w:left="142" w:right="139"/>
        <w:jc w:val="both"/>
        <w:rPr>
          <w:noProof/>
        </w:rPr>
      </w:pPr>
      <w:r>
        <w:rPr>
          <w:noProof/>
        </w:rPr>
        <w:t>En outre, un comité de suivi composé de parties prenantes et de partenaires sociaux participant à la mise en œuvre du plan pour la reprise et la résilience est établi au moyen d’un acte législatif. Le comité de suivi supervise la mise en œuvre effective du plan pour la reprise et la résilience. L’acte législatif comporte une disposition prévoyant l’obligation légale de consulter le comité de suivi pendant la mise en œuvre du plan pour la reprise et la résilience.</w:t>
      </w:r>
    </w:p>
    <w:p w14:paraId="1216CAE2" w14:textId="77777777" w:rsidR="003C4798" w:rsidRDefault="00417595">
      <w:pPr>
        <w:pStyle w:val="P68B1DB1-Normal15"/>
        <w:spacing w:before="120" w:after="0" w:line="240" w:lineRule="auto"/>
        <w:ind w:left="142" w:right="140"/>
        <w:jc w:val="both"/>
        <w:rPr>
          <w:noProof/>
        </w:rPr>
      </w:pPr>
      <w:r>
        <w:rPr>
          <w:noProof/>
        </w:rPr>
        <w:t>Les audits sont effectués par l’administration fiscale nationale, en particulier par le département de l’audit des fonds publics du ministère des finances et par 16 chambres de l’administration fiscale (bureaux régionaux) du pays. Cet organisme d’audit vérifie la bonne mise en œuvre des réformes et des investissements, la réalisation des jalons et cibles définis, l’efficacité des mécanismes de prévention, de détection et de correction des irrégularités graves, à savoir la fraude, la corruption et les conflits d’intérêts, et évite les doubles financements ainsi que la fiabilité et la sécurité du système informatique.</w:t>
      </w:r>
    </w:p>
    <w:p w14:paraId="1216CAE3" w14:textId="77777777" w:rsidR="003C4798" w:rsidRDefault="003C4798">
      <w:pPr>
        <w:spacing w:before="120" w:after="0" w:line="240" w:lineRule="auto"/>
        <w:ind w:left="142"/>
        <w:rPr>
          <w:rFonts w:ascii="Times New Roman" w:eastAsia="Times New Roman" w:hAnsi="Times New Roman" w:cs="Times New Roman"/>
          <w:b/>
          <w:bCs/>
          <w:noProof/>
          <w:sz w:val="24"/>
          <w:szCs w:val="24"/>
        </w:rPr>
      </w:pPr>
    </w:p>
    <w:p w14:paraId="1216CAE4" w14:textId="77777777" w:rsidR="003C4798" w:rsidRDefault="00417595">
      <w:pPr>
        <w:pStyle w:val="P68B1DB1-Normal13"/>
        <w:spacing w:before="120" w:after="0" w:line="240" w:lineRule="auto"/>
        <w:ind w:left="142"/>
        <w:rPr>
          <w:bCs/>
          <w:noProof/>
        </w:rPr>
      </w:pPr>
      <w:r>
        <w:rPr>
          <w:noProof/>
        </w:rPr>
        <w:t>Modalités permettant à la Commission d'accéder pleinement aux données sous-jacentes</w:t>
      </w:r>
    </w:p>
    <w:p w14:paraId="1216CAE5" w14:textId="77777777" w:rsidR="003C4798" w:rsidRDefault="00417595">
      <w:pPr>
        <w:pStyle w:val="P68B1DB1-Normal15"/>
        <w:spacing w:before="120" w:after="0" w:line="240" w:lineRule="auto"/>
        <w:ind w:left="142" w:right="142"/>
        <w:jc w:val="both"/>
        <w:rPr>
          <w:noProof/>
        </w:rPr>
      </w:pPr>
      <w:r>
        <w:rPr>
          <w:noProof/>
        </w:rPr>
        <w:t>Le ministère des fonds et de la politique régionale, en tant qu’organe central de coordination du plan polonais pour la reprise et la résilience et de sa mise en œuvre, est responsable de la coordination et du suivi globaux du plan. En particulier, il agit en tant qu’organe de coordination chargé de suivre les progrès accomplis en ce qui concerne les jalons et cibles et de fournir des rapports et des demandes de paiement. Il coordonne la communication des jalons et cibles, des indicateurs pertinents, mais aussi des informations financières qualitatives et d’autres données, par exemple sur les bénéficiaires finaux. L’encodage des données s’effectue dans un système informatique par l’intermédiaire duquel les institutions chargées de la mise en œuvre des réformes et des investissements sont tenues de rendre compte au ministère des fonds et de la politique régionale.</w:t>
      </w:r>
    </w:p>
    <w:p w14:paraId="1216CAE6" w14:textId="77777777" w:rsidR="003C4798" w:rsidRDefault="00417595">
      <w:pPr>
        <w:pStyle w:val="P68B1DB1-Normal15"/>
        <w:spacing w:before="120" w:after="0" w:line="240" w:lineRule="auto"/>
        <w:ind w:left="142" w:right="141"/>
        <w:jc w:val="both"/>
        <w:rPr>
          <w:noProof/>
        </w:rPr>
      </w:pPr>
      <w:r>
        <w:rPr>
          <w:noProof/>
        </w:rPr>
        <w:t>Conformément à l’article 24, paragraphe 2, du règlement (UE) 2021/241, lorsque les jalons et cibles pertinents convenus à la section 2.1 de la présente annexe sont atteints, la Pologne présente à la Commission une demande dûment justifiée de paiement de la contribution financière et, le cas échéant, du prêt. La Pologne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sectPr w:rsidR="003C4798">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BD12A" w14:textId="77777777" w:rsidR="00417595" w:rsidRDefault="00417595">
      <w:r>
        <w:separator/>
      </w:r>
    </w:p>
  </w:endnote>
  <w:endnote w:type="continuationSeparator" w:id="0">
    <w:p w14:paraId="02166251" w14:textId="77777777" w:rsidR="00417595" w:rsidRDefault="00417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Times">
    <w:panose1 w:val="02020603050405020304"/>
    <w:charset w:val="EE"/>
    <w:family w:val="roman"/>
    <w:pitch w:val="variable"/>
    <w:sig w:usb0="E0002EFF" w:usb1="C000785B" w:usb2="00000009" w:usb3="00000000" w:csb0="000001FF" w:csb1="00000000"/>
  </w:font>
  <w:font w:name="EC Square Sans Pro">
    <w:altName w:val="Segoe UI"/>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661AA" w14:textId="54869DBA" w:rsidR="000E17AC" w:rsidRPr="000E17AC" w:rsidRDefault="000E17AC" w:rsidP="000E17AC">
    <w:pPr>
      <w:pStyle w:val="FooterCoverPage"/>
      <w:rPr>
        <w:rFonts w:ascii="Arial" w:hAnsi="Arial" w:cs="Arial"/>
        <w:b/>
        <w:sz w:val="48"/>
      </w:rPr>
    </w:pPr>
    <w:r w:rsidRPr="000E17AC">
      <w:rPr>
        <w:rFonts w:ascii="Arial" w:hAnsi="Arial" w:cs="Arial"/>
        <w:b/>
        <w:sz w:val="48"/>
      </w:rPr>
      <w:t>FR</w:t>
    </w:r>
    <w:r w:rsidRPr="000E17AC">
      <w:rPr>
        <w:rFonts w:ascii="Arial" w:hAnsi="Arial" w:cs="Arial"/>
        <w:b/>
        <w:sz w:val="48"/>
      </w:rPr>
      <w:tab/>
    </w:r>
    <w:r w:rsidRPr="000E17AC">
      <w:rPr>
        <w:rFonts w:ascii="Arial" w:hAnsi="Arial" w:cs="Arial"/>
        <w:b/>
        <w:sz w:val="48"/>
      </w:rPr>
      <w:tab/>
    </w:r>
    <w:r w:rsidRPr="000E17AC">
      <w:tab/>
    </w:r>
    <w:r w:rsidRPr="000E17A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D4B6F" w14:textId="659B013A" w:rsidR="000E17AC" w:rsidRPr="000E17AC" w:rsidRDefault="000E17AC" w:rsidP="000E17AC">
    <w:pPr>
      <w:pStyle w:val="FooterCoverPage"/>
      <w:rPr>
        <w:rFonts w:ascii="Arial" w:hAnsi="Arial" w:cs="Arial"/>
        <w:b/>
        <w:sz w:val="48"/>
      </w:rPr>
    </w:pPr>
    <w:r w:rsidRPr="000E17AC">
      <w:rPr>
        <w:rFonts w:ascii="Arial" w:hAnsi="Arial" w:cs="Arial"/>
        <w:b/>
        <w:sz w:val="48"/>
      </w:rPr>
      <w:t>FR</w:t>
    </w:r>
    <w:r w:rsidRPr="000E17AC">
      <w:rPr>
        <w:rFonts w:ascii="Arial" w:hAnsi="Arial" w:cs="Arial"/>
        <w:b/>
        <w:sz w:val="48"/>
      </w:rPr>
      <w:tab/>
    </w:r>
    <w:r w:rsidRPr="000E17AC">
      <w:rPr>
        <w:rFonts w:ascii="Arial" w:hAnsi="Arial" w:cs="Arial"/>
        <w:b/>
        <w:sz w:val="48"/>
      </w:rPr>
      <w:tab/>
    </w:r>
    <w:r w:rsidRPr="000E17AC">
      <w:tab/>
    </w:r>
    <w:r w:rsidRPr="000E17A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3D957" w14:textId="77777777" w:rsidR="000E17AC" w:rsidRPr="000E17AC" w:rsidRDefault="000E17AC" w:rsidP="000E17A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F0388" w14:textId="77777777" w:rsidR="003C4798" w:rsidRDefault="003C47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22558043"/>
      <w:docPartObj>
        <w:docPartGallery w:val="Page Numbers (Bottom of Page)"/>
        <w:docPartUnique/>
      </w:docPartObj>
    </w:sdtPr>
    <w:sdtEndPr/>
    <w:sdtContent>
      <w:p w14:paraId="1211407E" w14:textId="05FA6A74" w:rsidR="003C4798" w:rsidRDefault="00417595">
        <w:pPr>
          <w:pStyle w:val="Footer"/>
          <w:jc w:val="center"/>
        </w:pPr>
        <w:r>
          <w:fldChar w:fldCharType="begin"/>
        </w:r>
        <w:r>
          <w:instrText xml:space="preserve"> PAGE   \* MERGEFORMAT </w:instrText>
        </w:r>
        <w:r>
          <w:fldChar w:fldCharType="separate"/>
        </w:r>
        <w:r w:rsidR="000E17AC">
          <w:rPr>
            <w:noProof/>
          </w:rPr>
          <w:t>2</w:t>
        </w:r>
        <w:r>
          <w:fldChar w:fldCharType="end"/>
        </w:r>
      </w:p>
    </w:sdtContent>
  </w:sdt>
  <w:p w14:paraId="4918383C" w14:textId="77777777" w:rsidR="003C4798" w:rsidRDefault="003C479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D7041" w14:textId="77777777" w:rsidR="003C4798" w:rsidRDefault="003C47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4" w14:textId="77777777" w:rsidR="003C4798" w:rsidRDefault="003C47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82635410"/>
      <w:docPartObj>
        <w:docPartGallery w:val="Page Numbers (Bottom of Page)"/>
        <w:docPartUnique/>
      </w:docPartObj>
    </w:sdtPr>
    <w:sdtEndPr/>
    <w:sdtContent>
      <w:p w14:paraId="0B74F304" w14:textId="20F86722"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31BAAED8" w14:textId="77777777" w:rsidR="003C4798" w:rsidRDefault="003C47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6" w14:textId="77777777" w:rsidR="003C4798" w:rsidRDefault="003C479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8" w14:textId="77777777" w:rsidR="003C4798" w:rsidRDefault="003C479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01171449"/>
      <w:docPartObj>
        <w:docPartGallery w:val="Page Numbers (Bottom of Page)"/>
        <w:docPartUnique/>
      </w:docPartObj>
    </w:sdtPr>
    <w:sdtEndPr/>
    <w:sdtContent>
      <w:p w14:paraId="26E9E10E" w14:textId="5E518FAD"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1D5D3B7D" w14:textId="77777777" w:rsidR="003C4798" w:rsidRDefault="003C479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A" w14:textId="77777777" w:rsidR="003C4798" w:rsidRDefault="003C479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D" w14:textId="77777777" w:rsidR="003C4798" w:rsidRDefault="003C479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107228031"/>
      <w:docPartObj>
        <w:docPartGallery w:val="Page Numbers (Bottom of Page)"/>
        <w:docPartUnique/>
      </w:docPartObj>
    </w:sdtPr>
    <w:sdtEndPr/>
    <w:sdtContent>
      <w:p w14:paraId="15AC7BA2" w14:textId="0028F860"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62EBF3C5" w14:textId="1E22B868" w:rsidR="003C4798" w:rsidRDefault="003C479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C" w14:textId="77777777" w:rsidR="003C4798" w:rsidRDefault="003C479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F" w14:textId="77777777" w:rsidR="003C4798" w:rsidRDefault="003C479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61376780"/>
      <w:docPartObj>
        <w:docPartGallery w:val="Page Numbers (Bottom of Page)"/>
        <w:docPartUnique/>
      </w:docPartObj>
    </w:sdtPr>
    <w:sdtEndPr/>
    <w:sdtContent>
      <w:p w14:paraId="3914DC40" w14:textId="54584C00"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672A6659" w14:textId="77777777" w:rsidR="003C4798" w:rsidRDefault="003C479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E" w14:textId="77777777" w:rsidR="003C4798" w:rsidRDefault="003C479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51" w14:textId="77777777" w:rsidR="003C4798" w:rsidRDefault="003C479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694237838"/>
      <w:docPartObj>
        <w:docPartGallery w:val="Page Numbers (Bottom of Page)"/>
        <w:docPartUnique/>
      </w:docPartObj>
    </w:sdtPr>
    <w:sdtEndPr/>
    <w:sdtContent>
      <w:p w14:paraId="4784CF12" w14:textId="7B684C99"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3656B9AB" w14:textId="571B276F" w:rsidR="003C4798" w:rsidRDefault="003C479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0" w14:textId="77777777" w:rsidR="003C4798" w:rsidRDefault="003C479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3" w14:textId="77777777" w:rsidR="003C4798" w:rsidRDefault="003C479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70549749"/>
      <w:docPartObj>
        <w:docPartGallery w:val="Page Numbers (Bottom of Page)"/>
        <w:docPartUnique/>
      </w:docPartObj>
    </w:sdtPr>
    <w:sdtEndPr/>
    <w:sdtContent>
      <w:p w14:paraId="7FFB0035" w14:textId="74973CEE"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0A37501D" w14:textId="5D3CB471" w:rsidR="003C4798" w:rsidRDefault="003C479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2" w14:textId="77777777" w:rsidR="003C4798" w:rsidRDefault="003C479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5" w14:textId="77777777" w:rsidR="003C4798" w:rsidRDefault="003C479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113624848"/>
      <w:docPartObj>
        <w:docPartGallery w:val="Page Numbers (Bottom of Page)"/>
        <w:docPartUnique/>
      </w:docPartObj>
    </w:sdtPr>
    <w:sdtEndPr/>
    <w:sdtContent>
      <w:p w14:paraId="561713B7" w14:textId="63654466"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4DDBEF00" w14:textId="4777BC34" w:rsidR="003C4798" w:rsidRDefault="003C479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4" w14:textId="77777777" w:rsidR="003C4798" w:rsidRDefault="003C479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7" w14:textId="77777777" w:rsidR="003C4798" w:rsidRDefault="003C479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44959083"/>
      <w:docPartObj>
        <w:docPartGallery w:val="Page Numbers (Bottom of Page)"/>
        <w:docPartUnique/>
      </w:docPartObj>
    </w:sdtPr>
    <w:sdtEndPr/>
    <w:sdtContent>
      <w:p w14:paraId="6D335170" w14:textId="2916C692"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4B94D5A5" w14:textId="70CEEF78" w:rsidR="003C4798" w:rsidRDefault="003C479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6" w14:textId="77777777" w:rsidR="003C4798" w:rsidRDefault="003C479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9" w14:textId="77777777" w:rsidR="003C4798" w:rsidRDefault="003C479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697849618"/>
      <w:docPartObj>
        <w:docPartGallery w:val="Page Numbers (Bottom of Page)"/>
        <w:docPartUnique/>
      </w:docPartObj>
    </w:sdtPr>
    <w:sdtEndPr/>
    <w:sdtContent>
      <w:p w14:paraId="5C166EB8" w14:textId="00516398"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1299C43A" w14:textId="4337B72F" w:rsidR="003C4798" w:rsidRDefault="003C479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8" w14:textId="77777777" w:rsidR="003C4798" w:rsidRDefault="003C479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B" w14:textId="77777777" w:rsidR="003C4798" w:rsidRDefault="003C479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89470810"/>
      <w:docPartObj>
        <w:docPartGallery w:val="Page Numbers (Bottom of Page)"/>
        <w:docPartUnique/>
      </w:docPartObj>
    </w:sdtPr>
    <w:sdtEndPr/>
    <w:sdtContent>
      <w:p w14:paraId="7DBD72EB" w14:textId="0903B622"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0E27B00A" w14:textId="501FF311" w:rsidR="003C4798" w:rsidRDefault="003C479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A" w14:textId="77777777" w:rsidR="003C4798" w:rsidRDefault="003C479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D" w14:textId="77777777" w:rsidR="003C4798" w:rsidRDefault="003C479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86230926"/>
      <w:docPartObj>
        <w:docPartGallery w:val="Page Numbers (Bottom of Page)"/>
        <w:docPartUnique/>
      </w:docPartObj>
    </w:sdtPr>
    <w:sdtEndPr/>
    <w:sdtContent>
      <w:p w14:paraId="3DA34D61" w14:textId="7769E9D2"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4101652C" w14:textId="14419BDB" w:rsidR="003C4798" w:rsidRDefault="003C479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C" w14:textId="77777777" w:rsidR="003C4798" w:rsidRDefault="003C479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F" w14:textId="77777777" w:rsidR="003C4798" w:rsidRDefault="003C479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611625358"/>
      <w:docPartObj>
        <w:docPartGallery w:val="Page Numbers (Bottom of Page)"/>
        <w:docPartUnique/>
      </w:docPartObj>
    </w:sdtPr>
    <w:sdtEndPr/>
    <w:sdtContent>
      <w:p w14:paraId="6FA8251F" w14:textId="74E92A47"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45FB0818" w14:textId="792E337F" w:rsidR="003C4798" w:rsidRDefault="003C479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E" w14:textId="77777777" w:rsidR="003C4798" w:rsidRDefault="003C479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E1" w14:textId="77777777" w:rsidR="003C4798" w:rsidRDefault="003C479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55741976"/>
      <w:docPartObj>
        <w:docPartGallery w:val="Page Numbers (Bottom of Page)"/>
        <w:docPartUnique/>
      </w:docPartObj>
    </w:sdtPr>
    <w:sdtEndPr/>
    <w:sdtContent>
      <w:p w14:paraId="6342FA7A" w14:textId="36D0207A"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44EAFD9C" w14:textId="41ECAC0D" w:rsidR="003C4798" w:rsidRDefault="003C479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0" w14:textId="77777777" w:rsidR="003C4798" w:rsidRDefault="003C479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3" w14:textId="77777777" w:rsidR="003C4798" w:rsidRDefault="003C479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8839345"/>
      <w:docPartObj>
        <w:docPartGallery w:val="Page Numbers (Bottom of Page)"/>
        <w:docPartUnique/>
      </w:docPartObj>
    </w:sdtPr>
    <w:sdtEndPr/>
    <w:sdtContent>
      <w:p w14:paraId="74673D66" w14:textId="69479659"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6A05A809" w14:textId="403FE9B0" w:rsidR="003C4798" w:rsidRDefault="003C479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2" w14:textId="77777777" w:rsidR="003C4798" w:rsidRDefault="003C479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5" w14:textId="77777777" w:rsidR="003C4798" w:rsidRDefault="003C479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99291419"/>
      <w:docPartObj>
        <w:docPartGallery w:val="Page Numbers (Bottom of Page)"/>
        <w:docPartUnique/>
      </w:docPartObj>
    </w:sdtPr>
    <w:sdtEndPr/>
    <w:sdtContent>
      <w:p w14:paraId="345C077F" w14:textId="727DA59F"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1FC39945" w14:textId="134649A4" w:rsidR="003C4798" w:rsidRDefault="003C479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4" w14:textId="77777777" w:rsidR="003C4798" w:rsidRDefault="003C479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7" w14:textId="77777777" w:rsidR="003C4798" w:rsidRDefault="003C479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89950125"/>
      <w:docPartObj>
        <w:docPartGallery w:val="Page Numbers (Bottom of Page)"/>
        <w:docPartUnique/>
      </w:docPartObj>
    </w:sdtPr>
    <w:sdtEndPr/>
    <w:sdtContent>
      <w:p w14:paraId="14FBC9BD" w14:textId="1535AFFC"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5DAB6C7B" w14:textId="57593965" w:rsidR="003C4798" w:rsidRDefault="003C479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6" w14:textId="77777777" w:rsidR="003C4798" w:rsidRDefault="003C479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9" w14:textId="77777777" w:rsidR="003C4798" w:rsidRDefault="003C479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009262939"/>
      <w:docPartObj>
        <w:docPartGallery w:val="Page Numbers (Bottom of Page)"/>
        <w:docPartUnique/>
      </w:docPartObj>
    </w:sdtPr>
    <w:sdtEndPr/>
    <w:sdtContent>
      <w:p w14:paraId="03669FAC" w14:textId="1610D051"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049F31CB" w14:textId="3FD9BE18" w:rsidR="003C4798" w:rsidRDefault="003C479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8" w14:textId="77777777" w:rsidR="003C4798" w:rsidRDefault="003C479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B" w14:textId="77777777" w:rsidR="003C4798" w:rsidRDefault="003C479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7293575"/>
      <w:docPartObj>
        <w:docPartGallery w:val="Page Numbers (Bottom of Page)"/>
        <w:docPartUnique/>
      </w:docPartObj>
    </w:sdtPr>
    <w:sdtEndPr/>
    <w:sdtContent>
      <w:p w14:paraId="66ED6911" w14:textId="44CFFEB8"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3461D779" w14:textId="555E1C82" w:rsidR="003C4798" w:rsidRDefault="003C479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A" w14:textId="77777777" w:rsidR="003C4798" w:rsidRDefault="003C479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D" w14:textId="77777777" w:rsidR="003C4798" w:rsidRDefault="003C479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039851314"/>
      <w:docPartObj>
        <w:docPartGallery w:val="Page Numbers (Bottom of Page)"/>
        <w:docPartUnique/>
      </w:docPartObj>
    </w:sdtPr>
    <w:sdtEndPr/>
    <w:sdtContent>
      <w:p w14:paraId="680072BF" w14:textId="00BF0FBA"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3CF2D8B6" w14:textId="7FDC0817" w:rsidR="003C4798" w:rsidRDefault="003C479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C" w14:textId="77777777" w:rsidR="003C4798" w:rsidRDefault="003C479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F" w14:textId="77777777" w:rsidR="003C4798" w:rsidRDefault="003C479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304997327"/>
      <w:docPartObj>
        <w:docPartGallery w:val="Page Numbers (Bottom of Page)"/>
        <w:docPartUnique/>
      </w:docPartObj>
    </w:sdtPr>
    <w:sdtEndPr/>
    <w:sdtContent>
      <w:p w14:paraId="5F9DF63C" w14:textId="1495FD1E"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0562CB0E" w14:textId="39EE69DD" w:rsidR="003C4798" w:rsidRDefault="003C479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E" w14:textId="77777777" w:rsidR="003C4798" w:rsidRDefault="003C479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71" w14:textId="77777777" w:rsidR="003C4798" w:rsidRDefault="003C479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42511791"/>
      <w:docPartObj>
        <w:docPartGallery w:val="Page Numbers (Bottom of Page)"/>
        <w:docPartUnique/>
      </w:docPartObj>
    </w:sdtPr>
    <w:sdtEndPr/>
    <w:sdtContent>
      <w:p w14:paraId="44802CD5" w14:textId="47EA93AF"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3DEEC669" w14:textId="36FEFE55" w:rsidR="003C4798" w:rsidRDefault="003C479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0" w14:textId="77777777" w:rsidR="003C4798" w:rsidRDefault="003C479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3" w14:textId="77777777" w:rsidR="003C4798" w:rsidRDefault="003C479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33272423"/>
      <w:docPartObj>
        <w:docPartGallery w:val="Page Numbers (Bottom of Page)"/>
        <w:docPartUnique/>
      </w:docPartObj>
    </w:sdtPr>
    <w:sdtEndPr/>
    <w:sdtContent>
      <w:p w14:paraId="5105CED2" w14:textId="41F373A3"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41C8F396" w14:textId="7100A06A" w:rsidR="003C4798" w:rsidRDefault="003C479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2" w14:textId="77777777" w:rsidR="003C4798" w:rsidRDefault="003C479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5" w14:textId="77777777" w:rsidR="003C4798" w:rsidRDefault="003C479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06299444"/>
      <w:docPartObj>
        <w:docPartGallery w:val="Page Numbers (Bottom of Page)"/>
        <w:docPartUnique/>
      </w:docPartObj>
    </w:sdtPr>
    <w:sdtEndPr/>
    <w:sdtContent>
      <w:p w14:paraId="5A3F76BE" w14:textId="39E9B6CF"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0D0B940D" w14:textId="4F1450E7" w:rsidR="003C4798" w:rsidRDefault="003C479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4" w14:textId="77777777" w:rsidR="003C4798" w:rsidRDefault="003C4798">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7" w14:textId="77777777" w:rsidR="003C4798" w:rsidRDefault="003C4798">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00519616"/>
      <w:docPartObj>
        <w:docPartGallery w:val="Page Numbers (Bottom of Page)"/>
        <w:docPartUnique/>
      </w:docPartObj>
    </w:sdtPr>
    <w:sdtEndPr/>
    <w:sdtContent>
      <w:p w14:paraId="056E3AF9" w14:textId="7C7D757B"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60061E4C" w14:textId="71337C9A" w:rsidR="003C4798" w:rsidRDefault="003C4798">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6" w14:textId="77777777" w:rsidR="003C4798" w:rsidRDefault="003C4798">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9" w14:textId="77777777" w:rsidR="003C4798" w:rsidRDefault="003C4798">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133839385"/>
      <w:docPartObj>
        <w:docPartGallery w:val="Page Numbers (Bottom of Page)"/>
        <w:docPartUnique/>
      </w:docPartObj>
    </w:sdtPr>
    <w:sdtEndPr/>
    <w:sdtContent>
      <w:p w14:paraId="6DEBBA16" w14:textId="483B30C6"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0FB78278" w14:textId="02F5EF65" w:rsidR="003C4798" w:rsidRDefault="003C4798">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8" w14:textId="77777777" w:rsidR="003C4798" w:rsidRDefault="003C4798">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B" w14:textId="77777777" w:rsidR="003C4798" w:rsidRDefault="003C4798">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27133434"/>
      <w:docPartObj>
        <w:docPartGallery w:val="Page Numbers (Bottom of Page)"/>
        <w:docPartUnique/>
      </w:docPartObj>
    </w:sdtPr>
    <w:sdtEndPr/>
    <w:sdtContent>
      <w:p w14:paraId="555AB6B3" w14:textId="59CA9A1F"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5A39BBE3" w14:textId="234E39F4" w:rsidR="003C4798" w:rsidRDefault="003C4798">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A" w14:textId="77777777" w:rsidR="003C4798" w:rsidRDefault="003C4798">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2" w14:textId="77777777" w:rsidR="003C4798" w:rsidRDefault="003C4798">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65382367"/>
      <w:docPartObj>
        <w:docPartGallery w:val="Page Numbers (Bottom of Page)"/>
        <w:docPartUnique/>
      </w:docPartObj>
    </w:sdtPr>
    <w:sdtEndPr/>
    <w:sdtContent>
      <w:p w14:paraId="2C27B56F" w14:textId="7F76EFC7"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419F64DE" w14:textId="77777777" w:rsidR="003C4798" w:rsidRDefault="003C4798">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4" w14:textId="77777777" w:rsidR="003C4798" w:rsidRDefault="003C4798">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6" w14:textId="77777777" w:rsidR="003C4798" w:rsidRDefault="003C4798">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62900469"/>
      <w:docPartObj>
        <w:docPartGallery w:val="Page Numbers (Bottom of Page)"/>
        <w:docPartUnique/>
      </w:docPartObj>
    </w:sdtPr>
    <w:sdtEndPr/>
    <w:sdtContent>
      <w:p w14:paraId="7E5B40AB" w14:textId="139DFA31" w:rsidR="003C4798" w:rsidRDefault="00417595">
        <w:pPr>
          <w:pStyle w:val="Footer"/>
          <w:jc w:val="center"/>
        </w:pPr>
        <w:r>
          <w:fldChar w:fldCharType="begin"/>
        </w:r>
        <w:r>
          <w:instrText xml:space="preserve"> PAGE   \* MERGEFORMAT </w:instrText>
        </w:r>
        <w:r>
          <w:fldChar w:fldCharType="separate"/>
        </w:r>
        <w:r>
          <w:t>2</w:t>
        </w:r>
        <w:r>
          <w:fldChar w:fldCharType="end"/>
        </w:r>
      </w:p>
    </w:sdtContent>
  </w:sdt>
  <w:p w14:paraId="75928736" w14:textId="77777777" w:rsidR="003C4798" w:rsidRDefault="003C4798">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8" w14:textId="77777777" w:rsidR="003C4798" w:rsidRDefault="003C4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8B964F" w14:textId="77777777" w:rsidR="00417595" w:rsidRDefault="00417595">
      <w:pPr>
        <w:spacing w:after="0" w:line="240" w:lineRule="auto"/>
      </w:pPr>
      <w:r>
        <w:separator/>
      </w:r>
    </w:p>
  </w:footnote>
  <w:footnote w:type="continuationSeparator" w:id="0">
    <w:p w14:paraId="577BEB33" w14:textId="77777777" w:rsidR="00417595" w:rsidRDefault="00417595">
      <w:pPr>
        <w:spacing w:after="0" w:line="240" w:lineRule="auto"/>
      </w:pPr>
      <w:r>
        <w:continuationSeparator/>
      </w:r>
    </w:p>
  </w:footnote>
  <w:footnote w:type="continuationNotice" w:id="1">
    <w:p w14:paraId="7F13A4EB" w14:textId="77777777" w:rsidR="00417595" w:rsidRDefault="00417595">
      <w:pPr>
        <w:spacing w:after="0" w:line="240" w:lineRule="auto"/>
      </w:pPr>
    </w:p>
  </w:footnote>
  <w:footnote w:id="2">
    <w:p w14:paraId="1216CCF9" w14:textId="403D9AAF" w:rsidR="003C4798" w:rsidRDefault="00417595">
      <w:pPr>
        <w:pStyle w:val="FootnoteText"/>
        <w:ind w:left="0" w:firstLine="0"/>
      </w:pPr>
      <w:r>
        <w:rPr>
          <w:rStyle w:val="FootnoteReference"/>
        </w:rPr>
        <w:footnoteRef/>
      </w:r>
      <w:r>
        <w:t xml:space="preserve"> </w:t>
      </w:r>
      <w:r>
        <w:rPr>
          <w:rFonts w:eastAsia="Times New Roman"/>
          <w:color w:val="000000" w:themeColor="text1"/>
          <w:sz w:val="19"/>
          <w:szCs w:val="19"/>
        </w:rPr>
        <w:t>À l’exception a)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[(2023) 6454 final] et b) des activités et actifs visés au point ii) pour lesquels l’utilisation de combustibles fossiles est temporaire et techniquement inévitable en vue de la transition en temps utile vers une exploitation sans combustibles fossiles.</w:t>
      </w:r>
    </w:p>
  </w:footnote>
  <w:footnote w:id="3">
    <w:p w14:paraId="1216CCFA" w14:textId="77777777" w:rsidR="003C4798" w:rsidRDefault="00417595">
      <w:pPr>
        <w:pStyle w:val="FootnoteText"/>
        <w:ind w:left="0" w:firstLine="0"/>
      </w:pPr>
      <w:r>
        <w:rPr>
          <w:rStyle w:val="FootnoteReference"/>
        </w:rPr>
        <w:footnoteRef/>
      </w:r>
      <w:r>
        <w:t xml:space="preserve"> </w:t>
      </w:r>
      <w:r>
        <w:rPr>
          <w:rFonts w:eastAsia="Times New Roman"/>
          <w:color w:val="000000" w:themeColor="text1"/>
          <w:sz w:val="19"/>
          <w:szCs w:val="19"/>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4">
    <w:p w14:paraId="1216CCFB" w14:textId="77777777" w:rsidR="003C4798" w:rsidRDefault="00417595">
      <w:pPr>
        <w:pStyle w:val="FootnoteText"/>
        <w:ind w:left="0" w:firstLine="0"/>
      </w:pPr>
      <w:r>
        <w:rPr>
          <w:rStyle w:val="FootnoteReference"/>
        </w:rPr>
        <w:footnoteRef/>
      </w:r>
      <w:r>
        <w:t xml:space="preserve"> </w:t>
      </w:r>
      <w:r>
        <w:rPr>
          <w:rFonts w:eastAsia="Times New Roman"/>
          <w:color w:val="000000" w:themeColor="text1"/>
          <w:sz w:val="19"/>
          <w:szCs w:val="19"/>
        </w:rPr>
        <w:t>Cette exclusion ne s’applique pas aux actions dans les installations exclusivement consacrées au traitement des déchets dangereux non recyclables, ni aux installations existantes, lorsque les actions visent à accroître l’efficacité énergétique, à capter les gaz d’échappement en vue de leur stockage ou de leur utilisation ou à récupérer des matériaux à partir de cendres d’incinération, pour autant que ces actions n’entraînent pas une augmentation de la capacité de traitement des déchets des installations ou une prolongation de la durée de vie des installations; pour lesquels des éléments de preuve sont fournis au niveau de l’installation.</w:t>
      </w:r>
    </w:p>
  </w:footnote>
  <w:footnote w:id="5">
    <w:p w14:paraId="1216CCFC" w14:textId="77777777" w:rsidR="003C4798" w:rsidRDefault="00417595">
      <w:pPr>
        <w:pStyle w:val="FootnoteText"/>
        <w:ind w:left="0" w:firstLine="0"/>
      </w:pPr>
      <w:r>
        <w:rPr>
          <w:rStyle w:val="FootnoteReference"/>
        </w:rPr>
        <w:footnoteRef/>
      </w:r>
      <w:r>
        <w:t xml:space="preserve"> </w:t>
      </w:r>
      <w:r>
        <w:rPr>
          <w:rFonts w:eastAsia="Times New Roman"/>
          <w:color w:val="000000" w:themeColor="text1"/>
          <w:sz w:val="19"/>
          <w:szCs w:val="19"/>
        </w:rPr>
        <w:t>Cette exclusion ne s’applique pas aux actions dans les installations de traitement biologique mécanique existantes, lorsque les actions visent à accroître l’efficacité énergétique ou à moderniser les opérations de recyclage des déchets séparés pour composter les biodéchets et la digestion anaérobie des biodéchets, pour autant que ces actions n’entraînent pas une augmentation de la capacité de traitement des déchets des installations ou une prolongation de la durée de vie des installations; pour lesquels des éléments de preuve sont fournis au niveau de l’installation.</w:t>
      </w:r>
    </w:p>
  </w:footnote>
  <w:footnote w:id="6">
    <w:p w14:paraId="1216CCFD" w14:textId="77777777" w:rsidR="003C4798" w:rsidRDefault="00417595">
      <w:pPr>
        <w:pStyle w:val="FootnoteText"/>
        <w:ind w:left="0" w:firstLine="0"/>
        <w:rPr>
          <w:sz w:val="18"/>
          <w:szCs w:val="18"/>
        </w:rPr>
      </w:pPr>
      <w:r>
        <w:rPr>
          <w:rStyle w:val="FootnoteReference"/>
          <w:sz w:val="18"/>
          <w:szCs w:val="18"/>
        </w:rPr>
        <w:footnoteRef/>
      </w:r>
      <w:r>
        <w:rPr>
          <w:sz w:val="18"/>
          <w:szCs w:val="18"/>
        </w:rPr>
        <w:t xml:space="preserve"> 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7">
    <w:p w14:paraId="1216CCFE" w14:textId="77777777" w:rsidR="003C4798" w:rsidRDefault="00417595">
      <w:pPr>
        <w:pStyle w:val="FootnoteText"/>
        <w:ind w:left="0" w:hanging="11"/>
        <w:rPr>
          <w:sz w:val="18"/>
          <w:szCs w:val="18"/>
        </w:rPr>
      </w:pPr>
      <w:r>
        <w:rPr>
          <w:rStyle w:val="FootnoteReference"/>
          <w:sz w:val="18"/>
          <w:szCs w:val="18"/>
        </w:rPr>
        <w:footnoteRef/>
      </w:r>
      <w:r>
        <w:rPr>
          <w:sz w:val="18"/>
          <w:szCs w:val="18"/>
        </w:rPr>
        <w:t xml:space="preserve"> Lorsque l’activité soutenue atteint des émissions de gaz à effet de serre projetées qui ne sont pas sensiblement inférieures aux référentiels pertinents, une explication des raisons pour lesquelles cela n’est pas possible est fournie. Critères de référence établis pour l’allocation de quotas à titre gratuit pour les activités relevant du champ d’application du système d’échange de quotas d’émission de l’UE, tels que définis dans le règlement d’exécution (UE) 2021/447 de la Commission.</w:t>
      </w:r>
    </w:p>
  </w:footnote>
  <w:footnote w:id="8">
    <w:p w14:paraId="1216CCFF" w14:textId="77777777" w:rsidR="003C4798" w:rsidRDefault="00417595">
      <w:pPr>
        <w:pStyle w:val="FootnoteText"/>
        <w:ind w:left="0" w:firstLine="0"/>
        <w:rPr>
          <w:sz w:val="18"/>
          <w:szCs w:val="18"/>
        </w:rPr>
      </w:pPr>
      <w:r>
        <w:rPr>
          <w:rStyle w:val="FootnoteReference"/>
          <w:sz w:val="18"/>
          <w:szCs w:val="18"/>
        </w:rPr>
        <w:footnoteRef/>
      </w:r>
      <w:r>
        <w:rPr>
          <w:sz w:val="18"/>
          <w:szCs w:val="18"/>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9">
    <w:p w14:paraId="1216CD00" w14:textId="77777777" w:rsidR="003C4798" w:rsidRDefault="00417595">
      <w:pPr>
        <w:pStyle w:val="FootnoteText"/>
        <w:ind w:left="0" w:firstLine="0"/>
        <w:rPr>
          <w:sz w:val="18"/>
          <w:szCs w:val="18"/>
        </w:rPr>
      </w:pPr>
      <w:r>
        <w:rPr>
          <w:rStyle w:val="FootnoteReference"/>
          <w:sz w:val="18"/>
          <w:szCs w:val="18"/>
        </w:rPr>
        <w:footnoteRef/>
      </w:r>
      <w:r>
        <w:rPr>
          <w:sz w:val="18"/>
          <w:szCs w:val="18"/>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0">
    <w:p w14:paraId="1216CD01" w14:textId="77777777" w:rsidR="003C4798" w:rsidRDefault="00417595">
      <w:pPr>
        <w:pStyle w:val="FootnoteText"/>
        <w:ind w:left="0" w:firstLine="0"/>
      </w:pPr>
      <w:r>
        <w:rPr>
          <w:rStyle w:val="FootnoteReference"/>
        </w:rPr>
        <w:footnoteRef/>
      </w:r>
      <w:r>
        <w:t xml:space="preserve"> </w:t>
      </w:r>
      <w:r>
        <w:rPr>
          <w:sz w:val="18"/>
          <w:szCs w:val="18"/>
        </w:rPr>
        <w:t>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11">
    <w:p w14:paraId="1216CD02" w14:textId="77777777" w:rsidR="003C4798" w:rsidRDefault="00417595">
      <w:pPr>
        <w:pStyle w:val="FootnoteText"/>
        <w:ind w:left="0" w:hanging="11"/>
      </w:pPr>
      <w:r>
        <w:rPr>
          <w:rStyle w:val="FootnoteReference"/>
        </w:rPr>
        <w:footnoteRef/>
      </w:r>
      <w:r>
        <w:t xml:space="preserve"> </w:t>
      </w:r>
      <w:r>
        <w:rPr>
          <w:sz w:val="18"/>
          <w:szCs w:val="18"/>
        </w:rPr>
        <w:t>Lorsque l’activité soutenue atteint des émissions de gaz à effet de serre projetées qui ne sont pas sensiblement inférieures aux référentiels pertinents, une explication des raisons pour lesquelles cela n’est pas possible est fournie. Critères de référence établis pour l’allocation de quotas à titre gratuit pour les activités relevant du champ d’application du système d’échange de quotas d’émission de l’UE, tels que définis dans le règlement d’exécution (UE) 2021/447 de la Commission.</w:t>
      </w:r>
    </w:p>
  </w:footnote>
  <w:footnote w:id="12">
    <w:p w14:paraId="1216CD03" w14:textId="77777777" w:rsidR="003C4798" w:rsidRDefault="00417595">
      <w:pPr>
        <w:pStyle w:val="FootnoteText"/>
        <w:ind w:left="0" w:firstLine="0"/>
        <w:rPr>
          <w:sz w:val="18"/>
          <w:szCs w:val="18"/>
        </w:rPr>
      </w:pPr>
      <w:r>
        <w:rPr>
          <w:rStyle w:val="FootnoteReference"/>
        </w:rPr>
        <w:footnoteRef/>
      </w:r>
      <w:r>
        <w:t xml:space="preserve"> </w:t>
      </w:r>
      <w:r>
        <w:rPr>
          <w:sz w:val="18"/>
          <w:szCs w:val="18"/>
        </w:rPr>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3">
    <w:p w14:paraId="1216CD04" w14:textId="77777777" w:rsidR="003C4798" w:rsidRDefault="00417595">
      <w:pPr>
        <w:pStyle w:val="FootnoteText"/>
        <w:ind w:left="0" w:firstLine="0"/>
        <w:rPr>
          <w:sz w:val="18"/>
          <w:szCs w:val="18"/>
        </w:rPr>
      </w:pPr>
      <w:r>
        <w:rPr>
          <w:rStyle w:val="FootnoteReference"/>
        </w:rPr>
        <w:footnoteRef/>
      </w:r>
      <w:r>
        <w:t xml:space="preserve"> </w:t>
      </w:r>
      <w:r>
        <w:rPr>
          <w:sz w:val="18"/>
          <w:szCs w:val="18"/>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4">
    <w:p w14:paraId="1216CD05" w14:textId="380A2243" w:rsidR="003C4798" w:rsidRDefault="00417595">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b) les activités et actifs visés au point ii) pour lesquels l’utilisation de combustibles fossiles est temporaire et techniquement inévitable en vue de la transition en temps utile vers une exploitation sans combustibles fossiles; c) les aéronefs utilisés pour la protection civile ou la lutte contre l’incendie, les trains bimodaux, les navires hybrides, les navires à double carburant; d) les navires à usage spécial et les véhicules à usage spécial qui sont fondés sur les meilleurs niveaux de performance environnementale disponibles; et e) la construction de nouvelles connexions routières, de ponts, de voies ferrées non électrifiées et/ou de tunnels d’une longueur individuelle inférieure à 20 kilomètres et la rénovation de voies ferrées, de routes, de ponts et/ou de tunnels.</w:t>
      </w:r>
    </w:p>
  </w:footnote>
  <w:footnote w:id="15">
    <w:p w14:paraId="1216CD06" w14:textId="5C816810" w:rsidR="003C4798" w:rsidRDefault="00417595">
      <w:pPr>
        <w:pStyle w:val="FootnoteText"/>
        <w:ind w:left="426" w:hanging="426"/>
        <w:rPr>
          <w:rFonts w:eastAsia="EC Square Sans Pro"/>
          <w:sz w:val="18"/>
          <w:szCs w:val="18"/>
        </w:rPr>
      </w:pPr>
      <w:r>
        <w:rPr>
          <w:rStyle w:val="FootnoteReference"/>
          <w:sz w:val="18"/>
          <w:szCs w:val="18"/>
        </w:rPr>
        <w:footnoteRef/>
      </w:r>
      <w:r>
        <w:rPr>
          <w:sz w:val="18"/>
          <w:szCs w:val="18"/>
        </w:rPr>
        <w:t xml:space="preserve"> </w:t>
      </w:r>
      <w:r>
        <w:rPr>
          <w:sz w:val="18"/>
          <w:szCs w:val="18"/>
        </w:rPr>
        <w:tab/>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6">
    <w:p w14:paraId="1216CD07" w14:textId="77777777" w:rsidR="003C4798" w:rsidRDefault="00417595">
      <w:pPr>
        <w:pStyle w:val="FootnoteText"/>
        <w:ind w:left="426" w:hanging="426"/>
        <w:rPr>
          <w:sz w:val="18"/>
          <w:szCs w:val="18"/>
        </w:rPr>
      </w:pPr>
      <w:r>
        <w:rPr>
          <w:rStyle w:val="FootnoteReference"/>
          <w:sz w:val="18"/>
          <w:szCs w:val="18"/>
        </w:rPr>
        <w:footnoteRef/>
      </w:r>
      <w:r>
        <w:rPr>
          <w:sz w:val="18"/>
          <w:szCs w:val="18"/>
        </w:rPr>
        <w:t xml:space="preserve"> </w:t>
      </w:r>
      <w:r>
        <w:rPr>
          <w:sz w:val="18"/>
          <w:szCs w:val="18"/>
        </w:rPr>
        <w:tab/>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7">
    <w:p w14:paraId="1216CD08" w14:textId="77777777" w:rsidR="003C4798" w:rsidRDefault="00417595">
      <w:pPr>
        <w:pStyle w:val="FootnoteText"/>
        <w:ind w:left="426" w:hanging="426"/>
        <w:rPr>
          <w:sz w:val="18"/>
          <w:szCs w:val="18"/>
        </w:rPr>
      </w:pPr>
      <w:r>
        <w:rPr>
          <w:rStyle w:val="FootnoteReference"/>
          <w:sz w:val="18"/>
          <w:szCs w:val="18"/>
        </w:rPr>
        <w:footnoteRef/>
      </w:r>
      <w:r>
        <w:rPr>
          <w:sz w:val="18"/>
          <w:szCs w:val="18"/>
        </w:rPr>
        <w:t xml:space="preserve"> </w:t>
      </w:r>
      <w:r>
        <w:rPr>
          <w:sz w:val="18"/>
          <w:szCs w:val="18"/>
        </w:rPr>
        <w:tab/>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8">
    <w:p w14:paraId="1216CD09" w14:textId="0C7670CD" w:rsidR="003C4798" w:rsidRDefault="00417595">
      <w:pPr>
        <w:pStyle w:val="FootnoteText"/>
        <w:ind w:left="426" w:hanging="426"/>
        <w:rPr>
          <w:sz w:val="18"/>
          <w:szCs w:val="18"/>
        </w:rPr>
      </w:pPr>
      <w:r>
        <w:rPr>
          <w:sz w:val="14"/>
          <w:szCs w:val="14"/>
        </w:rPr>
        <w:footnoteRef/>
      </w:r>
      <w:r>
        <w:rPr>
          <w:sz w:val="14"/>
          <w:szCs w:val="14"/>
        </w:rPr>
        <w:t xml:space="preserve"> </w:t>
      </w:r>
      <w:r>
        <w:rPr>
          <w:sz w:val="18"/>
          <w:szCs w:val="18"/>
        </w:rPr>
        <w:tab/>
        <w:t>Il est considéré qu’un bénéficiaire final se concentre «de manière substantielle» sur un secteur ou une activité commerciale si les recettes brutes générées par le secteur ou l’activité faisant l’objet de restrictions dépassent 50 % des recettes brutes.</w:t>
      </w:r>
    </w:p>
  </w:footnote>
  <w:footnote w:id="19">
    <w:p w14:paraId="1216CD0A" w14:textId="3838EBE9" w:rsidR="003C4798" w:rsidRDefault="00417595">
      <w:pPr>
        <w:pStyle w:val="FootnoteText"/>
        <w:ind w:left="426" w:hanging="426"/>
        <w:rPr>
          <w:rFonts w:eastAsia="Times New Roman"/>
          <w:sz w:val="18"/>
          <w:szCs w:val="18"/>
        </w:rPr>
      </w:pPr>
      <w:r>
        <w:rPr>
          <w:sz w:val="14"/>
          <w:szCs w:val="14"/>
        </w:rPr>
        <w:footnoteRef/>
      </w:r>
      <w:r>
        <w:rPr>
          <w:sz w:val="14"/>
          <w:szCs w:val="14"/>
        </w:rPr>
        <w:t xml:space="preserve"> </w:t>
      </w:r>
      <w:r>
        <w:rPr>
          <w:sz w:val="18"/>
          <w:szCs w:val="18"/>
        </w:rPr>
        <w:tab/>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20">
    <w:p w14:paraId="1216CD0B" w14:textId="77777777" w:rsidR="003C4798" w:rsidRDefault="00417595">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21">
    <w:p w14:paraId="1216CD0C" w14:textId="62074C2F" w:rsidR="003C4798" w:rsidRDefault="00417595">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Les véhicules polluants sont définis comme des véhicules à émissions non nulles. Cette exclusion ne s’applique pas aux aéronefs utilisés pour la protection civile ou la lutte contre l’incendie, aux trains bimodaux, aux navires hybrides, aux navires à double carburant et aux navires à usage spécial et aux véhicules à usage spécial qui sont fondés sur les meilleurs niveaux de performance environnementale disponibles dans le secteur.</w:t>
      </w:r>
    </w:p>
  </w:footnote>
  <w:footnote w:id="22">
    <w:p w14:paraId="1216CD0D" w14:textId="77777777" w:rsidR="003C4798" w:rsidRDefault="00417595">
      <w:pPr>
        <w:pStyle w:val="FootnoteText"/>
        <w:ind w:left="426" w:hanging="426"/>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23">
    <w:p w14:paraId="1216CD0E" w14:textId="43EF4DC2" w:rsidR="003C4798" w:rsidRDefault="00417595">
      <w:pPr>
        <w:pStyle w:val="FootnoteText"/>
        <w:ind w:left="0" w:firstLine="0"/>
      </w:pPr>
      <w:r>
        <w:rPr>
          <w:rStyle w:val="FootnoteReference"/>
        </w:rPr>
        <w:footnoteRef/>
      </w:r>
      <w:r>
        <w:t xml:space="preserve"> Cette valeur n'est pas en soi le coût, mais le volume d'investissement visé. Cela peut ou non égaler le coût selon la façon dont l’instrument est structuré, si l’effet de levier sera atteint et si le partenaire chargé de la mise en œuvre a des coûts/frais facturés.</w:t>
      </w:r>
    </w:p>
  </w:footnote>
  <w:footnote w:id="24">
    <w:p w14:paraId="1216CD0F" w14:textId="77777777" w:rsidR="003C4798" w:rsidRDefault="00417595">
      <w:pPr>
        <w:pStyle w:val="FootnoteText"/>
        <w:ind w:left="0" w:firstLine="0"/>
      </w:pPr>
      <w:r>
        <w:rPr>
          <w:rStyle w:val="FootnoteReference"/>
        </w:rPr>
        <w:footnoteRef/>
      </w:r>
      <w:r>
        <w:t xml:space="preserve"> À l’exception a) des projets au titre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b) des activités et des actifs visés au point ii) pour lesquels l’utilisation de combustibles fossiles est temporaire et techniquement inévitable en vue de la transition en temps utile vers une exploitation sans combustibles fossiles; c) les installations d’hydrogène bas carbone qui respectent l’exigence de réduction des émissions de GES tout au long du cycle de vie de 73,4 % pour l’hydrogène, ce qui se traduit par des émissions de GES tout au long du cycle de vie inférieures à 3 tCO2eq/tH2) et de 70 % pour les carburants synthétiques à base d’hydrogène, par rapport à un comparateur de combustibles fossiles de 94 g CO2eq/MJ, ce qui donne 2,256 tCO2eq/tH2, par analogie avec l’approche exposée à l’article 25, paragraphe 2, et à l’annexe V de la directive (UE) 2018/2001. Les réductions des émissions de GES tout au long du cycle de vie sont calculées à l’aide de la méthode visée à l’article 28, paragraphe 5, de la directive (UE) 2018/2001 ou, à défaut, à l’aide de la norme ISO 14067:2018 ou ISO 14064-1:2018.</w:t>
      </w:r>
    </w:p>
  </w:footnote>
  <w:footnote w:id="25">
    <w:p w14:paraId="1216CD10" w14:textId="77777777" w:rsidR="003C4798" w:rsidRDefault="00417595">
      <w:pPr>
        <w:pStyle w:val="FootnoteText"/>
        <w:ind w:left="0" w:firstLine="0"/>
      </w:pPr>
      <w:r>
        <w:rPr>
          <w:rStyle w:val="FootnoteReference"/>
        </w:rPr>
        <w:footnoteRef/>
      </w:r>
      <w:r>
        <w:t xml:space="preserve"> Lorsque l’activité soutenue permet d’atteindre des émissions de gaz à effet de serre projetées qui ne sont pas significativement inférieures à</w:t>
      </w:r>
    </w:p>
    <w:p w14:paraId="1216CD11" w14:textId="77777777" w:rsidR="003C4798" w:rsidRDefault="00417595">
      <w:pPr>
        <w:pStyle w:val="FootnoteText"/>
        <w:ind w:left="0" w:firstLine="0"/>
      </w:pPr>
      <w:r>
        <w:t>les critères de référence pertinents devraient être accompagnés d’une explication des raisons pour lesquelles cela n’est pas possible. Critères de référence établis</w:t>
      </w:r>
    </w:p>
    <w:p w14:paraId="1216CD12" w14:textId="77777777" w:rsidR="003C4798" w:rsidRDefault="00417595">
      <w:pPr>
        <w:pStyle w:val="FootnoteText"/>
        <w:ind w:left="0" w:firstLine="0"/>
      </w:pPr>
      <w:r>
        <w:t>pour l’allocation de quotas à titre gratuit pour les activités relevant du champ d’application du système d’échange de quotas d’émission, tel que défini par la Commission</w:t>
      </w:r>
    </w:p>
    <w:p w14:paraId="1216CD13" w14:textId="77777777" w:rsidR="003C4798" w:rsidRDefault="00417595">
      <w:pPr>
        <w:pStyle w:val="FootnoteText"/>
        <w:ind w:left="0" w:firstLine="0"/>
      </w:pPr>
      <w:r>
        <w:t>Règlement d’exécution (UE) 2021/447.</w:t>
      </w:r>
    </w:p>
  </w:footnote>
  <w:footnote w:id="26">
    <w:p w14:paraId="1216CD14" w14:textId="77777777" w:rsidR="003C4798" w:rsidRDefault="00417595">
      <w:pPr>
        <w:pStyle w:val="FootnoteText"/>
        <w:ind w:left="0" w:firstLine="0"/>
      </w:pPr>
      <w:r>
        <w:rPr>
          <w:rStyle w:val="FootnoteReference"/>
        </w:rPr>
        <w:footnoteRef/>
      </w:r>
      <w: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27">
    <w:p w14:paraId="1216CD15" w14:textId="77777777" w:rsidR="003C4798" w:rsidRDefault="00417595">
      <w:pPr>
        <w:pStyle w:val="FootnoteText"/>
        <w:ind w:left="0" w:firstLine="0"/>
      </w:pPr>
      <w:r>
        <w:rPr>
          <w:rStyle w:val="FootnoteReference"/>
        </w:rPr>
        <w:footnoteRef/>
      </w:r>
      <w: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w:t>
      </w:r>
      <w:r>
        <w:rPr>
          <w:sz w:val="18"/>
          <w:szCs w:val="18"/>
        </w:rPr>
        <w:t xml:space="preserve"> l’installation .</w:t>
      </w:r>
    </w:p>
  </w:footnote>
  <w:footnote w:id="28">
    <w:p w14:paraId="1216CD16" w14:textId="77777777" w:rsidR="003C4798" w:rsidRDefault="00417595">
      <w:pPr>
        <w:pBdr>
          <w:top w:val="nil"/>
          <w:left w:val="nil"/>
          <w:bottom w:val="nil"/>
          <w:right w:val="nil"/>
          <w:between w:val="nil"/>
        </w:pBdr>
        <w:spacing w:after="0" w:line="257" w:lineRule="auto"/>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 58/01).</w:t>
      </w:r>
    </w:p>
  </w:footnote>
  <w:footnote w:id="29">
    <w:p w14:paraId="1216CD17" w14:textId="77777777" w:rsidR="003C4798" w:rsidRDefault="00417595">
      <w:pPr>
        <w:pStyle w:val="FootnoteText"/>
        <w:ind w:left="0" w:firstLine="0"/>
        <w:rPr>
          <w:sz w:val="18"/>
          <w:szCs w:val="18"/>
        </w:rPr>
      </w:pPr>
      <w:r>
        <w:rPr>
          <w:rStyle w:val="FootnoteReference"/>
          <w:sz w:val="18"/>
          <w:szCs w:val="18"/>
        </w:rPr>
        <w:footnoteRef/>
      </w:r>
      <w:r>
        <w:rPr>
          <w:sz w:val="18"/>
        </w:rPr>
        <w:t xml:space="preserve"> Lorsque l’activité soutenue atteint des émissions de gaz à effet de serre projetées qui ne sont pas sensiblement inférieures aux référentiels pertinents, une explication des raisons pour lesquelles cela n’est pas possible est fournie. Critères de référence établis pour l’allocation de quotas à titre gratuit pour les activités relevant du champ d’application du système d’échange de quotas d’émission de l’UE, tels que définis dans le règlement d’exécution (UE) 2021/447 de la Commission.</w:t>
      </w:r>
    </w:p>
  </w:footnote>
  <w:footnote w:id="30">
    <w:p w14:paraId="1216CD18" w14:textId="77777777" w:rsidR="003C4798" w:rsidRDefault="00417595">
      <w:pPr>
        <w:pStyle w:val="FootnoteText"/>
        <w:ind w:left="0" w:firstLine="0"/>
        <w:rPr>
          <w:sz w:val="18"/>
          <w:szCs w:val="18"/>
        </w:rPr>
      </w:pPr>
      <w:r>
        <w:rPr>
          <w:rStyle w:val="FootnoteReference"/>
          <w:sz w:val="18"/>
          <w:szCs w:val="18"/>
        </w:rPr>
        <w:footnoteRef/>
      </w:r>
      <w:r>
        <w:rPr>
          <w:sz w:val="18"/>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31">
    <w:p w14:paraId="1216CD19" w14:textId="77777777" w:rsidR="003C4798" w:rsidRDefault="00417595">
      <w:pPr>
        <w:pBdr>
          <w:top w:val="nil"/>
          <w:left w:val="nil"/>
          <w:bottom w:val="nil"/>
          <w:right w:val="nil"/>
          <w:between w:val="nil"/>
        </w:pBdr>
        <w:spacing w:after="0" w:line="240" w:lineRule="auto"/>
        <w:jc w:val="both"/>
        <w:rPr>
          <w:rFonts w:ascii="Times New Roman" w:eastAsia="Times New Roman" w:hAnsi="Times New Roman" w:cs="Times New Roman"/>
          <w:sz w:val="16"/>
          <w:szCs w:val="16"/>
        </w:rPr>
      </w:pPr>
      <w:r>
        <w:rPr>
          <w:rStyle w:val="FootnoteReference"/>
          <w:rFonts w:ascii="Times New Roman" w:hAnsi="Times New Roman" w:cs="Times New Roman"/>
          <w:sz w:val="18"/>
          <w:szCs w:val="18"/>
        </w:rPr>
        <w:footnoteRef/>
      </w:r>
      <w:r>
        <w:rPr>
          <w:rFonts w:ascii="Times New Roman" w:hAnsi="Times New Roman"/>
          <w:sz w:val="18"/>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32">
    <w:p w14:paraId="1216CD1A" w14:textId="77777777" w:rsidR="003C4798" w:rsidRDefault="00417595">
      <w:pPr>
        <w:pStyle w:val="FootnoteText"/>
        <w:ind w:left="0" w:firstLine="0"/>
        <w:rPr>
          <w:sz w:val="18"/>
          <w:szCs w:val="18"/>
        </w:rPr>
      </w:pPr>
      <w:r>
        <w:rPr>
          <w:rStyle w:val="FootnoteReference"/>
          <w:sz w:val="18"/>
          <w:szCs w:val="18"/>
        </w:rPr>
        <w:footnoteRef/>
      </w:r>
      <w:r>
        <w:rPr>
          <w:sz w:val="18"/>
        </w:rPr>
        <w:t xml:space="preserve"> 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33">
    <w:p w14:paraId="1216CD1B" w14:textId="77777777" w:rsidR="003C4798" w:rsidRDefault="00417595">
      <w:pPr>
        <w:pStyle w:val="FootnoteText"/>
        <w:ind w:left="0" w:firstLine="0"/>
        <w:rPr>
          <w:sz w:val="18"/>
          <w:szCs w:val="18"/>
        </w:rPr>
      </w:pPr>
      <w:r>
        <w:rPr>
          <w:rStyle w:val="FootnoteReference"/>
          <w:sz w:val="18"/>
          <w:szCs w:val="18"/>
        </w:rPr>
        <w:footnoteRef/>
      </w:r>
      <w:r>
        <w:rPr>
          <w:sz w:val="18"/>
        </w:rPr>
        <w:t xml:space="preserve"> Lorsque l’activité soutenue atteint des émissions de gaz à effet de serre projetées qui ne sont pas sensiblement inférieures aux référentiels pertinents, une explication des raisons pour lesquelles cela n’est pas possible est fournie. Critères de référence établis pour l’allocation de quotas à titre gratuit pour les activités relevant du champ d’application du système d’échange de quotas d’émission de l’UE, tels que définis dans le règlement d’exécution (UE) 2021/447 de la Commission.</w:t>
      </w:r>
    </w:p>
  </w:footnote>
  <w:footnote w:id="34">
    <w:p w14:paraId="1216CD1C" w14:textId="77777777" w:rsidR="003C4798" w:rsidRDefault="00417595">
      <w:pPr>
        <w:pStyle w:val="FootnoteText"/>
        <w:ind w:left="0" w:firstLine="0"/>
        <w:rPr>
          <w:sz w:val="18"/>
          <w:szCs w:val="18"/>
        </w:rPr>
      </w:pPr>
      <w:r>
        <w:rPr>
          <w:rStyle w:val="FootnoteReference"/>
          <w:sz w:val="18"/>
          <w:szCs w:val="18"/>
        </w:rPr>
        <w:footnoteRef/>
      </w:r>
      <w:r>
        <w:rPr>
          <w:sz w:val="18"/>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35">
    <w:p w14:paraId="1216CD1D" w14:textId="77777777" w:rsidR="003C4798" w:rsidRDefault="00417595">
      <w:pPr>
        <w:pStyle w:val="FootnoteText"/>
        <w:ind w:left="0" w:firstLine="0"/>
        <w:rPr>
          <w:sz w:val="18"/>
          <w:szCs w:val="18"/>
        </w:rPr>
      </w:pPr>
      <w:r>
        <w:rPr>
          <w:rStyle w:val="FootnoteReference"/>
          <w:sz w:val="18"/>
          <w:szCs w:val="18"/>
        </w:rPr>
        <w:footnoteRef/>
      </w:r>
      <w:r>
        <w:rPr>
          <w:sz w:val="18"/>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36">
    <w:p w14:paraId="1216CD1E" w14:textId="77777777" w:rsidR="003C4798" w:rsidRDefault="00417595">
      <w:pPr>
        <w:pStyle w:val="FootnoteText"/>
        <w:ind w:left="0" w:firstLine="0"/>
        <w:rPr>
          <w:sz w:val="18"/>
          <w:szCs w:val="18"/>
        </w:rPr>
      </w:pPr>
      <w:r>
        <w:rPr>
          <w:rStyle w:val="FootnoteReference"/>
          <w:sz w:val="18"/>
          <w:szCs w:val="18"/>
        </w:rPr>
        <w:footnoteRef/>
      </w:r>
      <w:r>
        <w:rPr>
          <w:rStyle w:val="FootnoteReference"/>
          <w:sz w:val="18"/>
          <w:szCs w:val="18"/>
          <w:vertAlign w:val="baseline"/>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37">
    <w:p w14:paraId="1216CD1F" w14:textId="12F1D003" w:rsidR="003C4798" w:rsidRDefault="00417595">
      <w:pPr>
        <w:pStyle w:val="FootnoteText"/>
        <w:ind w:left="0" w:firstLine="0"/>
        <w:rPr>
          <w:rStyle w:val="FootnoteReference"/>
          <w:sz w:val="18"/>
          <w:szCs w:val="18"/>
          <w:vertAlign w:val="baseline"/>
        </w:rPr>
      </w:pPr>
      <w:r>
        <w:rPr>
          <w:rStyle w:val="FootnoteReference"/>
          <w:sz w:val="18"/>
          <w:szCs w:val="18"/>
        </w:rPr>
        <w:footnoteRef/>
      </w:r>
      <w:r>
        <w:rPr>
          <w:rStyle w:val="FootnoteReference"/>
          <w:sz w:val="18"/>
          <w:szCs w:val="18"/>
        </w:rPr>
        <w:t xml:space="preserve"> </w:t>
      </w:r>
      <w:r>
        <w:rPr>
          <w:rStyle w:val="FootnoteReference"/>
          <w:sz w:val="18"/>
          <w:szCs w:val="18"/>
          <w:vertAlign w:val="baseline"/>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r>
        <w:rPr>
          <w:rStyle w:val="FootnoteReference"/>
          <w:sz w:val="18"/>
          <w:szCs w:val="18"/>
        </w:rPr>
        <w:t xml:space="preserve"> </w:t>
      </w:r>
    </w:p>
  </w:footnote>
  <w:footnote w:id="38">
    <w:p w14:paraId="1216CD20" w14:textId="77777777" w:rsidR="003C4798" w:rsidRDefault="00417595">
      <w:pPr>
        <w:pStyle w:val="FootnoteText"/>
        <w:ind w:left="0" w:firstLine="0"/>
        <w:rPr>
          <w:rStyle w:val="FootnoteReference"/>
          <w:sz w:val="18"/>
          <w:szCs w:val="18"/>
        </w:rPr>
      </w:pPr>
      <w:r>
        <w:rPr>
          <w:rStyle w:val="FootnoteReference"/>
          <w:sz w:val="18"/>
          <w:szCs w:val="18"/>
        </w:rPr>
        <w:footnoteRef/>
      </w:r>
      <w:r>
        <w:rPr>
          <w:rStyle w:val="FootnoteReference"/>
          <w:sz w:val="18"/>
          <w:szCs w:val="18"/>
        </w:rPr>
        <w:t xml:space="preserve"> </w:t>
      </w:r>
      <w:r>
        <w:rPr>
          <w:rStyle w:val="FootnoteReference"/>
          <w:sz w:val="18"/>
          <w:szCs w:val="18"/>
          <w:vertAlign w:val="baseline"/>
        </w:rPr>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39">
    <w:p w14:paraId="1216CD21" w14:textId="77777777" w:rsidR="003C4798" w:rsidRDefault="00417595">
      <w:pPr>
        <w:pStyle w:val="FootnoteText"/>
        <w:ind w:left="0" w:firstLine="0"/>
        <w:rPr>
          <w:rStyle w:val="FootnoteReference"/>
          <w:sz w:val="18"/>
          <w:szCs w:val="18"/>
        </w:rPr>
      </w:pPr>
      <w:r>
        <w:rPr>
          <w:rStyle w:val="FootnoteReference"/>
          <w:sz w:val="18"/>
          <w:szCs w:val="18"/>
        </w:rPr>
        <w:footnoteRef/>
      </w:r>
      <w:r>
        <w:rPr>
          <w:rStyle w:val="FootnoteReference"/>
          <w:sz w:val="18"/>
          <w:szCs w:val="18"/>
        </w:rPr>
        <w:t xml:space="preserve"> </w:t>
      </w:r>
      <w:r>
        <w:rPr>
          <w:rStyle w:val="FootnoteReference"/>
          <w:sz w:val="18"/>
          <w:szCs w:val="18"/>
          <w:vertAlign w:val="baseline"/>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p w14:paraId="1216CD22" w14:textId="77777777" w:rsidR="003C4798" w:rsidRDefault="003C4798">
      <w:pPr>
        <w:pStyle w:val="FootnoteText"/>
      </w:pPr>
    </w:p>
  </w:footnote>
  <w:footnote w:id="40">
    <w:p w14:paraId="1216CD23" w14:textId="77777777" w:rsidR="003C4798" w:rsidRDefault="00417595">
      <w:pPr>
        <w:pStyle w:val="FootnoteText"/>
        <w:ind w:left="0" w:firstLine="0"/>
        <w:rPr>
          <w:sz w:val="18"/>
          <w:szCs w:val="18"/>
        </w:rPr>
      </w:pPr>
      <w:r>
        <w:rPr>
          <w:rStyle w:val="FootnoteReference"/>
        </w:rPr>
        <w:footnoteRef/>
      </w:r>
      <w:r>
        <w:t xml:space="preserve"> </w:t>
      </w:r>
      <w:r>
        <w:rPr>
          <w:sz w:val="18"/>
          <w:szCs w:val="18"/>
        </w:rPr>
        <w:t>À l’exception a) des actifs et activités de production d’électricité et/ou de chaleur, ainsi que des infrastructures de transport et de distribution connexes, utilisant du gaz naturel, qui sont conformes aux conditions énoncées à l’annexe III des orientations techniques DNSH [C(2023) 6454 final] et b) des activités et actifs visés au point ii) pour lesquels l’utilisation de combustibles fossiles est temporaire et techniquement inévitable pour la transition en temps utile vers une exploitation sans combustibles fossiles.</w:t>
      </w:r>
    </w:p>
  </w:footnote>
  <w:footnote w:id="41">
    <w:p w14:paraId="1216CD24" w14:textId="77777777" w:rsidR="003C4798" w:rsidRDefault="00417595">
      <w:pPr>
        <w:pStyle w:val="FootnoteText"/>
        <w:ind w:left="0" w:firstLine="0"/>
        <w:rPr>
          <w:sz w:val="18"/>
          <w:szCs w:val="18"/>
        </w:rPr>
      </w:pPr>
      <w:r>
        <w:rPr>
          <w:rStyle w:val="FootnoteReference"/>
          <w:sz w:val="18"/>
          <w:szCs w:val="18"/>
        </w:rPr>
        <w:footnoteRef/>
      </w:r>
      <w:r>
        <w:rPr>
          <w:sz w:val="18"/>
          <w:szCs w:val="18"/>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42">
    <w:p w14:paraId="1216CD25" w14:textId="77777777" w:rsidR="003C4798" w:rsidRDefault="00417595">
      <w:pPr>
        <w:pStyle w:val="FootnoteText"/>
        <w:ind w:left="0" w:firstLine="0"/>
        <w:rPr>
          <w:sz w:val="18"/>
          <w:szCs w:val="18"/>
        </w:rPr>
      </w:pPr>
      <w:r>
        <w:rPr>
          <w:rStyle w:val="FootnoteReference"/>
          <w:sz w:val="18"/>
          <w:szCs w:val="18"/>
        </w:rPr>
        <w:footnoteRef/>
      </w:r>
      <w:r>
        <w:rPr>
          <w:sz w:val="18"/>
          <w:szCs w:val="18"/>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43">
    <w:p w14:paraId="1216CD26" w14:textId="77777777" w:rsidR="003C4798" w:rsidRDefault="00417595">
      <w:pPr>
        <w:pStyle w:val="FootnoteText"/>
        <w:ind w:left="0" w:firstLine="0"/>
      </w:pPr>
      <w:r>
        <w:rPr>
          <w:rStyle w:val="FootnoteReference"/>
          <w:sz w:val="18"/>
          <w:szCs w:val="18"/>
        </w:rPr>
        <w:footnoteRef/>
      </w:r>
      <w:r>
        <w:rPr>
          <w:sz w:val="18"/>
          <w:szCs w:val="18"/>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44">
    <w:p w14:paraId="1216CD27" w14:textId="77777777" w:rsidR="003C4798" w:rsidRDefault="00417595">
      <w:pPr>
        <w:pStyle w:val="FootnoteText"/>
        <w:ind w:left="0" w:firstLine="0"/>
      </w:pPr>
      <w:r>
        <w:rPr>
          <w:rStyle w:val="FootnoteReference"/>
        </w:rPr>
        <w:footnoteRef/>
      </w:r>
      <w:r>
        <w:t xml:space="preserve"> </w:t>
      </w:r>
      <w:r>
        <w:rPr>
          <w:sz w:val="18"/>
          <w:szCs w:val="18"/>
        </w:rPr>
        <w:t>Les bénéficiaires finaux associés à des projets spécifiques sont tenus de fournir une justification du champ d’intervention sélectionné pour chaque projet soutenu, ainsi qu’une description du projet, aux fins du calcul de la contribution climatique. Le partenaire chargé de la mise en œuvre est également tenu de fournir à l’État membre un rapport semestriel sur la mise en œuvre de chaque projet/activité.</w:t>
      </w:r>
    </w:p>
  </w:footnote>
  <w:footnote w:id="45">
    <w:p w14:paraId="1216CD28" w14:textId="77777777" w:rsidR="003C4798" w:rsidRDefault="00417595">
      <w:pPr>
        <w:pStyle w:val="FootnoteText"/>
        <w:ind w:left="0" w:firstLine="0"/>
        <w:rPr>
          <w:sz w:val="18"/>
          <w:szCs w:val="18"/>
        </w:rPr>
      </w:pPr>
      <w:r>
        <w:rPr>
          <w:rStyle w:val="FootnoteReference"/>
        </w:rPr>
        <w:footnoteRef/>
      </w:r>
      <w:r>
        <w:t xml:space="preserve"> </w:t>
      </w:r>
      <w:r>
        <w:rPr>
          <w:sz w:val="18"/>
          <w:szCs w:val="18"/>
        </w:rPr>
        <w:t>À l’exception a) des actifs et activités de production d’électricité et/ou de chaleur, ainsi que des infrastructures de transport et de distribution connexes, utilisant du gaz naturel, qui sont conformes aux conditions énoncées à l’annexe III des orientations techniques DNSH [C(2023) 6454 final] et b) des activités et actifs visés au point ii) pour lesquels l’utilisation de combustibles fossiles est temporaire et techniquement inévitable pour la transition en temps utile vers une exploitation sans combustibles fossiles.</w:t>
      </w:r>
    </w:p>
  </w:footnote>
  <w:footnote w:id="46">
    <w:p w14:paraId="1216CD29" w14:textId="77777777" w:rsidR="003C4798" w:rsidRDefault="00417595">
      <w:pPr>
        <w:pStyle w:val="FootnoteText"/>
        <w:ind w:left="0" w:firstLine="0"/>
        <w:rPr>
          <w:sz w:val="18"/>
          <w:szCs w:val="18"/>
        </w:rPr>
      </w:pPr>
      <w:r>
        <w:rPr>
          <w:rStyle w:val="FootnoteReference"/>
          <w:sz w:val="18"/>
          <w:szCs w:val="18"/>
        </w:rPr>
        <w:footnoteRef/>
      </w:r>
      <w:r>
        <w:rPr>
          <w:sz w:val="18"/>
          <w:szCs w:val="18"/>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47">
    <w:p w14:paraId="1216CD2A" w14:textId="77777777" w:rsidR="003C4798" w:rsidRDefault="00417595">
      <w:pPr>
        <w:pStyle w:val="FootnoteText"/>
        <w:ind w:left="0" w:firstLine="0"/>
        <w:rPr>
          <w:sz w:val="18"/>
          <w:szCs w:val="18"/>
        </w:rPr>
      </w:pPr>
      <w:r>
        <w:rPr>
          <w:rStyle w:val="FootnoteReference"/>
          <w:sz w:val="18"/>
          <w:szCs w:val="18"/>
        </w:rPr>
        <w:footnoteRef/>
      </w:r>
      <w:r>
        <w:rPr>
          <w:sz w:val="18"/>
          <w:szCs w:val="18"/>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48">
    <w:p w14:paraId="1216CD2B" w14:textId="77777777" w:rsidR="003C4798" w:rsidRDefault="00417595">
      <w:pPr>
        <w:pStyle w:val="FootnoteText"/>
        <w:ind w:left="0" w:firstLine="0"/>
        <w:rPr>
          <w:sz w:val="18"/>
          <w:szCs w:val="18"/>
        </w:rPr>
      </w:pPr>
      <w:r>
        <w:rPr>
          <w:rStyle w:val="FootnoteReference"/>
          <w:sz w:val="18"/>
          <w:szCs w:val="18"/>
        </w:rPr>
        <w:footnoteRef/>
      </w:r>
      <w:r>
        <w:rPr>
          <w:sz w:val="18"/>
          <w:szCs w:val="18"/>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49">
    <w:p w14:paraId="1216CD2C" w14:textId="77777777" w:rsidR="003C4798" w:rsidRDefault="00417595">
      <w:pPr>
        <w:pStyle w:val="NormalWeb"/>
        <w:spacing w:before="0" w:beforeAutospacing="0" w:after="0" w:afterAutospacing="0"/>
        <w:jc w:val="both"/>
        <w:rPr>
          <w:rFonts w:ascii="Calibri" w:hAnsi="Calibri" w:cs="Calibri"/>
          <w:sz w:val="22"/>
          <w:szCs w:val="22"/>
        </w:rPr>
      </w:pPr>
      <w:r>
        <w:rPr>
          <w:rStyle w:val="FootnoteReference"/>
          <w:sz w:val="18"/>
          <w:szCs w:val="18"/>
        </w:rPr>
        <w:footnoteRef/>
      </w:r>
      <w:r>
        <w:rPr>
          <w:sz w:val="18"/>
          <w:szCs w:val="18"/>
        </w:rPr>
        <w:t xml:space="preserve"> </w:t>
      </w:r>
      <w:r>
        <w:rPr>
          <w:rFonts w:eastAsia="Calibri"/>
          <w:sz w:val="18"/>
          <w:szCs w:val="18"/>
        </w:rPr>
        <w:t>Les bénéficiaires finaux associés à des projets spécifiques sont tenus de fournir une justification du champ d’intervention sélectionné pour chaque projet soutenu, ainsi qu’une description du projet, aux fins du calcul de la contribution climatique. Le partenaire chargé de la mise en œuvre est également tenu de fournir à l’État membre un rapport semestriel sur la mise en œuvre de chaque projet/activité.</w:t>
      </w:r>
    </w:p>
    <w:p w14:paraId="1216CD2D" w14:textId="77777777" w:rsidR="003C4798" w:rsidRDefault="003C47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6A5A8" w14:textId="77777777" w:rsidR="000E17AC" w:rsidRPr="000E17AC" w:rsidRDefault="000E17AC" w:rsidP="000E17A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09210" w14:textId="77777777" w:rsidR="000E17AC" w:rsidRPr="000E17AC" w:rsidRDefault="000E17AC" w:rsidP="000E17A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66A40" w14:textId="77777777" w:rsidR="000E17AC" w:rsidRPr="000E17AC" w:rsidRDefault="000E17AC" w:rsidP="000E17A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8DD5B" w14:textId="77777777" w:rsidR="003C4798" w:rsidRDefault="003C47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71392" w14:textId="77777777" w:rsidR="003C4798" w:rsidRDefault="00417595">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92AED" w14:textId="77777777" w:rsidR="003C4798" w:rsidRDefault="003C47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3" w14:textId="77777777" w:rsidR="003C4798" w:rsidRDefault="003C479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5941A" w14:textId="77777777" w:rsidR="003C4798" w:rsidRDefault="00417595">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5" w14:textId="77777777" w:rsidR="003C4798" w:rsidRDefault="003C479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7" w14:textId="77777777" w:rsidR="003C4798" w:rsidRDefault="003C479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2A5D5" w14:textId="77777777" w:rsidR="003C4798" w:rsidRDefault="00417595">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9" w14:textId="77777777" w:rsidR="003C4798" w:rsidRDefault="003C479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B" w14:textId="77777777" w:rsidR="003C4798" w:rsidRDefault="003C479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12BE8" w14:textId="77777777" w:rsidR="003C4798" w:rsidRDefault="00417595">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B" w14:textId="77777777" w:rsidR="003C4798" w:rsidRDefault="003C479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D" w14:textId="77777777" w:rsidR="003C4798" w:rsidRDefault="003C479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5302" w14:textId="77777777" w:rsidR="003C4798" w:rsidRDefault="00417595">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D" w14:textId="77777777" w:rsidR="003C4798" w:rsidRDefault="003C479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F" w14:textId="77777777" w:rsidR="003C4798" w:rsidRDefault="003C479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8BA61" w14:textId="77777777" w:rsidR="003C4798" w:rsidRDefault="00417595">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5F" w14:textId="77777777" w:rsidR="003C4798" w:rsidRDefault="003C479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1" w14:textId="77777777" w:rsidR="003C4798" w:rsidRDefault="003C479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F60B5" w14:textId="77777777" w:rsidR="003C4798" w:rsidRDefault="00417595">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1" w14:textId="77777777" w:rsidR="003C4798" w:rsidRDefault="003C479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3" w14:textId="77777777" w:rsidR="003C4798" w:rsidRDefault="003C479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A318D" w14:textId="77777777" w:rsidR="003C4798" w:rsidRDefault="00417595">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3" w14:textId="77777777" w:rsidR="003C4798" w:rsidRDefault="003C479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5" w14:textId="77777777" w:rsidR="003C4798" w:rsidRDefault="003C479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D69FC" w14:textId="77777777" w:rsidR="003C4798" w:rsidRDefault="00417595">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5" w14:textId="77777777" w:rsidR="003C4798" w:rsidRDefault="003C479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7" w14:textId="77777777" w:rsidR="003C4798" w:rsidRDefault="003C479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473E8" w14:textId="77777777" w:rsidR="003C4798" w:rsidRDefault="00417595">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7" w14:textId="77777777" w:rsidR="003C4798" w:rsidRDefault="003C479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9" w14:textId="77777777" w:rsidR="003C4798" w:rsidRDefault="003C479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CC1FA" w14:textId="77777777" w:rsidR="003C4798" w:rsidRDefault="00417595">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9" w14:textId="77777777" w:rsidR="003C4798" w:rsidRDefault="003C479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B" w14:textId="77777777" w:rsidR="003C4798" w:rsidRDefault="003C479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EB114" w14:textId="77777777" w:rsidR="003C4798" w:rsidRDefault="00417595">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B" w14:textId="77777777" w:rsidR="003C4798" w:rsidRDefault="003C479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D" w14:textId="77777777" w:rsidR="003C4798" w:rsidRDefault="003C479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BEAA2" w14:textId="77777777" w:rsidR="003C4798" w:rsidRDefault="00417595">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D" w14:textId="77777777" w:rsidR="003C4798" w:rsidRDefault="003C479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F" w14:textId="77777777" w:rsidR="003C4798" w:rsidRDefault="003C479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70637" w14:textId="77777777" w:rsidR="003C4798" w:rsidRDefault="00417595">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EF" w14:textId="77777777" w:rsidR="003C4798" w:rsidRDefault="003C479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1" w14:textId="77777777" w:rsidR="003C4798" w:rsidRDefault="003C479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02A59" w14:textId="77777777" w:rsidR="003C4798" w:rsidRDefault="00417595">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1" w14:textId="77777777" w:rsidR="003C4798" w:rsidRDefault="003C479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3" w14:textId="77777777" w:rsidR="003C4798" w:rsidRDefault="003C479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3EF77" w14:textId="77777777" w:rsidR="003C4798" w:rsidRDefault="00417595">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3" w14:textId="77777777" w:rsidR="003C4798" w:rsidRDefault="003C479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5" w14:textId="77777777" w:rsidR="003C4798" w:rsidRDefault="003C479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4A9CD" w14:textId="77777777" w:rsidR="003C4798" w:rsidRDefault="00417595">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5" w14:textId="77777777" w:rsidR="003C4798" w:rsidRDefault="003C479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7" w14:textId="77777777" w:rsidR="003C4798" w:rsidRDefault="003C479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BAF0D" w14:textId="77777777" w:rsidR="003C4798" w:rsidRDefault="00417595">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7" w14:textId="77777777" w:rsidR="003C4798" w:rsidRDefault="003C479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9" w14:textId="77777777" w:rsidR="003C4798" w:rsidRDefault="003C479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484D5" w14:textId="77777777" w:rsidR="003C4798" w:rsidRDefault="00417595">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9" w14:textId="77777777" w:rsidR="003C4798" w:rsidRDefault="003C479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B" w14:textId="77777777" w:rsidR="003C4798" w:rsidRDefault="003C479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0889A" w14:textId="77777777" w:rsidR="003C4798" w:rsidRDefault="00417595">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B" w14:textId="77777777" w:rsidR="003C4798" w:rsidRDefault="003C479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D" w14:textId="77777777" w:rsidR="003C4798" w:rsidRDefault="003C479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24170" w14:textId="77777777" w:rsidR="003C4798" w:rsidRDefault="00417595">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D" w14:textId="77777777" w:rsidR="003C4798" w:rsidRDefault="003C479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F" w14:textId="77777777" w:rsidR="003C4798" w:rsidRDefault="003C479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BF348" w14:textId="77777777" w:rsidR="003C4798" w:rsidRDefault="00417595">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7F" w14:textId="77777777" w:rsidR="003C4798" w:rsidRDefault="003C479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1" w14:textId="77777777" w:rsidR="003C4798" w:rsidRDefault="003C479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1300F" w14:textId="77777777" w:rsidR="003C4798" w:rsidRDefault="00417595">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1" w14:textId="77777777" w:rsidR="003C4798" w:rsidRDefault="003C479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3" w14:textId="77777777" w:rsidR="003C4798" w:rsidRDefault="003C479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BCD6B" w14:textId="77777777" w:rsidR="003C4798" w:rsidRDefault="00417595">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3" w14:textId="77777777" w:rsidR="003C4798" w:rsidRDefault="003C4798">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5" w14:textId="77777777" w:rsidR="003C4798" w:rsidRDefault="003C4798">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F996B" w14:textId="77777777" w:rsidR="003C4798" w:rsidRDefault="00417595">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5" w14:textId="77777777" w:rsidR="003C4798" w:rsidRDefault="003C4798">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7" w14:textId="77777777" w:rsidR="003C4798" w:rsidRDefault="003C4798">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B29A5" w14:textId="77777777" w:rsidR="003C4798" w:rsidRDefault="00417595">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7" w14:textId="77777777" w:rsidR="003C4798" w:rsidRDefault="003C4798">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9" w14:textId="77777777" w:rsidR="003C4798" w:rsidRDefault="003C4798">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5EC03" w14:textId="77777777" w:rsidR="003C4798" w:rsidRDefault="00417595">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9" w14:textId="77777777" w:rsidR="003C4798" w:rsidRDefault="003C4798">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1" w14:textId="77777777" w:rsidR="003C4798" w:rsidRDefault="003C4798">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CF232" w14:textId="77777777" w:rsidR="003C4798" w:rsidRDefault="00417595">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3" w14:textId="77777777" w:rsidR="003C4798" w:rsidRDefault="003C4798">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5" w14:textId="77777777" w:rsidR="003C4798" w:rsidRDefault="003C4798">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45E11" w14:textId="77777777" w:rsidR="003C4798" w:rsidRDefault="00417595">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7" w14:textId="77777777" w:rsidR="003C4798" w:rsidRDefault="003C47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7EEA"/>
    <w:multiLevelType w:val="multilevel"/>
    <w:tmpl w:val="07709D6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690BE0"/>
    <w:multiLevelType w:val="hybridMultilevel"/>
    <w:tmpl w:val="6560938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D47ABD"/>
    <w:multiLevelType w:val="multilevel"/>
    <w:tmpl w:val="C8C6E6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455DAD"/>
    <w:multiLevelType w:val="hybridMultilevel"/>
    <w:tmpl w:val="F4445680"/>
    <w:lvl w:ilvl="0" w:tplc="FB2A14C8">
      <w:start w:val="1"/>
      <w:numFmt w:val="bullet"/>
      <w:lvlText w:val="-"/>
      <w:lvlJc w:val="left"/>
      <w:pPr>
        <w:ind w:left="360" w:hanging="360"/>
      </w:pPr>
      <w:rPr>
        <w:rFonts w:ascii="Times New Roman" w:eastAsia="Times New Roman" w:hAnsi="Times New Roman"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A2E978"/>
    <w:multiLevelType w:val="hybridMultilevel"/>
    <w:tmpl w:val="FFFFFFFF"/>
    <w:lvl w:ilvl="0" w:tplc="0DE8FFDC">
      <w:start w:val="1"/>
      <w:numFmt w:val="bullet"/>
      <w:lvlText w:val=""/>
      <w:lvlJc w:val="left"/>
      <w:pPr>
        <w:ind w:left="360" w:hanging="360"/>
      </w:pPr>
      <w:rPr>
        <w:rFonts w:ascii="Symbol" w:hAnsi="Symbol" w:hint="default"/>
      </w:rPr>
    </w:lvl>
    <w:lvl w:ilvl="1" w:tplc="5F5840C4">
      <w:start w:val="1"/>
      <w:numFmt w:val="bullet"/>
      <w:lvlText w:val="o"/>
      <w:lvlJc w:val="left"/>
      <w:pPr>
        <w:ind w:left="1080" w:hanging="360"/>
      </w:pPr>
      <w:rPr>
        <w:rFonts w:ascii="Courier New" w:hAnsi="Courier New" w:hint="default"/>
      </w:rPr>
    </w:lvl>
    <w:lvl w:ilvl="2" w:tplc="ED00D7D4">
      <w:start w:val="1"/>
      <w:numFmt w:val="bullet"/>
      <w:lvlText w:val=""/>
      <w:lvlJc w:val="left"/>
      <w:pPr>
        <w:ind w:left="1800" w:hanging="360"/>
      </w:pPr>
      <w:rPr>
        <w:rFonts w:ascii="Wingdings" w:hAnsi="Wingdings" w:hint="default"/>
      </w:rPr>
    </w:lvl>
    <w:lvl w:ilvl="3" w:tplc="73945A2C">
      <w:start w:val="1"/>
      <w:numFmt w:val="bullet"/>
      <w:lvlText w:val=""/>
      <w:lvlJc w:val="left"/>
      <w:pPr>
        <w:ind w:left="2520" w:hanging="360"/>
      </w:pPr>
      <w:rPr>
        <w:rFonts w:ascii="Symbol" w:hAnsi="Symbol" w:hint="default"/>
      </w:rPr>
    </w:lvl>
    <w:lvl w:ilvl="4" w:tplc="B7165AFC">
      <w:start w:val="1"/>
      <w:numFmt w:val="bullet"/>
      <w:lvlText w:val="o"/>
      <w:lvlJc w:val="left"/>
      <w:pPr>
        <w:ind w:left="3240" w:hanging="360"/>
      </w:pPr>
      <w:rPr>
        <w:rFonts w:ascii="Courier New" w:hAnsi="Courier New" w:hint="default"/>
      </w:rPr>
    </w:lvl>
    <w:lvl w:ilvl="5" w:tplc="EE48F12A">
      <w:start w:val="1"/>
      <w:numFmt w:val="bullet"/>
      <w:lvlText w:val=""/>
      <w:lvlJc w:val="left"/>
      <w:pPr>
        <w:ind w:left="3960" w:hanging="360"/>
      </w:pPr>
      <w:rPr>
        <w:rFonts w:ascii="Wingdings" w:hAnsi="Wingdings" w:hint="default"/>
      </w:rPr>
    </w:lvl>
    <w:lvl w:ilvl="6" w:tplc="57EC700A">
      <w:start w:val="1"/>
      <w:numFmt w:val="bullet"/>
      <w:lvlText w:val=""/>
      <w:lvlJc w:val="left"/>
      <w:pPr>
        <w:ind w:left="4680" w:hanging="360"/>
      </w:pPr>
      <w:rPr>
        <w:rFonts w:ascii="Symbol" w:hAnsi="Symbol" w:hint="default"/>
      </w:rPr>
    </w:lvl>
    <w:lvl w:ilvl="7" w:tplc="ACA6E79A">
      <w:start w:val="1"/>
      <w:numFmt w:val="bullet"/>
      <w:lvlText w:val="o"/>
      <w:lvlJc w:val="left"/>
      <w:pPr>
        <w:ind w:left="5400" w:hanging="360"/>
      </w:pPr>
      <w:rPr>
        <w:rFonts w:ascii="Courier New" w:hAnsi="Courier New" w:hint="default"/>
      </w:rPr>
    </w:lvl>
    <w:lvl w:ilvl="8" w:tplc="B85C5866">
      <w:start w:val="1"/>
      <w:numFmt w:val="bullet"/>
      <w:lvlText w:val=""/>
      <w:lvlJc w:val="left"/>
      <w:pPr>
        <w:ind w:left="6120" w:hanging="360"/>
      </w:pPr>
      <w:rPr>
        <w:rFonts w:ascii="Wingdings" w:hAnsi="Wingdings" w:hint="default"/>
      </w:rPr>
    </w:lvl>
  </w:abstractNum>
  <w:abstractNum w:abstractNumId="5" w15:restartNumberingAfterBreak="0">
    <w:nsid w:val="09D73FFF"/>
    <w:multiLevelType w:val="hybridMultilevel"/>
    <w:tmpl w:val="92D0D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935FB7"/>
    <w:multiLevelType w:val="hybridMultilevel"/>
    <w:tmpl w:val="790082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094407"/>
    <w:multiLevelType w:val="hybridMultilevel"/>
    <w:tmpl w:val="034CDBE4"/>
    <w:lvl w:ilvl="0" w:tplc="F5AC9194">
      <w:start w:val="1"/>
      <w:numFmt w:val="lowerLetter"/>
      <w:lvlText w:val="%1)"/>
      <w:lvlJc w:val="left"/>
      <w:pPr>
        <w:ind w:left="720" w:hanging="360"/>
      </w:pPr>
    </w:lvl>
    <w:lvl w:ilvl="1" w:tplc="7BA61674">
      <w:start w:val="1"/>
      <w:numFmt w:val="lowerRoman"/>
      <w:lvlText w:val="(%2)"/>
      <w:lvlJc w:val="right"/>
      <w:pPr>
        <w:ind w:left="1440" w:hanging="360"/>
      </w:pPr>
    </w:lvl>
    <w:lvl w:ilvl="2" w:tplc="B3D22FE8">
      <w:start w:val="1"/>
      <w:numFmt w:val="bullet"/>
      <w:lvlText w:val=""/>
      <w:lvlJc w:val="left"/>
      <w:pPr>
        <w:ind w:left="2160" w:hanging="360"/>
      </w:pPr>
      <w:rPr>
        <w:rFonts w:ascii="Wingdings" w:hAnsi="Wingdings" w:hint="default"/>
      </w:rPr>
    </w:lvl>
    <w:lvl w:ilvl="3" w:tplc="32DC84FE">
      <w:start w:val="1"/>
      <w:numFmt w:val="bullet"/>
      <w:lvlText w:val=""/>
      <w:lvlJc w:val="left"/>
      <w:pPr>
        <w:ind w:left="2880" w:hanging="360"/>
      </w:pPr>
      <w:rPr>
        <w:rFonts w:ascii="Symbol" w:hAnsi="Symbol" w:hint="default"/>
      </w:rPr>
    </w:lvl>
    <w:lvl w:ilvl="4" w:tplc="8738D99E">
      <w:start w:val="1"/>
      <w:numFmt w:val="bullet"/>
      <w:lvlText w:val="o"/>
      <w:lvlJc w:val="left"/>
      <w:pPr>
        <w:ind w:left="3600" w:hanging="360"/>
      </w:pPr>
      <w:rPr>
        <w:rFonts w:ascii="Courier New" w:hAnsi="Courier New" w:hint="default"/>
      </w:rPr>
    </w:lvl>
    <w:lvl w:ilvl="5" w:tplc="1C2C2432">
      <w:start w:val="1"/>
      <w:numFmt w:val="bullet"/>
      <w:lvlText w:val=""/>
      <w:lvlJc w:val="left"/>
      <w:pPr>
        <w:ind w:left="4320" w:hanging="360"/>
      </w:pPr>
      <w:rPr>
        <w:rFonts w:ascii="Wingdings" w:hAnsi="Wingdings" w:hint="default"/>
      </w:rPr>
    </w:lvl>
    <w:lvl w:ilvl="6" w:tplc="0EA8BF4A">
      <w:start w:val="1"/>
      <w:numFmt w:val="bullet"/>
      <w:lvlText w:val=""/>
      <w:lvlJc w:val="left"/>
      <w:pPr>
        <w:ind w:left="5040" w:hanging="360"/>
      </w:pPr>
      <w:rPr>
        <w:rFonts w:ascii="Symbol" w:hAnsi="Symbol" w:hint="default"/>
      </w:rPr>
    </w:lvl>
    <w:lvl w:ilvl="7" w:tplc="1E9804D2">
      <w:start w:val="1"/>
      <w:numFmt w:val="bullet"/>
      <w:lvlText w:val="o"/>
      <w:lvlJc w:val="left"/>
      <w:pPr>
        <w:ind w:left="5760" w:hanging="360"/>
      </w:pPr>
      <w:rPr>
        <w:rFonts w:ascii="Courier New" w:hAnsi="Courier New" w:hint="default"/>
      </w:rPr>
    </w:lvl>
    <w:lvl w:ilvl="8" w:tplc="4FD89600">
      <w:start w:val="1"/>
      <w:numFmt w:val="bullet"/>
      <w:lvlText w:val=""/>
      <w:lvlJc w:val="left"/>
      <w:pPr>
        <w:ind w:left="6480" w:hanging="360"/>
      </w:pPr>
      <w:rPr>
        <w:rFonts w:ascii="Wingdings" w:hAnsi="Wingdings" w:hint="default"/>
      </w:rPr>
    </w:lvl>
  </w:abstractNum>
  <w:abstractNum w:abstractNumId="8" w15:restartNumberingAfterBreak="0">
    <w:nsid w:val="1AE618A1"/>
    <w:multiLevelType w:val="hybridMultilevel"/>
    <w:tmpl w:val="ACEA336C"/>
    <w:lvl w:ilvl="0" w:tplc="FFFFFFFF">
      <w:start w:val="1"/>
      <w:numFmt w:val="bullet"/>
      <w:lvlText w:val=""/>
      <w:lvlJc w:val="left"/>
      <w:pPr>
        <w:ind w:left="720" w:hanging="360"/>
      </w:pPr>
      <w:rPr>
        <w:rFonts w:ascii="Symbol" w:hAnsi="Symbol" w:hint="default"/>
      </w:rPr>
    </w:lvl>
    <w:lvl w:ilvl="1" w:tplc="8DAA47EA">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DDC482C"/>
    <w:multiLevelType w:val="multilevel"/>
    <w:tmpl w:val="0A7466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7F1BFB"/>
    <w:multiLevelType w:val="hybridMultilevel"/>
    <w:tmpl w:val="3BA8FED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1305D05"/>
    <w:multiLevelType w:val="hybridMultilevel"/>
    <w:tmpl w:val="50705556"/>
    <w:lvl w:ilvl="0" w:tplc="18090001">
      <w:start w:val="1"/>
      <w:numFmt w:val="bullet"/>
      <w:lvlText w:val=""/>
      <w:lvlJc w:val="left"/>
      <w:pPr>
        <w:ind w:left="720" w:hanging="360"/>
      </w:pPr>
      <w:rPr>
        <w:rFonts w:ascii="Symbol" w:hAnsi="Symbol" w:hint="default"/>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840FDD"/>
    <w:multiLevelType w:val="hybridMultilevel"/>
    <w:tmpl w:val="14D801B0"/>
    <w:lvl w:ilvl="0" w:tplc="8DAA47EA">
      <w:start w:val="1"/>
      <w:numFmt w:val="lowerLetter"/>
      <w:lvlText w:val="%1."/>
      <w:lvlJc w:val="left"/>
      <w:pPr>
        <w:ind w:left="720" w:hanging="360"/>
      </w:pPr>
    </w:lvl>
    <w:lvl w:ilvl="1" w:tplc="FFFFFFFF">
      <w:start w:val="1"/>
      <w:numFmt w:val="low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4D21CC"/>
    <w:multiLevelType w:val="hybridMultilevel"/>
    <w:tmpl w:val="69E29B8A"/>
    <w:lvl w:ilvl="0" w:tplc="1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5600B51"/>
    <w:multiLevelType w:val="multilevel"/>
    <w:tmpl w:val="07709D6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722EC3"/>
    <w:multiLevelType w:val="hybridMultilevel"/>
    <w:tmpl w:val="F73EAE80"/>
    <w:lvl w:ilvl="0" w:tplc="18090011">
      <w:start w:val="1"/>
      <w:numFmt w:val="decimal"/>
      <w:lvlText w:val="%1)"/>
      <w:lvlJc w:val="left"/>
      <w:pPr>
        <w:tabs>
          <w:tab w:val="num" w:pos="-720"/>
        </w:tabs>
      </w:pPr>
    </w:lvl>
    <w:lvl w:ilvl="1" w:tplc="18090019">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6" w15:restartNumberingAfterBreak="0">
    <w:nsid w:val="267C2B09"/>
    <w:multiLevelType w:val="hybridMultilevel"/>
    <w:tmpl w:val="ACAE3E30"/>
    <w:lvl w:ilvl="0" w:tplc="18090001">
      <w:start w:val="1"/>
      <w:numFmt w:val="bullet"/>
      <w:lvlText w:val=""/>
      <w:lvlJc w:val="left"/>
      <w:pPr>
        <w:ind w:left="791" w:hanging="360"/>
      </w:pPr>
      <w:rPr>
        <w:rFonts w:ascii="Symbol" w:hAnsi="Symbol" w:hint="default"/>
      </w:rPr>
    </w:lvl>
    <w:lvl w:ilvl="1" w:tplc="FFFFFFFF">
      <w:start w:val="1"/>
      <w:numFmt w:val="lowerLetter"/>
      <w:lvlText w:val="%2."/>
      <w:lvlJc w:val="left"/>
      <w:pPr>
        <w:ind w:left="1511" w:hanging="360"/>
      </w:pPr>
    </w:lvl>
    <w:lvl w:ilvl="2" w:tplc="FFFFFFFF">
      <w:start w:val="1"/>
      <w:numFmt w:val="lowerRoman"/>
      <w:lvlText w:val="%3."/>
      <w:lvlJc w:val="right"/>
      <w:pPr>
        <w:ind w:left="2231" w:hanging="180"/>
      </w:pPr>
    </w:lvl>
    <w:lvl w:ilvl="3" w:tplc="FFFFFFFF">
      <w:start w:val="1"/>
      <w:numFmt w:val="decimal"/>
      <w:lvlText w:val="%4."/>
      <w:lvlJc w:val="left"/>
      <w:pPr>
        <w:ind w:left="2951" w:hanging="360"/>
      </w:pPr>
    </w:lvl>
    <w:lvl w:ilvl="4" w:tplc="FFFFFFFF" w:tentative="1">
      <w:start w:val="1"/>
      <w:numFmt w:val="lowerLetter"/>
      <w:lvlText w:val="%5."/>
      <w:lvlJc w:val="left"/>
      <w:pPr>
        <w:ind w:left="3671" w:hanging="360"/>
      </w:pPr>
    </w:lvl>
    <w:lvl w:ilvl="5" w:tplc="FFFFFFFF" w:tentative="1">
      <w:start w:val="1"/>
      <w:numFmt w:val="lowerRoman"/>
      <w:lvlText w:val="%6."/>
      <w:lvlJc w:val="right"/>
      <w:pPr>
        <w:ind w:left="4391" w:hanging="180"/>
      </w:pPr>
    </w:lvl>
    <w:lvl w:ilvl="6" w:tplc="FFFFFFFF" w:tentative="1">
      <w:start w:val="1"/>
      <w:numFmt w:val="decimal"/>
      <w:lvlText w:val="%7."/>
      <w:lvlJc w:val="left"/>
      <w:pPr>
        <w:ind w:left="5111" w:hanging="360"/>
      </w:pPr>
    </w:lvl>
    <w:lvl w:ilvl="7" w:tplc="FFFFFFFF" w:tentative="1">
      <w:start w:val="1"/>
      <w:numFmt w:val="lowerLetter"/>
      <w:lvlText w:val="%8."/>
      <w:lvlJc w:val="left"/>
      <w:pPr>
        <w:ind w:left="5831" w:hanging="360"/>
      </w:pPr>
    </w:lvl>
    <w:lvl w:ilvl="8" w:tplc="FFFFFFFF" w:tentative="1">
      <w:start w:val="1"/>
      <w:numFmt w:val="lowerRoman"/>
      <w:lvlText w:val="%9."/>
      <w:lvlJc w:val="right"/>
      <w:pPr>
        <w:ind w:left="6551" w:hanging="180"/>
      </w:pPr>
    </w:lvl>
  </w:abstractNum>
  <w:abstractNum w:abstractNumId="17" w15:restartNumberingAfterBreak="0">
    <w:nsid w:val="29420503"/>
    <w:multiLevelType w:val="hybridMultilevel"/>
    <w:tmpl w:val="20A0ECB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D512611"/>
    <w:multiLevelType w:val="multilevel"/>
    <w:tmpl w:val="05EC8D4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0" w15:restartNumberingAfterBreak="0">
    <w:nsid w:val="3780717B"/>
    <w:multiLevelType w:val="multilevel"/>
    <w:tmpl w:val="745EC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152BF6"/>
    <w:multiLevelType w:val="hybridMultilevel"/>
    <w:tmpl w:val="D4DA6962"/>
    <w:lvl w:ilvl="0" w:tplc="860AAF8C">
      <w:start w:val="1"/>
      <w:numFmt w:val="decimal"/>
      <w:lvlText w:val="%1."/>
      <w:lvlJc w:val="left"/>
      <w:pPr>
        <w:ind w:left="720" w:hanging="360"/>
      </w:pPr>
      <w:rPr>
        <w:rFonts w:ascii="Times New Roman" w:hAnsi="Times New Roman" w:hint="default"/>
      </w:rPr>
    </w:lvl>
    <w:lvl w:ilvl="1" w:tplc="3E36F4A4">
      <w:start w:val="1"/>
      <w:numFmt w:val="lowerLetter"/>
      <w:lvlText w:val="%2."/>
      <w:lvlJc w:val="left"/>
      <w:pPr>
        <w:ind w:left="1440" w:hanging="360"/>
      </w:pPr>
    </w:lvl>
    <w:lvl w:ilvl="2" w:tplc="CD608458">
      <w:start w:val="1"/>
      <w:numFmt w:val="lowerRoman"/>
      <w:lvlText w:val="%3."/>
      <w:lvlJc w:val="right"/>
      <w:pPr>
        <w:ind w:left="2160" w:hanging="180"/>
      </w:pPr>
    </w:lvl>
    <w:lvl w:ilvl="3" w:tplc="99421654" w:tentative="1">
      <w:start w:val="1"/>
      <w:numFmt w:val="decimal"/>
      <w:lvlText w:val="%4."/>
      <w:lvlJc w:val="left"/>
      <w:pPr>
        <w:ind w:left="2880" w:hanging="360"/>
      </w:pPr>
    </w:lvl>
    <w:lvl w:ilvl="4" w:tplc="1C52E704" w:tentative="1">
      <w:start w:val="1"/>
      <w:numFmt w:val="lowerLetter"/>
      <w:lvlText w:val="%5."/>
      <w:lvlJc w:val="left"/>
      <w:pPr>
        <w:ind w:left="3600" w:hanging="360"/>
      </w:pPr>
    </w:lvl>
    <w:lvl w:ilvl="5" w:tplc="168432A4" w:tentative="1">
      <w:start w:val="1"/>
      <w:numFmt w:val="lowerRoman"/>
      <w:lvlText w:val="%6."/>
      <w:lvlJc w:val="right"/>
      <w:pPr>
        <w:ind w:left="4320" w:hanging="180"/>
      </w:pPr>
    </w:lvl>
    <w:lvl w:ilvl="6" w:tplc="328EDB04" w:tentative="1">
      <w:start w:val="1"/>
      <w:numFmt w:val="decimal"/>
      <w:lvlText w:val="%7."/>
      <w:lvlJc w:val="left"/>
      <w:pPr>
        <w:ind w:left="5040" w:hanging="360"/>
      </w:pPr>
    </w:lvl>
    <w:lvl w:ilvl="7" w:tplc="C032DDE8" w:tentative="1">
      <w:start w:val="1"/>
      <w:numFmt w:val="lowerLetter"/>
      <w:lvlText w:val="%8."/>
      <w:lvlJc w:val="left"/>
      <w:pPr>
        <w:ind w:left="5760" w:hanging="360"/>
      </w:pPr>
    </w:lvl>
    <w:lvl w:ilvl="8" w:tplc="997241CC" w:tentative="1">
      <w:start w:val="1"/>
      <w:numFmt w:val="lowerRoman"/>
      <w:lvlText w:val="%9."/>
      <w:lvlJc w:val="right"/>
      <w:pPr>
        <w:ind w:left="6480" w:hanging="180"/>
      </w:pPr>
    </w:lvl>
  </w:abstractNum>
  <w:abstractNum w:abstractNumId="22" w15:restartNumberingAfterBreak="0">
    <w:nsid w:val="382B7F75"/>
    <w:multiLevelType w:val="multilevel"/>
    <w:tmpl w:val="C50609BC"/>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3" w15:restartNumberingAfterBreak="0">
    <w:nsid w:val="3A5803D6"/>
    <w:multiLevelType w:val="multilevel"/>
    <w:tmpl w:val="7B6E913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3A7F4B78"/>
    <w:multiLevelType w:val="hybridMultilevel"/>
    <w:tmpl w:val="B546E0E8"/>
    <w:lvl w:ilvl="0" w:tplc="BB821B3C">
      <w:start w:val="1"/>
      <w:numFmt w:val="bullet"/>
      <w:lvlText w:val=""/>
      <w:lvlJc w:val="left"/>
      <w:pPr>
        <w:ind w:left="720" w:hanging="360"/>
      </w:pPr>
      <w:rPr>
        <w:rFonts w:ascii="Symbol" w:hAnsi="Symbol" w:hint="default"/>
      </w:rPr>
    </w:lvl>
    <w:lvl w:ilvl="1" w:tplc="1FAEE13C" w:tentative="1">
      <w:start w:val="1"/>
      <w:numFmt w:val="bullet"/>
      <w:lvlText w:val="o"/>
      <w:lvlJc w:val="left"/>
      <w:pPr>
        <w:ind w:left="1440" w:hanging="360"/>
      </w:pPr>
      <w:rPr>
        <w:rFonts w:ascii="Courier New" w:hAnsi="Courier New" w:hint="default"/>
      </w:rPr>
    </w:lvl>
    <w:lvl w:ilvl="2" w:tplc="519C598E" w:tentative="1">
      <w:start w:val="1"/>
      <w:numFmt w:val="bullet"/>
      <w:lvlText w:val=""/>
      <w:lvlJc w:val="left"/>
      <w:pPr>
        <w:ind w:left="2160" w:hanging="360"/>
      </w:pPr>
      <w:rPr>
        <w:rFonts w:ascii="Wingdings" w:hAnsi="Wingdings" w:hint="default"/>
      </w:rPr>
    </w:lvl>
    <w:lvl w:ilvl="3" w:tplc="F62216D8" w:tentative="1">
      <w:start w:val="1"/>
      <w:numFmt w:val="bullet"/>
      <w:lvlText w:val=""/>
      <w:lvlJc w:val="left"/>
      <w:pPr>
        <w:ind w:left="2880" w:hanging="360"/>
      </w:pPr>
      <w:rPr>
        <w:rFonts w:ascii="Symbol" w:hAnsi="Symbol" w:hint="default"/>
      </w:rPr>
    </w:lvl>
    <w:lvl w:ilvl="4" w:tplc="DF9268E8" w:tentative="1">
      <w:start w:val="1"/>
      <w:numFmt w:val="bullet"/>
      <w:lvlText w:val="o"/>
      <w:lvlJc w:val="left"/>
      <w:pPr>
        <w:ind w:left="3600" w:hanging="360"/>
      </w:pPr>
      <w:rPr>
        <w:rFonts w:ascii="Courier New" w:hAnsi="Courier New" w:hint="default"/>
      </w:rPr>
    </w:lvl>
    <w:lvl w:ilvl="5" w:tplc="F6A01A72" w:tentative="1">
      <w:start w:val="1"/>
      <w:numFmt w:val="bullet"/>
      <w:lvlText w:val=""/>
      <w:lvlJc w:val="left"/>
      <w:pPr>
        <w:ind w:left="4320" w:hanging="360"/>
      </w:pPr>
      <w:rPr>
        <w:rFonts w:ascii="Wingdings" w:hAnsi="Wingdings" w:hint="default"/>
      </w:rPr>
    </w:lvl>
    <w:lvl w:ilvl="6" w:tplc="F558F294" w:tentative="1">
      <w:start w:val="1"/>
      <w:numFmt w:val="bullet"/>
      <w:lvlText w:val=""/>
      <w:lvlJc w:val="left"/>
      <w:pPr>
        <w:ind w:left="5040" w:hanging="360"/>
      </w:pPr>
      <w:rPr>
        <w:rFonts w:ascii="Symbol" w:hAnsi="Symbol" w:hint="default"/>
      </w:rPr>
    </w:lvl>
    <w:lvl w:ilvl="7" w:tplc="9B80F826" w:tentative="1">
      <w:start w:val="1"/>
      <w:numFmt w:val="bullet"/>
      <w:lvlText w:val="o"/>
      <w:lvlJc w:val="left"/>
      <w:pPr>
        <w:ind w:left="5760" w:hanging="360"/>
      </w:pPr>
      <w:rPr>
        <w:rFonts w:ascii="Courier New" w:hAnsi="Courier New" w:hint="default"/>
      </w:rPr>
    </w:lvl>
    <w:lvl w:ilvl="8" w:tplc="8E42FEE8" w:tentative="1">
      <w:start w:val="1"/>
      <w:numFmt w:val="bullet"/>
      <w:lvlText w:val=""/>
      <w:lvlJc w:val="left"/>
      <w:pPr>
        <w:ind w:left="6480" w:hanging="360"/>
      </w:pPr>
      <w:rPr>
        <w:rFonts w:ascii="Wingdings" w:hAnsi="Wingdings" w:hint="default"/>
      </w:rPr>
    </w:lvl>
  </w:abstractNum>
  <w:abstractNum w:abstractNumId="25" w15:restartNumberingAfterBreak="0">
    <w:nsid w:val="3AB0328D"/>
    <w:multiLevelType w:val="multilevel"/>
    <w:tmpl w:val="EAE85194"/>
    <w:lvl w:ilvl="0">
      <w:start w:val="5"/>
      <w:numFmt w:val="lowerLetter"/>
      <w:lvlText w:val="%1."/>
      <w:lvlJc w:val="right"/>
      <w:pPr>
        <w:tabs>
          <w:tab w:val="num" w:pos="720"/>
        </w:tabs>
        <w:ind w:left="720" w:hanging="360"/>
      </w:pPr>
      <w:rPr>
        <w:rFonts w:hint="default"/>
      </w:rPr>
    </w:lvl>
    <w:lvl w:ilvl="1">
      <w:start w:val="1"/>
      <w:numFmt w:val="decimal"/>
      <w:lvlText w:val="%2."/>
      <w:lvlJc w:val="right"/>
      <w:pPr>
        <w:ind w:left="567" w:firstLine="284"/>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6" w15:restartNumberingAfterBreak="0">
    <w:nsid w:val="3C4F37D1"/>
    <w:multiLevelType w:val="hybridMultilevel"/>
    <w:tmpl w:val="8AF44120"/>
    <w:lvl w:ilvl="0" w:tplc="E2DA4992">
      <w:start w:val="1"/>
      <w:numFmt w:val="bullet"/>
      <w:lvlText w:val=""/>
      <w:lvlJc w:val="left"/>
      <w:pPr>
        <w:ind w:left="720" w:hanging="360"/>
      </w:pPr>
      <w:rPr>
        <w:rFonts w:ascii="Symbol" w:hAnsi="Symbol" w:hint="default"/>
      </w:rPr>
    </w:lvl>
    <w:lvl w:ilvl="1" w:tplc="BC94FD6C">
      <w:start w:val="1"/>
      <w:numFmt w:val="bullet"/>
      <w:lvlText w:val="o"/>
      <w:lvlJc w:val="left"/>
      <w:pPr>
        <w:ind w:left="1440" w:hanging="360"/>
      </w:pPr>
      <w:rPr>
        <w:rFonts w:ascii="Courier New" w:hAnsi="Courier New" w:hint="default"/>
      </w:rPr>
    </w:lvl>
    <w:lvl w:ilvl="2" w:tplc="C422FFAC">
      <w:start w:val="1"/>
      <w:numFmt w:val="bullet"/>
      <w:lvlText w:val=""/>
      <w:lvlJc w:val="left"/>
      <w:pPr>
        <w:ind w:left="2160" w:hanging="360"/>
      </w:pPr>
      <w:rPr>
        <w:rFonts w:ascii="Wingdings" w:hAnsi="Wingdings" w:hint="default"/>
      </w:rPr>
    </w:lvl>
    <w:lvl w:ilvl="3" w:tplc="3828E6FA">
      <w:start w:val="1"/>
      <w:numFmt w:val="bullet"/>
      <w:lvlText w:val=""/>
      <w:lvlJc w:val="left"/>
      <w:pPr>
        <w:ind w:left="2880" w:hanging="360"/>
      </w:pPr>
      <w:rPr>
        <w:rFonts w:ascii="Symbol" w:hAnsi="Symbol" w:hint="default"/>
      </w:rPr>
    </w:lvl>
    <w:lvl w:ilvl="4" w:tplc="AD72A14E">
      <w:start w:val="1"/>
      <w:numFmt w:val="bullet"/>
      <w:lvlText w:val="o"/>
      <w:lvlJc w:val="left"/>
      <w:pPr>
        <w:ind w:left="3600" w:hanging="360"/>
      </w:pPr>
      <w:rPr>
        <w:rFonts w:ascii="Courier New" w:hAnsi="Courier New" w:hint="default"/>
      </w:rPr>
    </w:lvl>
    <w:lvl w:ilvl="5" w:tplc="B5340AE4">
      <w:start w:val="1"/>
      <w:numFmt w:val="bullet"/>
      <w:lvlText w:val=""/>
      <w:lvlJc w:val="left"/>
      <w:pPr>
        <w:ind w:left="4320" w:hanging="360"/>
      </w:pPr>
      <w:rPr>
        <w:rFonts w:ascii="Wingdings" w:hAnsi="Wingdings" w:hint="default"/>
      </w:rPr>
    </w:lvl>
    <w:lvl w:ilvl="6" w:tplc="42AC5014">
      <w:start w:val="1"/>
      <w:numFmt w:val="bullet"/>
      <w:lvlText w:val=""/>
      <w:lvlJc w:val="left"/>
      <w:pPr>
        <w:ind w:left="5040" w:hanging="360"/>
      </w:pPr>
      <w:rPr>
        <w:rFonts w:ascii="Symbol" w:hAnsi="Symbol" w:hint="default"/>
      </w:rPr>
    </w:lvl>
    <w:lvl w:ilvl="7" w:tplc="9820AADC">
      <w:start w:val="1"/>
      <w:numFmt w:val="bullet"/>
      <w:lvlText w:val="o"/>
      <w:lvlJc w:val="left"/>
      <w:pPr>
        <w:ind w:left="5760" w:hanging="360"/>
      </w:pPr>
      <w:rPr>
        <w:rFonts w:ascii="Courier New" w:hAnsi="Courier New" w:hint="default"/>
      </w:rPr>
    </w:lvl>
    <w:lvl w:ilvl="8" w:tplc="4DF41506">
      <w:start w:val="1"/>
      <w:numFmt w:val="bullet"/>
      <w:lvlText w:val=""/>
      <w:lvlJc w:val="left"/>
      <w:pPr>
        <w:ind w:left="6480" w:hanging="360"/>
      </w:pPr>
      <w:rPr>
        <w:rFonts w:ascii="Wingdings" w:hAnsi="Wingdings" w:hint="default"/>
      </w:rPr>
    </w:lvl>
  </w:abstractNum>
  <w:abstractNum w:abstractNumId="27" w15:restartNumberingAfterBreak="0">
    <w:nsid w:val="4389DB2B"/>
    <w:multiLevelType w:val="multilevel"/>
    <w:tmpl w:val="714CD33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5E11345"/>
    <w:multiLevelType w:val="hybridMultilevel"/>
    <w:tmpl w:val="C1707F5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50FB761F"/>
    <w:multiLevelType w:val="hybridMultilevel"/>
    <w:tmpl w:val="ABFE9C44"/>
    <w:lvl w:ilvl="0" w:tplc="77B01DC8">
      <w:start w:val="1"/>
      <w:numFmt w:val="decimal"/>
      <w:lvlText w:val="%1)"/>
      <w:lvlJc w:val="left"/>
      <w:pPr>
        <w:ind w:left="1020" w:hanging="360"/>
      </w:pPr>
    </w:lvl>
    <w:lvl w:ilvl="1" w:tplc="C9B481C0">
      <w:start w:val="1"/>
      <w:numFmt w:val="decimal"/>
      <w:lvlText w:val="%2)"/>
      <w:lvlJc w:val="left"/>
      <w:pPr>
        <w:ind w:left="1020" w:hanging="360"/>
      </w:pPr>
    </w:lvl>
    <w:lvl w:ilvl="2" w:tplc="3034867A">
      <w:start w:val="1"/>
      <w:numFmt w:val="decimal"/>
      <w:lvlText w:val="%3)"/>
      <w:lvlJc w:val="left"/>
      <w:pPr>
        <w:ind w:left="1020" w:hanging="360"/>
      </w:pPr>
    </w:lvl>
    <w:lvl w:ilvl="3" w:tplc="97E25F14">
      <w:start w:val="1"/>
      <w:numFmt w:val="decimal"/>
      <w:lvlText w:val="%4)"/>
      <w:lvlJc w:val="left"/>
      <w:pPr>
        <w:ind w:left="1020" w:hanging="360"/>
      </w:pPr>
    </w:lvl>
    <w:lvl w:ilvl="4" w:tplc="D77AF268">
      <w:start w:val="1"/>
      <w:numFmt w:val="decimal"/>
      <w:lvlText w:val="%5)"/>
      <w:lvlJc w:val="left"/>
      <w:pPr>
        <w:ind w:left="1020" w:hanging="360"/>
      </w:pPr>
    </w:lvl>
    <w:lvl w:ilvl="5" w:tplc="41B649A0">
      <w:start w:val="1"/>
      <w:numFmt w:val="decimal"/>
      <w:lvlText w:val="%6)"/>
      <w:lvlJc w:val="left"/>
      <w:pPr>
        <w:ind w:left="1020" w:hanging="360"/>
      </w:pPr>
    </w:lvl>
    <w:lvl w:ilvl="6" w:tplc="D4AE9174">
      <w:start w:val="1"/>
      <w:numFmt w:val="decimal"/>
      <w:lvlText w:val="%7)"/>
      <w:lvlJc w:val="left"/>
      <w:pPr>
        <w:ind w:left="1020" w:hanging="360"/>
      </w:pPr>
    </w:lvl>
    <w:lvl w:ilvl="7" w:tplc="9974A702">
      <w:start w:val="1"/>
      <w:numFmt w:val="decimal"/>
      <w:lvlText w:val="%8)"/>
      <w:lvlJc w:val="left"/>
      <w:pPr>
        <w:ind w:left="1020" w:hanging="360"/>
      </w:pPr>
    </w:lvl>
    <w:lvl w:ilvl="8" w:tplc="7A2A35C0">
      <w:start w:val="1"/>
      <w:numFmt w:val="decimal"/>
      <w:lvlText w:val="%9)"/>
      <w:lvlJc w:val="left"/>
      <w:pPr>
        <w:ind w:left="1020" w:hanging="360"/>
      </w:pPr>
    </w:lvl>
  </w:abstractNum>
  <w:abstractNum w:abstractNumId="30" w15:restartNumberingAfterBreak="0">
    <w:nsid w:val="51CF33DB"/>
    <w:multiLevelType w:val="multilevel"/>
    <w:tmpl w:val="AEDA8EDC"/>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53DE2701"/>
    <w:multiLevelType w:val="multilevel"/>
    <w:tmpl w:val="E042E42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55D1683C"/>
    <w:multiLevelType w:val="hybridMultilevel"/>
    <w:tmpl w:val="05F83328"/>
    <w:lvl w:ilvl="0" w:tplc="18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3" w15:restartNumberingAfterBreak="0">
    <w:nsid w:val="57A04EC1"/>
    <w:multiLevelType w:val="multilevel"/>
    <w:tmpl w:val="00F87FB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58236F01"/>
    <w:multiLevelType w:val="multilevel"/>
    <w:tmpl w:val="7E84EC8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D6B16AC"/>
    <w:multiLevelType w:val="hybridMultilevel"/>
    <w:tmpl w:val="15363A72"/>
    <w:lvl w:ilvl="0" w:tplc="80CCA7D6">
      <w:start w:val="1"/>
      <w:numFmt w:val="decimal"/>
      <w:lvlText w:val="%1)"/>
      <w:lvlJc w:val="left"/>
      <w:pPr>
        <w:ind w:left="1020" w:hanging="360"/>
      </w:pPr>
    </w:lvl>
    <w:lvl w:ilvl="1" w:tplc="3EEEB0DC">
      <w:start w:val="1"/>
      <w:numFmt w:val="decimal"/>
      <w:lvlText w:val="%2)"/>
      <w:lvlJc w:val="left"/>
      <w:pPr>
        <w:ind w:left="1020" w:hanging="360"/>
      </w:pPr>
    </w:lvl>
    <w:lvl w:ilvl="2" w:tplc="8570A1F2">
      <w:start w:val="1"/>
      <w:numFmt w:val="decimal"/>
      <w:lvlText w:val="%3)"/>
      <w:lvlJc w:val="left"/>
      <w:pPr>
        <w:ind w:left="1020" w:hanging="360"/>
      </w:pPr>
    </w:lvl>
    <w:lvl w:ilvl="3" w:tplc="61A08BBE">
      <w:start w:val="1"/>
      <w:numFmt w:val="decimal"/>
      <w:lvlText w:val="%4)"/>
      <w:lvlJc w:val="left"/>
      <w:pPr>
        <w:ind w:left="1020" w:hanging="360"/>
      </w:pPr>
    </w:lvl>
    <w:lvl w:ilvl="4" w:tplc="972AAA02">
      <w:start w:val="1"/>
      <w:numFmt w:val="decimal"/>
      <w:lvlText w:val="%5)"/>
      <w:lvlJc w:val="left"/>
      <w:pPr>
        <w:ind w:left="1020" w:hanging="360"/>
      </w:pPr>
    </w:lvl>
    <w:lvl w:ilvl="5" w:tplc="9050F606">
      <w:start w:val="1"/>
      <w:numFmt w:val="decimal"/>
      <w:lvlText w:val="%6)"/>
      <w:lvlJc w:val="left"/>
      <w:pPr>
        <w:ind w:left="1020" w:hanging="360"/>
      </w:pPr>
    </w:lvl>
    <w:lvl w:ilvl="6" w:tplc="E0DC1222">
      <w:start w:val="1"/>
      <w:numFmt w:val="decimal"/>
      <w:lvlText w:val="%7)"/>
      <w:lvlJc w:val="left"/>
      <w:pPr>
        <w:ind w:left="1020" w:hanging="360"/>
      </w:pPr>
    </w:lvl>
    <w:lvl w:ilvl="7" w:tplc="212E5C92">
      <w:start w:val="1"/>
      <w:numFmt w:val="decimal"/>
      <w:lvlText w:val="%8)"/>
      <w:lvlJc w:val="left"/>
      <w:pPr>
        <w:ind w:left="1020" w:hanging="360"/>
      </w:pPr>
    </w:lvl>
    <w:lvl w:ilvl="8" w:tplc="BEA43C32">
      <w:start w:val="1"/>
      <w:numFmt w:val="decimal"/>
      <w:lvlText w:val="%9)"/>
      <w:lvlJc w:val="left"/>
      <w:pPr>
        <w:ind w:left="1020" w:hanging="360"/>
      </w:pPr>
    </w:lvl>
  </w:abstractNum>
  <w:abstractNum w:abstractNumId="36" w15:restartNumberingAfterBreak="0">
    <w:nsid w:val="66BD1EB4"/>
    <w:multiLevelType w:val="hybridMultilevel"/>
    <w:tmpl w:val="9A9CD3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A551E1B"/>
    <w:multiLevelType w:val="multilevel"/>
    <w:tmpl w:val="A41682B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C77799"/>
    <w:multiLevelType w:val="multilevel"/>
    <w:tmpl w:val="C226B378"/>
    <w:lvl w:ilvl="0">
      <w:start w:val="1"/>
      <w:numFmt w:val="decimal"/>
      <w:lvlText w:val="%1."/>
      <w:lvlJc w:val="left"/>
      <w:pPr>
        <w:tabs>
          <w:tab w:val="num" w:pos="720"/>
        </w:tabs>
        <w:ind w:left="720" w:hanging="360"/>
      </w:pPr>
      <w:rPr>
        <w:rFonts w:hint="default"/>
      </w:rPr>
    </w:lvl>
    <w:lvl w:ilvl="1">
      <w:start w:val="1"/>
      <w:numFmt w:val="lowerLetter"/>
      <w:lvlText w:val="%2."/>
      <w:lvlJc w:val="left"/>
      <w:pPr>
        <w:ind w:left="36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76D30F9A"/>
    <w:multiLevelType w:val="hybridMultilevel"/>
    <w:tmpl w:val="9112EC68"/>
    <w:lvl w:ilvl="0" w:tplc="1809001B">
      <w:start w:val="1"/>
      <w:numFmt w:val="lowerRoman"/>
      <w:lvlText w:val="%1."/>
      <w:lvlJc w:val="right"/>
      <w:pPr>
        <w:ind w:left="720" w:hanging="360"/>
      </w:pPr>
      <w:rPr>
        <w:rFonts w:hint="default"/>
      </w:rPr>
    </w:lvl>
    <w:lvl w:ilvl="1" w:tplc="1EFCF6E2">
      <w:start w:val="1"/>
      <w:numFmt w:val="bullet"/>
      <w:lvlText w:val=""/>
      <w:lvlJc w:val="left"/>
      <w:pPr>
        <w:ind w:left="1440" w:hanging="360"/>
      </w:pPr>
      <w:rPr>
        <w:rFonts w:ascii="Symbol" w:hAnsi="Symbol" w:hint="default"/>
      </w:rPr>
    </w:lvl>
    <w:lvl w:ilvl="2" w:tplc="FA66BF8A">
      <w:start w:val="1"/>
      <w:numFmt w:val="bullet"/>
      <w:lvlText w:val=""/>
      <w:lvlJc w:val="left"/>
      <w:pPr>
        <w:ind w:left="2160" w:hanging="360"/>
      </w:pPr>
      <w:rPr>
        <w:rFonts w:ascii="Wingdings" w:hAnsi="Wingdings" w:hint="default"/>
      </w:rPr>
    </w:lvl>
    <w:lvl w:ilvl="3" w:tplc="B8B0B8B0">
      <w:start w:val="1"/>
      <w:numFmt w:val="bullet"/>
      <w:lvlText w:val=""/>
      <w:lvlJc w:val="left"/>
      <w:pPr>
        <w:ind w:left="2880" w:hanging="360"/>
      </w:pPr>
      <w:rPr>
        <w:rFonts w:ascii="Symbol" w:hAnsi="Symbol" w:hint="default"/>
      </w:rPr>
    </w:lvl>
    <w:lvl w:ilvl="4" w:tplc="BD04F172">
      <w:start w:val="1"/>
      <w:numFmt w:val="bullet"/>
      <w:lvlText w:val="o"/>
      <w:lvlJc w:val="left"/>
      <w:pPr>
        <w:ind w:left="3600" w:hanging="360"/>
      </w:pPr>
      <w:rPr>
        <w:rFonts w:ascii="Courier New" w:hAnsi="Courier New" w:hint="default"/>
      </w:rPr>
    </w:lvl>
    <w:lvl w:ilvl="5" w:tplc="4FEEF374">
      <w:start w:val="1"/>
      <w:numFmt w:val="bullet"/>
      <w:lvlText w:val=""/>
      <w:lvlJc w:val="left"/>
      <w:pPr>
        <w:ind w:left="4320" w:hanging="360"/>
      </w:pPr>
      <w:rPr>
        <w:rFonts w:ascii="Wingdings" w:hAnsi="Wingdings" w:hint="default"/>
      </w:rPr>
    </w:lvl>
    <w:lvl w:ilvl="6" w:tplc="34FACFA4">
      <w:start w:val="1"/>
      <w:numFmt w:val="bullet"/>
      <w:lvlText w:val=""/>
      <w:lvlJc w:val="left"/>
      <w:pPr>
        <w:ind w:left="5040" w:hanging="360"/>
      </w:pPr>
      <w:rPr>
        <w:rFonts w:ascii="Symbol" w:hAnsi="Symbol" w:hint="default"/>
      </w:rPr>
    </w:lvl>
    <w:lvl w:ilvl="7" w:tplc="834EBA58">
      <w:start w:val="1"/>
      <w:numFmt w:val="bullet"/>
      <w:lvlText w:val="o"/>
      <w:lvlJc w:val="left"/>
      <w:pPr>
        <w:ind w:left="5760" w:hanging="360"/>
      </w:pPr>
      <w:rPr>
        <w:rFonts w:ascii="Courier New" w:hAnsi="Courier New" w:hint="default"/>
      </w:rPr>
    </w:lvl>
    <w:lvl w:ilvl="8" w:tplc="460A8394">
      <w:start w:val="1"/>
      <w:numFmt w:val="bullet"/>
      <w:lvlText w:val=""/>
      <w:lvlJc w:val="left"/>
      <w:pPr>
        <w:ind w:left="6480" w:hanging="360"/>
      </w:pPr>
      <w:rPr>
        <w:rFonts w:ascii="Wingdings" w:hAnsi="Wingdings" w:hint="default"/>
      </w:rPr>
    </w:lvl>
  </w:abstractNum>
  <w:abstractNum w:abstractNumId="40" w15:restartNumberingAfterBreak="0">
    <w:nsid w:val="76E614FF"/>
    <w:multiLevelType w:val="multilevel"/>
    <w:tmpl w:val="7B2232E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41" w15:restartNumberingAfterBreak="0">
    <w:nsid w:val="7CB5111C"/>
    <w:multiLevelType w:val="hybridMultilevel"/>
    <w:tmpl w:val="F266D1EA"/>
    <w:lvl w:ilvl="0" w:tplc="FFBC6024">
      <w:start w:val="1"/>
      <w:numFmt w:val="bullet"/>
      <w:lvlText w:val=""/>
      <w:lvlJc w:val="left"/>
      <w:pPr>
        <w:ind w:left="720" w:hanging="360"/>
      </w:pPr>
      <w:rPr>
        <w:rFonts w:ascii="Symbol" w:hAnsi="Symbol" w:hint="default"/>
        <w:b w:val="0"/>
        <w:i w:val="0"/>
        <w:sz w:val="20"/>
      </w:rPr>
    </w:lvl>
    <w:lvl w:ilvl="1" w:tplc="410499FC">
      <w:start w:val="1"/>
      <w:numFmt w:val="lowerLetter"/>
      <w:lvlText w:val="%2."/>
      <w:lvlJc w:val="left"/>
      <w:pPr>
        <w:ind w:left="1440" w:hanging="360"/>
      </w:pPr>
    </w:lvl>
    <w:lvl w:ilvl="2" w:tplc="F2122FBC">
      <w:start w:val="1"/>
      <w:numFmt w:val="lowerRoman"/>
      <w:lvlText w:val="%3."/>
      <w:lvlJc w:val="right"/>
      <w:pPr>
        <w:ind w:left="2160" w:hanging="180"/>
      </w:pPr>
    </w:lvl>
    <w:lvl w:ilvl="3" w:tplc="A5842E00">
      <w:start w:val="1"/>
      <w:numFmt w:val="decimal"/>
      <w:lvlText w:val="%4."/>
      <w:lvlJc w:val="left"/>
      <w:pPr>
        <w:ind w:left="2880" w:hanging="360"/>
      </w:pPr>
    </w:lvl>
    <w:lvl w:ilvl="4" w:tplc="15A83A82">
      <w:start w:val="1"/>
      <w:numFmt w:val="lowerLetter"/>
      <w:lvlText w:val="%5."/>
      <w:lvlJc w:val="left"/>
      <w:pPr>
        <w:ind w:left="3600" w:hanging="360"/>
      </w:pPr>
    </w:lvl>
    <w:lvl w:ilvl="5" w:tplc="DBEA3690">
      <w:start w:val="1"/>
      <w:numFmt w:val="lowerRoman"/>
      <w:lvlText w:val="%6."/>
      <w:lvlJc w:val="right"/>
      <w:pPr>
        <w:ind w:left="4320" w:hanging="180"/>
      </w:pPr>
    </w:lvl>
    <w:lvl w:ilvl="6" w:tplc="B4084B7A">
      <w:start w:val="1"/>
      <w:numFmt w:val="decimal"/>
      <w:lvlText w:val="%7."/>
      <w:lvlJc w:val="left"/>
      <w:pPr>
        <w:ind w:left="5040" w:hanging="360"/>
      </w:pPr>
    </w:lvl>
    <w:lvl w:ilvl="7" w:tplc="FF54D6A4">
      <w:start w:val="1"/>
      <w:numFmt w:val="lowerLetter"/>
      <w:lvlText w:val="%8."/>
      <w:lvlJc w:val="left"/>
      <w:pPr>
        <w:ind w:left="5760" w:hanging="360"/>
      </w:pPr>
    </w:lvl>
    <w:lvl w:ilvl="8" w:tplc="FE7C8D0A">
      <w:start w:val="1"/>
      <w:numFmt w:val="lowerRoman"/>
      <w:lvlText w:val="%9."/>
      <w:lvlJc w:val="right"/>
      <w:pPr>
        <w:ind w:left="6480" w:hanging="180"/>
      </w:pPr>
    </w:lvl>
  </w:abstractNum>
  <w:abstractNum w:abstractNumId="42" w15:restartNumberingAfterBreak="0">
    <w:nsid w:val="7E920622"/>
    <w:multiLevelType w:val="hybridMultilevel"/>
    <w:tmpl w:val="D764B1FC"/>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23"/>
  </w:num>
  <w:num w:numId="4">
    <w:abstractNumId w:val="6"/>
  </w:num>
  <w:num w:numId="5">
    <w:abstractNumId w:val="26"/>
  </w:num>
  <w:num w:numId="6">
    <w:abstractNumId w:val="0"/>
  </w:num>
  <w:num w:numId="7">
    <w:abstractNumId w:val="14"/>
  </w:num>
  <w:num w:numId="8">
    <w:abstractNumId w:val="15"/>
  </w:num>
  <w:num w:numId="9">
    <w:abstractNumId w:val="16"/>
  </w:num>
  <w:num w:numId="10">
    <w:abstractNumId w:val="17"/>
  </w:num>
  <w:num w:numId="11">
    <w:abstractNumId w:val="21"/>
  </w:num>
  <w:num w:numId="12">
    <w:abstractNumId w:val="40"/>
  </w:num>
  <w:num w:numId="13">
    <w:abstractNumId w:val="11"/>
  </w:num>
  <w:num w:numId="14">
    <w:abstractNumId w:val="13"/>
  </w:num>
  <w:num w:numId="15">
    <w:abstractNumId w:val="12"/>
  </w:num>
  <w:num w:numId="16">
    <w:abstractNumId w:val="8"/>
  </w:num>
  <w:num w:numId="17">
    <w:abstractNumId w:val="27"/>
  </w:num>
  <w:num w:numId="18">
    <w:abstractNumId w:val="37"/>
  </w:num>
  <w:num w:numId="19">
    <w:abstractNumId w:val="33"/>
  </w:num>
  <w:num w:numId="20">
    <w:abstractNumId w:val="38"/>
  </w:num>
  <w:num w:numId="21">
    <w:abstractNumId w:val="30"/>
  </w:num>
  <w:num w:numId="22">
    <w:abstractNumId w:val="19"/>
  </w:num>
  <w:num w:numId="23">
    <w:abstractNumId w:val="3"/>
  </w:num>
  <w:num w:numId="24">
    <w:abstractNumId w:val="32"/>
  </w:num>
  <w:num w:numId="25">
    <w:abstractNumId w:val="4"/>
  </w:num>
  <w:num w:numId="26">
    <w:abstractNumId w:val="2"/>
  </w:num>
  <w:num w:numId="27">
    <w:abstractNumId w:val="22"/>
  </w:num>
  <w:num w:numId="28">
    <w:abstractNumId w:val="42"/>
  </w:num>
  <w:num w:numId="29">
    <w:abstractNumId w:val="24"/>
  </w:num>
  <w:num w:numId="30">
    <w:abstractNumId w:val="41"/>
  </w:num>
  <w:num w:numId="31">
    <w:abstractNumId w:val="31"/>
  </w:num>
  <w:num w:numId="32">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33">
    <w:abstractNumId w:val="39"/>
  </w:num>
  <w:num w:numId="34">
    <w:abstractNumId w:val="1"/>
  </w:num>
  <w:num w:numId="35">
    <w:abstractNumId w:val="34"/>
  </w:num>
  <w:num w:numId="36">
    <w:abstractNumId w:val="25"/>
  </w:num>
  <w:num w:numId="37">
    <w:abstractNumId w:val="10"/>
  </w:num>
  <w:num w:numId="38">
    <w:abstractNumId w:val="36"/>
  </w:num>
  <w:num w:numId="39">
    <w:abstractNumId w:val="28"/>
  </w:num>
  <w:num w:numId="40">
    <w:abstractNumId w:val="29"/>
  </w:num>
  <w:num w:numId="41">
    <w:abstractNumId w:val="35"/>
  </w:num>
  <w:num w:numId="42">
    <w:abstractNumId w:val="20"/>
  </w:num>
  <w:num w:numId="43">
    <w:abstractNumId w:val="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CR_RefLast" w:val="0"/>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2-04&lt;/text&gt;_x000d__x000a_  &lt;/metadata&gt;_x000d__x000a_  &lt;metadata key=&quot;md_Prefix&quot;&gt;_x000d__x000a_    &lt;text&gt;&lt;/text&gt;_x000d__x000a_  &lt;/metadata&gt;_x000d__x000a_  &lt;metadata key=&quot;md_DocumentNumber&quot;&gt;_x000d__x000a_    &lt;text&gt;15795&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586&lt;/text&gt;_x000d__x000a_      &lt;text&gt;UEM 579&lt;/text&gt;_x000d__x000a_      &lt;text&gt;FIN 1436&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379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17 June 2022 on the approval of the assessment of the recovery and resilience plan for Poland&quot;&gt;&amp;lt;FlowDocument xmlns=&quot;http://schemas.microsoft.com/winfx/2006/xaml/presentation&quot;&amp;gt;&amp;lt;Paragraph&amp;gt;ANNEX to the COUNCIL IMPLEMENTING DECISION amending Implementing Decision of 17 June 2022 on the approval of the assessment of the recovery and resilience plan for Poland&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ocuWriteMetaDataSource1" w:val="&lt;metadataset docuwriteversion=&quot;4.9.1&quot; technicalblockguid=&quot;484766697829926777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4-07-01&lt;/text&gt;_x000d__x000a_  &lt;/metadata&gt;_x000d__x000a_  &lt;metadata key=&quot;md_Prefix&quot;&gt;_x000d__x000a_    &lt;text&gt;&lt;/text&gt;_x000d__x000a_  &lt;/metadata&gt;_x000d__x000a_  &lt;metadata key=&quot;md_DocumentNumber&quot;&gt;_x000d__x000a_    &lt;text&gt;11799&lt;/text&gt;_x000d__x000a_  &lt;/metadata&gt;_x000d__x000a_  &lt;metadata key=&quot;md_YearDocumentNumber&quot;&gt;_x000d__x000a_    &lt;text&gt;2024&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11&lt;/text&gt;_x000d__x000a_      &lt;text&gt;UEM 221&lt;/text&gt;_x000d__x000a_      &lt;text&gt;FIN 641&lt;/text&gt;_x000d__x000a_      &lt;text&gt;CADREFIN 11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4/0158(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4-07-01&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4) 284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9728/22 INIT; ST/9728/22 ADD 1) of 17 June 2022 on the approval of the assessment of the recovery and resilience plan for Poland&quot;&gt;&amp;lt;FlowDocument FontFamily=&quot;Segoe UI&quot; FontSize=&quot;12&quot; PagePadding=&quot;2,2,2,2&quot; AllowDrop=&quot;False&quot; xmlns=&quot;http://schemas.microsoft.com/winfx/2006/xaml/presentation&quot;&amp;gt;&amp;lt;Paragraph&amp;gt;ANNEX to the Proposal for a COUNCIL IMPLEMENTING DECISION amending Implementing Decision (EU) (ST 9728/22 INIT; ST/9728/22 ADD 1) of 17 June 2022 on the approval of the assessment of the recovery and resilience plan for Po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LEB/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4&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DE&lt;/text&gt;_x000d__x000a_  &lt;/metadata&gt;_x000d__x000a_  &lt;metadata key=&quot;md_SourceDocType&quot;&gt;_x000d__x000a_    &lt;text&gt;ANNEX&lt;/text&gt;_x000d__x000a_  &lt;/metadata&gt;_x000d__x000a_  &lt;metadata key=&quot;md_SourceDocTitle&quot;&gt;_x000d__x000a_    &lt;text&gt;to the _x000d__x000a_Proposal for a COUNCIL IMPLEMENTING DECISION _x000d__x000a_amending Implementing Decision (EU) (ST 9728/22 INIT; ST/9728/22 ADD 1) of 17 June 2022 on the approval of the assessment of the recovery and resilience plan for Poland&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de la "/>
    <w:docVar w:name="LW_ANNEX_NBR_FIRST" w:val="1"/>
    <w:docVar w:name="LW_ANNEX_NBR_LAST" w:val="1"/>
    <w:docVar w:name="LW_ANNEX_UNIQUE" w:val="1"/>
    <w:docVar w:name="LW_CORRIGENDUM" w:val="&lt;UNUSED&gt;"/>
    <w:docVar w:name="LW_COVERPAGE_EXISTS" w:val="True"/>
    <w:docVar w:name="LW_COVERPAGE_GUID" w:val="5B28FB65-3DCB-4768-870A-A5C116B5154A"/>
    <w:docVar w:name="LW_COVERPAGE_TYPE" w:val="1"/>
    <w:docVar w:name="LW_CROSSREFERENCE" w:val="{SWD(2026) 265 final}"/>
    <w:docVar w:name="LW_DocType" w:val="DW_COUNCIL"/>
    <w:docVar w:name="LW_EMISSION" w:val="7.8.2026"/>
    <w:docVar w:name="LW_EMISSION_ISODATE" w:val="2026-08-0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modifiant la décision d\u8217?exécution du 17 juin 2022 relative à l\u8217?approbation de l\u8217?évaluation du plan pour la reprise et la résilience pour la Pologne&lt;/FMT&gt;_x000d__x000d__x000b_"/>
    <w:docVar w:name="LW_PART_NBR" w:val="1"/>
    <w:docVar w:name="LW_PART_NBR_TOTAL" w:val="1"/>
    <w:docVar w:name="LW_REF.INST.NEW" w:val="COM"/>
    <w:docVar w:name="LW_REF.INST.NEW_ADOPTED" w:val="final"/>
    <w:docVar w:name="LW_REF.INST.NEW_TEXT" w:val="(2026) 4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A86151"/>
    <w:rsid w:val="00000324"/>
    <w:rsid w:val="00000C80"/>
    <w:rsid w:val="00000F30"/>
    <w:rsid w:val="0000115D"/>
    <w:rsid w:val="00001E97"/>
    <w:rsid w:val="00001F40"/>
    <w:rsid w:val="0000212D"/>
    <w:rsid w:val="0000216A"/>
    <w:rsid w:val="00002305"/>
    <w:rsid w:val="000026BA"/>
    <w:rsid w:val="000027B7"/>
    <w:rsid w:val="00002FED"/>
    <w:rsid w:val="00003384"/>
    <w:rsid w:val="000036A5"/>
    <w:rsid w:val="00003C9A"/>
    <w:rsid w:val="00003D1C"/>
    <w:rsid w:val="00003E77"/>
    <w:rsid w:val="00003FAE"/>
    <w:rsid w:val="0000427E"/>
    <w:rsid w:val="00004412"/>
    <w:rsid w:val="0000458B"/>
    <w:rsid w:val="00004851"/>
    <w:rsid w:val="00004A56"/>
    <w:rsid w:val="00005602"/>
    <w:rsid w:val="00005C49"/>
    <w:rsid w:val="00005DE1"/>
    <w:rsid w:val="00006D0E"/>
    <w:rsid w:val="00006F87"/>
    <w:rsid w:val="000070F9"/>
    <w:rsid w:val="0000743D"/>
    <w:rsid w:val="000075F4"/>
    <w:rsid w:val="00007731"/>
    <w:rsid w:val="00010799"/>
    <w:rsid w:val="000108AA"/>
    <w:rsid w:val="00010A45"/>
    <w:rsid w:val="00010C32"/>
    <w:rsid w:val="00011080"/>
    <w:rsid w:val="00011143"/>
    <w:rsid w:val="00011174"/>
    <w:rsid w:val="000111E6"/>
    <w:rsid w:val="000112A0"/>
    <w:rsid w:val="00011380"/>
    <w:rsid w:val="000119A8"/>
    <w:rsid w:val="00011E59"/>
    <w:rsid w:val="00012C9C"/>
    <w:rsid w:val="00012D95"/>
    <w:rsid w:val="000133FD"/>
    <w:rsid w:val="000137AF"/>
    <w:rsid w:val="00013972"/>
    <w:rsid w:val="00013A34"/>
    <w:rsid w:val="0001491D"/>
    <w:rsid w:val="00014B00"/>
    <w:rsid w:val="00014F97"/>
    <w:rsid w:val="00015512"/>
    <w:rsid w:val="000159F6"/>
    <w:rsid w:val="00016475"/>
    <w:rsid w:val="00016A80"/>
    <w:rsid w:val="000172FF"/>
    <w:rsid w:val="0002003C"/>
    <w:rsid w:val="000203EF"/>
    <w:rsid w:val="000205D5"/>
    <w:rsid w:val="00020637"/>
    <w:rsid w:val="000211B1"/>
    <w:rsid w:val="0002156A"/>
    <w:rsid w:val="0002161E"/>
    <w:rsid w:val="00021904"/>
    <w:rsid w:val="00021AC4"/>
    <w:rsid w:val="000221F1"/>
    <w:rsid w:val="0002311B"/>
    <w:rsid w:val="0002335C"/>
    <w:rsid w:val="00023CD1"/>
    <w:rsid w:val="00024882"/>
    <w:rsid w:val="00025433"/>
    <w:rsid w:val="000256E8"/>
    <w:rsid w:val="00025C0C"/>
    <w:rsid w:val="00025C69"/>
    <w:rsid w:val="0002605C"/>
    <w:rsid w:val="00026760"/>
    <w:rsid w:val="000275B2"/>
    <w:rsid w:val="0002788D"/>
    <w:rsid w:val="00027964"/>
    <w:rsid w:val="00027C53"/>
    <w:rsid w:val="00027C78"/>
    <w:rsid w:val="000300EF"/>
    <w:rsid w:val="000302DD"/>
    <w:rsid w:val="000304D0"/>
    <w:rsid w:val="00030C70"/>
    <w:rsid w:val="0003130E"/>
    <w:rsid w:val="000313DC"/>
    <w:rsid w:val="000318F1"/>
    <w:rsid w:val="00032A2C"/>
    <w:rsid w:val="0003312A"/>
    <w:rsid w:val="00033B56"/>
    <w:rsid w:val="00034398"/>
    <w:rsid w:val="00034C5F"/>
    <w:rsid w:val="00034F98"/>
    <w:rsid w:val="00035554"/>
    <w:rsid w:val="00035A1A"/>
    <w:rsid w:val="00035A57"/>
    <w:rsid w:val="00035BFB"/>
    <w:rsid w:val="00035DC7"/>
    <w:rsid w:val="00036ECE"/>
    <w:rsid w:val="00036EEB"/>
    <w:rsid w:val="000370DB"/>
    <w:rsid w:val="00037453"/>
    <w:rsid w:val="000374C1"/>
    <w:rsid w:val="00037FB8"/>
    <w:rsid w:val="00040083"/>
    <w:rsid w:val="000400B3"/>
    <w:rsid w:val="000402CB"/>
    <w:rsid w:val="000405C7"/>
    <w:rsid w:val="000405DF"/>
    <w:rsid w:val="000407F5"/>
    <w:rsid w:val="00040B6D"/>
    <w:rsid w:val="00040DD9"/>
    <w:rsid w:val="00040F12"/>
    <w:rsid w:val="00041112"/>
    <w:rsid w:val="000412A5"/>
    <w:rsid w:val="00041812"/>
    <w:rsid w:val="00041BDE"/>
    <w:rsid w:val="00041C4A"/>
    <w:rsid w:val="0004230F"/>
    <w:rsid w:val="000425AA"/>
    <w:rsid w:val="00042829"/>
    <w:rsid w:val="00042A8C"/>
    <w:rsid w:val="000431A2"/>
    <w:rsid w:val="00043238"/>
    <w:rsid w:val="00043502"/>
    <w:rsid w:val="00043661"/>
    <w:rsid w:val="00043935"/>
    <w:rsid w:val="00043AD7"/>
    <w:rsid w:val="00043C05"/>
    <w:rsid w:val="00043EE1"/>
    <w:rsid w:val="0004401F"/>
    <w:rsid w:val="000442B2"/>
    <w:rsid w:val="000445E6"/>
    <w:rsid w:val="00044A23"/>
    <w:rsid w:val="00044D20"/>
    <w:rsid w:val="00044EB4"/>
    <w:rsid w:val="0004679D"/>
    <w:rsid w:val="00046817"/>
    <w:rsid w:val="00046F21"/>
    <w:rsid w:val="000470D3"/>
    <w:rsid w:val="00047953"/>
    <w:rsid w:val="00050006"/>
    <w:rsid w:val="000505F3"/>
    <w:rsid w:val="000507DB"/>
    <w:rsid w:val="000508D6"/>
    <w:rsid w:val="000508E7"/>
    <w:rsid w:val="00051241"/>
    <w:rsid w:val="0005154C"/>
    <w:rsid w:val="00051A0F"/>
    <w:rsid w:val="00052084"/>
    <w:rsid w:val="000523EC"/>
    <w:rsid w:val="00052638"/>
    <w:rsid w:val="00052D7C"/>
    <w:rsid w:val="000533F5"/>
    <w:rsid w:val="000544B4"/>
    <w:rsid w:val="00054503"/>
    <w:rsid w:val="000552A3"/>
    <w:rsid w:val="000555AD"/>
    <w:rsid w:val="00055666"/>
    <w:rsid w:val="000558AF"/>
    <w:rsid w:val="00055912"/>
    <w:rsid w:val="00055D45"/>
    <w:rsid w:val="00055EAD"/>
    <w:rsid w:val="000562D7"/>
    <w:rsid w:val="00056B1C"/>
    <w:rsid w:val="00056F94"/>
    <w:rsid w:val="00057468"/>
    <w:rsid w:val="00057599"/>
    <w:rsid w:val="00057894"/>
    <w:rsid w:val="00060944"/>
    <w:rsid w:val="00060D9A"/>
    <w:rsid w:val="00060E10"/>
    <w:rsid w:val="0006104E"/>
    <w:rsid w:val="00061196"/>
    <w:rsid w:val="00061727"/>
    <w:rsid w:val="00062878"/>
    <w:rsid w:val="000631BB"/>
    <w:rsid w:val="00063430"/>
    <w:rsid w:val="0006349D"/>
    <w:rsid w:val="00063FA4"/>
    <w:rsid w:val="0006417A"/>
    <w:rsid w:val="00064372"/>
    <w:rsid w:val="00064E8F"/>
    <w:rsid w:val="000658D7"/>
    <w:rsid w:val="00065A09"/>
    <w:rsid w:val="00065A44"/>
    <w:rsid w:val="00065E4E"/>
    <w:rsid w:val="0006630B"/>
    <w:rsid w:val="00066617"/>
    <w:rsid w:val="00066D41"/>
    <w:rsid w:val="00067912"/>
    <w:rsid w:val="00067CD2"/>
    <w:rsid w:val="00070393"/>
    <w:rsid w:val="00070B0C"/>
    <w:rsid w:val="00070CF3"/>
    <w:rsid w:val="00071198"/>
    <w:rsid w:val="000714F6"/>
    <w:rsid w:val="0007188E"/>
    <w:rsid w:val="00071FE2"/>
    <w:rsid w:val="0007212F"/>
    <w:rsid w:val="00072170"/>
    <w:rsid w:val="00072756"/>
    <w:rsid w:val="00072774"/>
    <w:rsid w:val="00072DB9"/>
    <w:rsid w:val="00072FF4"/>
    <w:rsid w:val="0007337C"/>
    <w:rsid w:val="0007361A"/>
    <w:rsid w:val="00073688"/>
    <w:rsid w:val="0007378C"/>
    <w:rsid w:val="0007389A"/>
    <w:rsid w:val="00073A3C"/>
    <w:rsid w:val="00074A03"/>
    <w:rsid w:val="00074A08"/>
    <w:rsid w:val="00074A32"/>
    <w:rsid w:val="00074B04"/>
    <w:rsid w:val="00074CC7"/>
    <w:rsid w:val="00074EFB"/>
    <w:rsid w:val="000750B3"/>
    <w:rsid w:val="00075224"/>
    <w:rsid w:val="0007537E"/>
    <w:rsid w:val="00075653"/>
    <w:rsid w:val="000758F2"/>
    <w:rsid w:val="0007596A"/>
    <w:rsid w:val="00075C46"/>
    <w:rsid w:val="00075F19"/>
    <w:rsid w:val="000763B2"/>
    <w:rsid w:val="0007664C"/>
    <w:rsid w:val="000768C7"/>
    <w:rsid w:val="00077B12"/>
    <w:rsid w:val="00080682"/>
    <w:rsid w:val="000808FA"/>
    <w:rsid w:val="00080E8D"/>
    <w:rsid w:val="00080F6B"/>
    <w:rsid w:val="00081256"/>
    <w:rsid w:val="00081295"/>
    <w:rsid w:val="00081481"/>
    <w:rsid w:val="0008171C"/>
    <w:rsid w:val="0008221A"/>
    <w:rsid w:val="000828AD"/>
    <w:rsid w:val="0008299A"/>
    <w:rsid w:val="00082A8D"/>
    <w:rsid w:val="00082BD3"/>
    <w:rsid w:val="00082C40"/>
    <w:rsid w:val="000834E8"/>
    <w:rsid w:val="00083A9C"/>
    <w:rsid w:val="00083DFC"/>
    <w:rsid w:val="00083EB1"/>
    <w:rsid w:val="0008401C"/>
    <w:rsid w:val="000844A3"/>
    <w:rsid w:val="0008472F"/>
    <w:rsid w:val="0008474C"/>
    <w:rsid w:val="000847E9"/>
    <w:rsid w:val="000849C7"/>
    <w:rsid w:val="00085333"/>
    <w:rsid w:val="00085659"/>
    <w:rsid w:val="0008574F"/>
    <w:rsid w:val="000858B4"/>
    <w:rsid w:val="00085CAA"/>
    <w:rsid w:val="00085CF4"/>
    <w:rsid w:val="00085FB3"/>
    <w:rsid w:val="0008624C"/>
    <w:rsid w:val="000862DA"/>
    <w:rsid w:val="00086A85"/>
    <w:rsid w:val="00086FFB"/>
    <w:rsid w:val="00087298"/>
    <w:rsid w:val="0008733C"/>
    <w:rsid w:val="000875DB"/>
    <w:rsid w:val="0009009F"/>
    <w:rsid w:val="00091466"/>
    <w:rsid w:val="0009175A"/>
    <w:rsid w:val="000917E0"/>
    <w:rsid w:val="00091A70"/>
    <w:rsid w:val="0009218A"/>
    <w:rsid w:val="0009254F"/>
    <w:rsid w:val="00092BB0"/>
    <w:rsid w:val="0009330A"/>
    <w:rsid w:val="000934EB"/>
    <w:rsid w:val="000935C8"/>
    <w:rsid w:val="00093CFD"/>
    <w:rsid w:val="00093DD1"/>
    <w:rsid w:val="000943D1"/>
    <w:rsid w:val="0009464C"/>
    <w:rsid w:val="00094671"/>
    <w:rsid w:val="00094780"/>
    <w:rsid w:val="00094AD1"/>
    <w:rsid w:val="0009516D"/>
    <w:rsid w:val="000957D7"/>
    <w:rsid w:val="00095917"/>
    <w:rsid w:val="00095CEB"/>
    <w:rsid w:val="00095EF0"/>
    <w:rsid w:val="0009614C"/>
    <w:rsid w:val="000961FD"/>
    <w:rsid w:val="00096456"/>
    <w:rsid w:val="0009645B"/>
    <w:rsid w:val="00097F9B"/>
    <w:rsid w:val="000A08D1"/>
    <w:rsid w:val="000A0BEB"/>
    <w:rsid w:val="000A0CD6"/>
    <w:rsid w:val="000A1FE9"/>
    <w:rsid w:val="000A24E1"/>
    <w:rsid w:val="000A2FAD"/>
    <w:rsid w:val="000A3141"/>
    <w:rsid w:val="000A3339"/>
    <w:rsid w:val="000A3C84"/>
    <w:rsid w:val="000A4419"/>
    <w:rsid w:val="000A5079"/>
    <w:rsid w:val="000A5616"/>
    <w:rsid w:val="000A5860"/>
    <w:rsid w:val="000A5DA7"/>
    <w:rsid w:val="000A5F30"/>
    <w:rsid w:val="000A5F77"/>
    <w:rsid w:val="000A5FF9"/>
    <w:rsid w:val="000A625E"/>
    <w:rsid w:val="000A6952"/>
    <w:rsid w:val="000A6A22"/>
    <w:rsid w:val="000A6A55"/>
    <w:rsid w:val="000A6E0B"/>
    <w:rsid w:val="000A6F41"/>
    <w:rsid w:val="000A7F16"/>
    <w:rsid w:val="000A90C4"/>
    <w:rsid w:val="000B0355"/>
    <w:rsid w:val="000B0667"/>
    <w:rsid w:val="000B0988"/>
    <w:rsid w:val="000B1109"/>
    <w:rsid w:val="000B11A0"/>
    <w:rsid w:val="000B1ED5"/>
    <w:rsid w:val="000B201C"/>
    <w:rsid w:val="000B267B"/>
    <w:rsid w:val="000B271A"/>
    <w:rsid w:val="000B28D3"/>
    <w:rsid w:val="000B2A6E"/>
    <w:rsid w:val="000B3327"/>
    <w:rsid w:val="000B3C75"/>
    <w:rsid w:val="000B3CC5"/>
    <w:rsid w:val="000B3D66"/>
    <w:rsid w:val="000B4032"/>
    <w:rsid w:val="000B4176"/>
    <w:rsid w:val="000B42A4"/>
    <w:rsid w:val="000B4442"/>
    <w:rsid w:val="000B478E"/>
    <w:rsid w:val="000B4E09"/>
    <w:rsid w:val="000B527C"/>
    <w:rsid w:val="000B5939"/>
    <w:rsid w:val="000B63FF"/>
    <w:rsid w:val="000B67CB"/>
    <w:rsid w:val="000B6974"/>
    <w:rsid w:val="000B69D4"/>
    <w:rsid w:val="000B6A84"/>
    <w:rsid w:val="000B6EE8"/>
    <w:rsid w:val="000B7399"/>
    <w:rsid w:val="000B7426"/>
    <w:rsid w:val="000B77E8"/>
    <w:rsid w:val="000C01D1"/>
    <w:rsid w:val="000C0642"/>
    <w:rsid w:val="000C0A7E"/>
    <w:rsid w:val="000C0B33"/>
    <w:rsid w:val="000C0FDD"/>
    <w:rsid w:val="000C21FC"/>
    <w:rsid w:val="000C222D"/>
    <w:rsid w:val="000C24FB"/>
    <w:rsid w:val="000C2E3E"/>
    <w:rsid w:val="000C2F81"/>
    <w:rsid w:val="000C31CD"/>
    <w:rsid w:val="000C3443"/>
    <w:rsid w:val="000C356E"/>
    <w:rsid w:val="000C427A"/>
    <w:rsid w:val="000C43F8"/>
    <w:rsid w:val="000C5C79"/>
    <w:rsid w:val="000C5CE7"/>
    <w:rsid w:val="000C6297"/>
    <w:rsid w:val="000C63D4"/>
    <w:rsid w:val="000C654D"/>
    <w:rsid w:val="000C69A9"/>
    <w:rsid w:val="000C6AF1"/>
    <w:rsid w:val="000C7571"/>
    <w:rsid w:val="000C781C"/>
    <w:rsid w:val="000C7A8A"/>
    <w:rsid w:val="000C7B92"/>
    <w:rsid w:val="000D0308"/>
    <w:rsid w:val="000D14A2"/>
    <w:rsid w:val="000D1BF1"/>
    <w:rsid w:val="000D28F1"/>
    <w:rsid w:val="000D2924"/>
    <w:rsid w:val="000D2BB3"/>
    <w:rsid w:val="000D2C59"/>
    <w:rsid w:val="000D2D6F"/>
    <w:rsid w:val="000D2F98"/>
    <w:rsid w:val="000D2FCC"/>
    <w:rsid w:val="000D3B01"/>
    <w:rsid w:val="000D4057"/>
    <w:rsid w:val="000D47E7"/>
    <w:rsid w:val="000D4AE4"/>
    <w:rsid w:val="000D4D98"/>
    <w:rsid w:val="000D50F4"/>
    <w:rsid w:val="000D54A0"/>
    <w:rsid w:val="000D5768"/>
    <w:rsid w:val="000D63D9"/>
    <w:rsid w:val="000D641E"/>
    <w:rsid w:val="000D66A9"/>
    <w:rsid w:val="000D6B79"/>
    <w:rsid w:val="000D6F38"/>
    <w:rsid w:val="000D6F8D"/>
    <w:rsid w:val="000D6FBA"/>
    <w:rsid w:val="000D737C"/>
    <w:rsid w:val="000D78FC"/>
    <w:rsid w:val="000E006B"/>
    <w:rsid w:val="000E0075"/>
    <w:rsid w:val="000E1286"/>
    <w:rsid w:val="000E129F"/>
    <w:rsid w:val="000E164D"/>
    <w:rsid w:val="000E17AC"/>
    <w:rsid w:val="000E22F6"/>
    <w:rsid w:val="000E2355"/>
    <w:rsid w:val="000E244A"/>
    <w:rsid w:val="000E2DBF"/>
    <w:rsid w:val="000E36AE"/>
    <w:rsid w:val="000E3788"/>
    <w:rsid w:val="000E39B2"/>
    <w:rsid w:val="000E3A18"/>
    <w:rsid w:val="000E3AA0"/>
    <w:rsid w:val="000E3D9E"/>
    <w:rsid w:val="000E3ED2"/>
    <w:rsid w:val="000E4190"/>
    <w:rsid w:val="000E4459"/>
    <w:rsid w:val="000E4C88"/>
    <w:rsid w:val="000E4DDF"/>
    <w:rsid w:val="000E5043"/>
    <w:rsid w:val="000E5695"/>
    <w:rsid w:val="000E6399"/>
    <w:rsid w:val="000E6D57"/>
    <w:rsid w:val="000E7178"/>
    <w:rsid w:val="000E7562"/>
    <w:rsid w:val="000E792F"/>
    <w:rsid w:val="000E79C9"/>
    <w:rsid w:val="000F0687"/>
    <w:rsid w:val="000F190E"/>
    <w:rsid w:val="000F1C3C"/>
    <w:rsid w:val="000F1E7D"/>
    <w:rsid w:val="000F23A8"/>
    <w:rsid w:val="000F240B"/>
    <w:rsid w:val="000F2411"/>
    <w:rsid w:val="000F2E84"/>
    <w:rsid w:val="000F2FC6"/>
    <w:rsid w:val="000F3BA3"/>
    <w:rsid w:val="000F452A"/>
    <w:rsid w:val="000F4641"/>
    <w:rsid w:val="000F48B6"/>
    <w:rsid w:val="000F4D04"/>
    <w:rsid w:val="000F5662"/>
    <w:rsid w:val="000F58A5"/>
    <w:rsid w:val="000F59C1"/>
    <w:rsid w:val="000F5EA8"/>
    <w:rsid w:val="000F66BE"/>
    <w:rsid w:val="000F6889"/>
    <w:rsid w:val="000F727C"/>
    <w:rsid w:val="000F74D6"/>
    <w:rsid w:val="000F7917"/>
    <w:rsid w:val="0010039B"/>
    <w:rsid w:val="00101086"/>
    <w:rsid w:val="0010185F"/>
    <w:rsid w:val="0010205A"/>
    <w:rsid w:val="001024D0"/>
    <w:rsid w:val="00102698"/>
    <w:rsid w:val="00102B96"/>
    <w:rsid w:val="00102DF4"/>
    <w:rsid w:val="001030E7"/>
    <w:rsid w:val="00103BEA"/>
    <w:rsid w:val="00103CA0"/>
    <w:rsid w:val="00104211"/>
    <w:rsid w:val="001047DB"/>
    <w:rsid w:val="00104E1E"/>
    <w:rsid w:val="00104E3C"/>
    <w:rsid w:val="00105595"/>
    <w:rsid w:val="00105ACD"/>
    <w:rsid w:val="00105F70"/>
    <w:rsid w:val="0010682C"/>
    <w:rsid w:val="00106DFF"/>
    <w:rsid w:val="00106E33"/>
    <w:rsid w:val="00107B80"/>
    <w:rsid w:val="001102BE"/>
    <w:rsid w:val="00110661"/>
    <w:rsid w:val="00111A40"/>
    <w:rsid w:val="00111A5C"/>
    <w:rsid w:val="00111BE2"/>
    <w:rsid w:val="00112240"/>
    <w:rsid w:val="00112255"/>
    <w:rsid w:val="00112F7F"/>
    <w:rsid w:val="00113391"/>
    <w:rsid w:val="0011341B"/>
    <w:rsid w:val="00113B41"/>
    <w:rsid w:val="00113B7C"/>
    <w:rsid w:val="00114311"/>
    <w:rsid w:val="0011441C"/>
    <w:rsid w:val="0011455F"/>
    <w:rsid w:val="00114BFC"/>
    <w:rsid w:val="00114F1C"/>
    <w:rsid w:val="00114F4A"/>
    <w:rsid w:val="00115301"/>
    <w:rsid w:val="001154E8"/>
    <w:rsid w:val="00115AF2"/>
    <w:rsid w:val="00116485"/>
    <w:rsid w:val="00116512"/>
    <w:rsid w:val="00116765"/>
    <w:rsid w:val="00116BA3"/>
    <w:rsid w:val="00116CF7"/>
    <w:rsid w:val="00117403"/>
    <w:rsid w:val="00117849"/>
    <w:rsid w:val="0011798D"/>
    <w:rsid w:val="001179A4"/>
    <w:rsid w:val="00117B3B"/>
    <w:rsid w:val="0012007A"/>
    <w:rsid w:val="0012009B"/>
    <w:rsid w:val="00120602"/>
    <w:rsid w:val="00120A60"/>
    <w:rsid w:val="00120E07"/>
    <w:rsid w:val="001210B0"/>
    <w:rsid w:val="001213C1"/>
    <w:rsid w:val="001214A4"/>
    <w:rsid w:val="00121D09"/>
    <w:rsid w:val="00121D2B"/>
    <w:rsid w:val="00121E24"/>
    <w:rsid w:val="00122132"/>
    <w:rsid w:val="00122E8A"/>
    <w:rsid w:val="001232DD"/>
    <w:rsid w:val="00123717"/>
    <w:rsid w:val="00124721"/>
    <w:rsid w:val="00124983"/>
    <w:rsid w:val="001254D0"/>
    <w:rsid w:val="00126019"/>
    <w:rsid w:val="00126063"/>
    <w:rsid w:val="00126277"/>
    <w:rsid w:val="00126548"/>
    <w:rsid w:val="00126736"/>
    <w:rsid w:val="001269AE"/>
    <w:rsid w:val="00126B49"/>
    <w:rsid w:val="00127643"/>
    <w:rsid w:val="0012777C"/>
    <w:rsid w:val="001278F0"/>
    <w:rsid w:val="0013056F"/>
    <w:rsid w:val="0013057E"/>
    <w:rsid w:val="00131423"/>
    <w:rsid w:val="00131652"/>
    <w:rsid w:val="00131A2F"/>
    <w:rsid w:val="00131C47"/>
    <w:rsid w:val="00131FE2"/>
    <w:rsid w:val="001323E9"/>
    <w:rsid w:val="0013260E"/>
    <w:rsid w:val="00132D72"/>
    <w:rsid w:val="001336A2"/>
    <w:rsid w:val="001336F5"/>
    <w:rsid w:val="00133852"/>
    <w:rsid w:val="0013398A"/>
    <w:rsid w:val="00133FCA"/>
    <w:rsid w:val="001341B6"/>
    <w:rsid w:val="001342AD"/>
    <w:rsid w:val="00134762"/>
    <w:rsid w:val="00134C4F"/>
    <w:rsid w:val="00134D51"/>
    <w:rsid w:val="001353F7"/>
    <w:rsid w:val="001354B9"/>
    <w:rsid w:val="001354C6"/>
    <w:rsid w:val="001355AF"/>
    <w:rsid w:val="001355ED"/>
    <w:rsid w:val="0013576B"/>
    <w:rsid w:val="001357C3"/>
    <w:rsid w:val="00135A09"/>
    <w:rsid w:val="00135F60"/>
    <w:rsid w:val="0013688B"/>
    <w:rsid w:val="00136B75"/>
    <w:rsid w:val="00136C9E"/>
    <w:rsid w:val="00136DDF"/>
    <w:rsid w:val="001372CA"/>
    <w:rsid w:val="001378C6"/>
    <w:rsid w:val="00137A39"/>
    <w:rsid w:val="00140043"/>
    <w:rsid w:val="001400CB"/>
    <w:rsid w:val="0014131B"/>
    <w:rsid w:val="001413A1"/>
    <w:rsid w:val="001416FD"/>
    <w:rsid w:val="00141CC4"/>
    <w:rsid w:val="001421F7"/>
    <w:rsid w:val="0014221A"/>
    <w:rsid w:val="001422D6"/>
    <w:rsid w:val="0014237D"/>
    <w:rsid w:val="001427FF"/>
    <w:rsid w:val="001428EA"/>
    <w:rsid w:val="001430CE"/>
    <w:rsid w:val="00143EA0"/>
    <w:rsid w:val="00143F80"/>
    <w:rsid w:val="00144255"/>
    <w:rsid w:val="001444BA"/>
    <w:rsid w:val="00144CBA"/>
    <w:rsid w:val="00144E50"/>
    <w:rsid w:val="00144FF1"/>
    <w:rsid w:val="0014511F"/>
    <w:rsid w:val="00145843"/>
    <w:rsid w:val="00145E3B"/>
    <w:rsid w:val="00146199"/>
    <w:rsid w:val="001465B4"/>
    <w:rsid w:val="00146D84"/>
    <w:rsid w:val="001476CE"/>
    <w:rsid w:val="0014795F"/>
    <w:rsid w:val="00147ABA"/>
    <w:rsid w:val="00150462"/>
    <w:rsid w:val="00150E3A"/>
    <w:rsid w:val="0015143F"/>
    <w:rsid w:val="0015164D"/>
    <w:rsid w:val="00151D3E"/>
    <w:rsid w:val="001521BF"/>
    <w:rsid w:val="00152509"/>
    <w:rsid w:val="001525F6"/>
    <w:rsid w:val="0015393C"/>
    <w:rsid w:val="00153E96"/>
    <w:rsid w:val="0015401C"/>
    <w:rsid w:val="00154106"/>
    <w:rsid w:val="00154294"/>
    <w:rsid w:val="00154625"/>
    <w:rsid w:val="00154EDA"/>
    <w:rsid w:val="00155022"/>
    <w:rsid w:val="00155115"/>
    <w:rsid w:val="00156747"/>
    <w:rsid w:val="00156AAC"/>
    <w:rsid w:val="00156B3D"/>
    <w:rsid w:val="0015706E"/>
    <w:rsid w:val="00157262"/>
    <w:rsid w:val="00157827"/>
    <w:rsid w:val="00157856"/>
    <w:rsid w:val="00157D79"/>
    <w:rsid w:val="00160289"/>
    <w:rsid w:val="001602A4"/>
    <w:rsid w:val="0016062E"/>
    <w:rsid w:val="00160C90"/>
    <w:rsid w:val="00161414"/>
    <w:rsid w:val="0016164B"/>
    <w:rsid w:val="00161869"/>
    <w:rsid w:val="00161A55"/>
    <w:rsid w:val="00161A70"/>
    <w:rsid w:val="00161C5E"/>
    <w:rsid w:val="001622DA"/>
    <w:rsid w:val="00162323"/>
    <w:rsid w:val="00162998"/>
    <w:rsid w:val="00162D8B"/>
    <w:rsid w:val="00162F31"/>
    <w:rsid w:val="0016356F"/>
    <w:rsid w:val="00163D7D"/>
    <w:rsid w:val="001640F2"/>
    <w:rsid w:val="00164274"/>
    <w:rsid w:val="0016472E"/>
    <w:rsid w:val="0016491E"/>
    <w:rsid w:val="00164B34"/>
    <w:rsid w:val="00164BB5"/>
    <w:rsid w:val="001651DD"/>
    <w:rsid w:val="00165368"/>
    <w:rsid w:val="00165738"/>
    <w:rsid w:val="001658FF"/>
    <w:rsid w:val="00165C53"/>
    <w:rsid w:val="00166A08"/>
    <w:rsid w:val="00166BE1"/>
    <w:rsid w:val="00166F1C"/>
    <w:rsid w:val="00167796"/>
    <w:rsid w:val="00167977"/>
    <w:rsid w:val="00167B11"/>
    <w:rsid w:val="00167E7B"/>
    <w:rsid w:val="0017068A"/>
    <w:rsid w:val="00170E6B"/>
    <w:rsid w:val="00172757"/>
    <w:rsid w:val="001727E8"/>
    <w:rsid w:val="00172804"/>
    <w:rsid w:val="0017288D"/>
    <w:rsid w:val="00172C40"/>
    <w:rsid w:val="001733CF"/>
    <w:rsid w:val="00173DD1"/>
    <w:rsid w:val="00174C93"/>
    <w:rsid w:val="00174D5B"/>
    <w:rsid w:val="00174DBC"/>
    <w:rsid w:val="00174DDB"/>
    <w:rsid w:val="00174E56"/>
    <w:rsid w:val="00175D03"/>
    <w:rsid w:val="0017622E"/>
    <w:rsid w:val="0017655B"/>
    <w:rsid w:val="00176710"/>
    <w:rsid w:val="001769E3"/>
    <w:rsid w:val="001769FD"/>
    <w:rsid w:val="00176E31"/>
    <w:rsid w:val="00176E8E"/>
    <w:rsid w:val="001770C2"/>
    <w:rsid w:val="00177437"/>
    <w:rsid w:val="00177782"/>
    <w:rsid w:val="0017787F"/>
    <w:rsid w:val="00177B30"/>
    <w:rsid w:val="00177C96"/>
    <w:rsid w:val="00177FB3"/>
    <w:rsid w:val="001802E3"/>
    <w:rsid w:val="00180892"/>
    <w:rsid w:val="00180EA7"/>
    <w:rsid w:val="00180F27"/>
    <w:rsid w:val="001818DA"/>
    <w:rsid w:val="001818F8"/>
    <w:rsid w:val="001826CE"/>
    <w:rsid w:val="001827D9"/>
    <w:rsid w:val="00182B44"/>
    <w:rsid w:val="0018375E"/>
    <w:rsid w:val="00183B54"/>
    <w:rsid w:val="00184013"/>
    <w:rsid w:val="001842E5"/>
    <w:rsid w:val="00184721"/>
    <w:rsid w:val="00184F30"/>
    <w:rsid w:val="0018562A"/>
    <w:rsid w:val="0018588D"/>
    <w:rsid w:val="001859FD"/>
    <w:rsid w:val="00185DE4"/>
    <w:rsid w:val="00186072"/>
    <w:rsid w:val="00186482"/>
    <w:rsid w:val="00186791"/>
    <w:rsid w:val="00186967"/>
    <w:rsid w:val="00186B6F"/>
    <w:rsid w:val="00186CE5"/>
    <w:rsid w:val="00186FF8"/>
    <w:rsid w:val="00187463"/>
    <w:rsid w:val="001878A1"/>
    <w:rsid w:val="00187B74"/>
    <w:rsid w:val="00187FA9"/>
    <w:rsid w:val="00190519"/>
    <w:rsid w:val="001905EC"/>
    <w:rsid w:val="0019135D"/>
    <w:rsid w:val="00191388"/>
    <w:rsid w:val="00191D74"/>
    <w:rsid w:val="00192198"/>
    <w:rsid w:val="0019232C"/>
    <w:rsid w:val="00192ABB"/>
    <w:rsid w:val="0019328E"/>
    <w:rsid w:val="00193601"/>
    <w:rsid w:val="001936B1"/>
    <w:rsid w:val="001941C9"/>
    <w:rsid w:val="001941D8"/>
    <w:rsid w:val="001944B7"/>
    <w:rsid w:val="001945DE"/>
    <w:rsid w:val="00194699"/>
    <w:rsid w:val="00194974"/>
    <w:rsid w:val="00194B1C"/>
    <w:rsid w:val="00194EFE"/>
    <w:rsid w:val="001955AB"/>
    <w:rsid w:val="001959FD"/>
    <w:rsid w:val="00195B7B"/>
    <w:rsid w:val="00195DEF"/>
    <w:rsid w:val="00195F30"/>
    <w:rsid w:val="001963F6"/>
    <w:rsid w:val="00196923"/>
    <w:rsid w:val="00196B81"/>
    <w:rsid w:val="001A01D4"/>
    <w:rsid w:val="001A049A"/>
    <w:rsid w:val="001A05AC"/>
    <w:rsid w:val="001A07CC"/>
    <w:rsid w:val="001A07EC"/>
    <w:rsid w:val="001A0B3E"/>
    <w:rsid w:val="001A13D3"/>
    <w:rsid w:val="001A1751"/>
    <w:rsid w:val="001A1760"/>
    <w:rsid w:val="001A2031"/>
    <w:rsid w:val="001A24CC"/>
    <w:rsid w:val="001A266B"/>
    <w:rsid w:val="001A2725"/>
    <w:rsid w:val="001A2B79"/>
    <w:rsid w:val="001A2F19"/>
    <w:rsid w:val="001A3FC7"/>
    <w:rsid w:val="001A400F"/>
    <w:rsid w:val="001A499D"/>
    <w:rsid w:val="001A4A3A"/>
    <w:rsid w:val="001A4E11"/>
    <w:rsid w:val="001A502D"/>
    <w:rsid w:val="001A5052"/>
    <w:rsid w:val="001A530E"/>
    <w:rsid w:val="001A5F46"/>
    <w:rsid w:val="001A61E0"/>
    <w:rsid w:val="001A6494"/>
    <w:rsid w:val="001A72D1"/>
    <w:rsid w:val="001A7316"/>
    <w:rsid w:val="001A75FD"/>
    <w:rsid w:val="001A7AC4"/>
    <w:rsid w:val="001B0178"/>
    <w:rsid w:val="001B0A0B"/>
    <w:rsid w:val="001B0A39"/>
    <w:rsid w:val="001B125A"/>
    <w:rsid w:val="001B1E4F"/>
    <w:rsid w:val="001B2802"/>
    <w:rsid w:val="001B2C5A"/>
    <w:rsid w:val="001B30B2"/>
    <w:rsid w:val="001B3682"/>
    <w:rsid w:val="001B39F6"/>
    <w:rsid w:val="001B3C4B"/>
    <w:rsid w:val="001B4049"/>
    <w:rsid w:val="001B44E2"/>
    <w:rsid w:val="001B45CA"/>
    <w:rsid w:val="001B4878"/>
    <w:rsid w:val="001B4978"/>
    <w:rsid w:val="001B49D4"/>
    <w:rsid w:val="001B4B3A"/>
    <w:rsid w:val="001B4E75"/>
    <w:rsid w:val="001B538E"/>
    <w:rsid w:val="001B55B5"/>
    <w:rsid w:val="001B623F"/>
    <w:rsid w:val="001B65A6"/>
    <w:rsid w:val="001B66EF"/>
    <w:rsid w:val="001B67F9"/>
    <w:rsid w:val="001B6DAB"/>
    <w:rsid w:val="001B6EBE"/>
    <w:rsid w:val="001B704C"/>
    <w:rsid w:val="001B7B1A"/>
    <w:rsid w:val="001B7BF0"/>
    <w:rsid w:val="001B7BFB"/>
    <w:rsid w:val="001C07B4"/>
    <w:rsid w:val="001C0AC5"/>
    <w:rsid w:val="001C0C88"/>
    <w:rsid w:val="001C1130"/>
    <w:rsid w:val="001C1185"/>
    <w:rsid w:val="001C16E9"/>
    <w:rsid w:val="001C1B5E"/>
    <w:rsid w:val="001C2216"/>
    <w:rsid w:val="001C232D"/>
    <w:rsid w:val="001C268B"/>
    <w:rsid w:val="001C298D"/>
    <w:rsid w:val="001C321A"/>
    <w:rsid w:val="001C38C0"/>
    <w:rsid w:val="001C3AC3"/>
    <w:rsid w:val="001C3DB9"/>
    <w:rsid w:val="001C4113"/>
    <w:rsid w:val="001C4929"/>
    <w:rsid w:val="001C4CD8"/>
    <w:rsid w:val="001C4EDC"/>
    <w:rsid w:val="001C5023"/>
    <w:rsid w:val="001C59C4"/>
    <w:rsid w:val="001C5A2F"/>
    <w:rsid w:val="001C60FC"/>
    <w:rsid w:val="001C6246"/>
    <w:rsid w:val="001C6793"/>
    <w:rsid w:val="001C6E61"/>
    <w:rsid w:val="001C7EE8"/>
    <w:rsid w:val="001D0807"/>
    <w:rsid w:val="001D1004"/>
    <w:rsid w:val="001D18AC"/>
    <w:rsid w:val="001D18F7"/>
    <w:rsid w:val="001D1C3D"/>
    <w:rsid w:val="001D227D"/>
    <w:rsid w:val="001D2315"/>
    <w:rsid w:val="001D2F1B"/>
    <w:rsid w:val="001D2F75"/>
    <w:rsid w:val="001D3369"/>
    <w:rsid w:val="001D386D"/>
    <w:rsid w:val="001D3B44"/>
    <w:rsid w:val="001D3B87"/>
    <w:rsid w:val="001D404F"/>
    <w:rsid w:val="001D42B3"/>
    <w:rsid w:val="001D45C6"/>
    <w:rsid w:val="001D47BD"/>
    <w:rsid w:val="001D52CA"/>
    <w:rsid w:val="001D5354"/>
    <w:rsid w:val="001D56AB"/>
    <w:rsid w:val="001D5DBA"/>
    <w:rsid w:val="001D5FF3"/>
    <w:rsid w:val="001D6071"/>
    <w:rsid w:val="001D6B03"/>
    <w:rsid w:val="001D768C"/>
    <w:rsid w:val="001D7707"/>
    <w:rsid w:val="001D7ABF"/>
    <w:rsid w:val="001D7AD8"/>
    <w:rsid w:val="001E0181"/>
    <w:rsid w:val="001E0D16"/>
    <w:rsid w:val="001E1227"/>
    <w:rsid w:val="001E2055"/>
    <w:rsid w:val="001E2282"/>
    <w:rsid w:val="001E284C"/>
    <w:rsid w:val="001E29B6"/>
    <w:rsid w:val="001E2DF2"/>
    <w:rsid w:val="001E3256"/>
    <w:rsid w:val="001E348F"/>
    <w:rsid w:val="001E35B6"/>
    <w:rsid w:val="001E3690"/>
    <w:rsid w:val="001E3898"/>
    <w:rsid w:val="001E52DD"/>
    <w:rsid w:val="001E5992"/>
    <w:rsid w:val="001E5CA4"/>
    <w:rsid w:val="001E5D0E"/>
    <w:rsid w:val="001E60DE"/>
    <w:rsid w:val="001E631E"/>
    <w:rsid w:val="001E67A3"/>
    <w:rsid w:val="001E70AD"/>
    <w:rsid w:val="001E7687"/>
    <w:rsid w:val="001E7B07"/>
    <w:rsid w:val="001F037C"/>
    <w:rsid w:val="001F060F"/>
    <w:rsid w:val="001F068B"/>
    <w:rsid w:val="001F077A"/>
    <w:rsid w:val="001F0A7A"/>
    <w:rsid w:val="001F0D89"/>
    <w:rsid w:val="001F0F76"/>
    <w:rsid w:val="001F1585"/>
    <w:rsid w:val="001F17D7"/>
    <w:rsid w:val="001F2258"/>
    <w:rsid w:val="001F26BF"/>
    <w:rsid w:val="001F2C00"/>
    <w:rsid w:val="001F35C5"/>
    <w:rsid w:val="001F3816"/>
    <w:rsid w:val="001F4113"/>
    <w:rsid w:val="001F4159"/>
    <w:rsid w:val="001F47F5"/>
    <w:rsid w:val="001F4C3C"/>
    <w:rsid w:val="001F4C85"/>
    <w:rsid w:val="001F584C"/>
    <w:rsid w:val="001F5925"/>
    <w:rsid w:val="001F59CD"/>
    <w:rsid w:val="001F5BF8"/>
    <w:rsid w:val="001F6223"/>
    <w:rsid w:val="001F648A"/>
    <w:rsid w:val="001F6BDF"/>
    <w:rsid w:val="001F6CA8"/>
    <w:rsid w:val="001F6F93"/>
    <w:rsid w:val="001F7178"/>
    <w:rsid w:val="001F78DE"/>
    <w:rsid w:val="002009B6"/>
    <w:rsid w:val="0020162E"/>
    <w:rsid w:val="002016F8"/>
    <w:rsid w:val="00201CB6"/>
    <w:rsid w:val="00202621"/>
    <w:rsid w:val="00202A86"/>
    <w:rsid w:val="00202BCE"/>
    <w:rsid w:val="00202D7B"/>
    <w:rsid w:val="00202E57"/>
    <w:rsid w:val="00204371"/>
    <w:rsid w:val="002044CD"/>
    <w:rsid w:val="00204A6A"/>
    <w:rsid w:val="00204AD5"/>
    <w:rsid w:val="00204CFB"/>
    <w:rsid w:val="00204F40"/>
    <w:rsid w:val="0020533B"/>
    <w:rsid w:val="0020540E"/>
    <w:rsid w:val="002056ED"/>
    <w:rsid w:val="0020582C"/>
    <w:rsid w:val="00205D58"/>
    <w:rsid w:val="00205EB0"/>
    <w:rsid w:val="002063EE"/>
    <w:rsid w:val="002072D3"/>
    <w:rsid w:val="00207615"/>
    <w:rsid w:val="00207A95"/>
    <w:rsid w:val="00207B4E"/>
    <w:rsid w:val="00210055"/>
    <w:rsid w:val="00210224"/>
    <w:rsid w:val="0021048B"/>
    <w:rsid w:val="0021090A"/>
    <w:rsid w:val="00210D0C"/>
    <w:rsid w:val="00210DD2"/>
    <w:rsid w:val="00211062"/>
    <w:rsid w:val="00211066"/>
    <w:rsid w:val="0021108A"/>
    <w:rsid w:val="002111C2"/>
    <w:rsid w:val="002112AF"/>
    <w:rsid w:val="00211AB3"/>
    <w:rsid w:val="00211CFF"/>
    <w:rsid w:val="00211EF9"/>
    <w:rsid w:val="00212693"/>
    <w:rsid w:val="002127A7"/>
    <w:rsid w:val="00213586"/>
    <w:rsid w:val="00213692"/>
    <w:rsid w:val="00214179"/>
    <w:rsid w:val="002143A8"/>
    <w:rsid w:val="002145D7"/>
    <w:rsid w:val="00214885"/>
    <w:rsid w:val="0021490A"/>
    <w:rsid w:val="0021497E"/>
    <w:rsid w:val="002152BC"/>
    <w:rsid w:val="002154F3"/>
    <w:rsid w:val="00215609"/>
    <w:rsid w:val="00215842"/>
    <w:rsid w:val="0021590A"/>
    <w:rsid w:val="0021640E"/>
    <w:rsid w:val="00216802"/>
    <w:rsid w:val="002201B1"/>
    <w:rsid w:val="002202EC"/>
    <w:rsid w:val="00220650"/>
    <w:rsid w:val="002206A6"/>
    <w:rsid w:val="00220E67"/>
    <w:rsid w:val="0022150A"/>
    <w:rsid w:val="002219B8"/>
    <w:rsid w:val="00221D18"/>
    <w:rsid w:val="00222341"/>
    <w:rsid w:val="00222EB9"/>
    <w:rsid w:val="0022308B"/>
    <w:rsid w:val="00223998"/>
    <w:rsid w:val="00223BE9"/>
    <w:rsid w:val="002240D4"/>
    <w:rsid w:val="00224A62"/>
    <w:rsid w:val="00224D82"/>
    <w:rsid w:val="00224FA3"/>
    <w:rsid w:val="00225715"/>
    <w:rsid w:val="00225908"/>
    <w:rsid w:val="00225C49"/>
    <w:rsid w:val="00225E55"/>
    <w:rsid w:val="0022650D"/>
    <w:rsid w:val="00226C63"/>
    <w:rsid w:val="0022709F"/>
    <w:rsid w:val="0022740D"/>
    <w:rsid w:val="00227EEF"/>
    <w:rsid w:val="00230801"/>
    <w:rsid w:val="00230BB2"/>
    <w:rsid w:val="0023159E"/>
    <w:rsid w:val="00232289"/>
    <w:rsid w:val="002323C4"/>
    <w:rsid w:val="00232B11"/>
    <w:rsid w:val="00232B8A"/>
    <w:rsid w:val="00233A9A"/>
    <w:rsid w:val="00233DDC"/>
    <w:rsid w:val="0023403E"/>
    <w:rsid w:val="0023404B"/>
    <w:rsid w:val="0023463C"/>
    <w:rsid w:val="0023465F"/>
    <w:rsid w:val="00234CBD"/>
    <w:rsid w:val="00234E01"/>
    <w:rsid w:val="00234FA3"/>
    <w:rsid w:val="002352BE"/>
    <w:rsid w:val="002359B1"/>
    <w:rsid w:val="00235C33"/>
    <w:rsid w:val="002362E4"/>
    <w:rsid w:val="00236638"/>
    <w:rsid w:val="002368BF"/>
    <w:rsid w:val="002368DC"/>
    <w:rsid w:val="002369CB"/>
    <w:rsid w:val="00236B09"/>
    <w:rsid w:val="002370BC"/>
    <w:rsid w:val="00237169"/>
    <w:rsid w:val="00237613"/>
    <w:rsid w:val="002377F6"/>
    <w:rsid w:val="002379E5"/>
    <w:rsid w:val="00237B98"/>
    <w:rsid w:val="00237C21"/>
    <w:rsid w:val="00237DF6"/>
    <w:rsid w:val="002401BD"/>
    <w:rsid w:val="002402FA"/>
    <w:rsid w:val="00240B15"/>
    <w:rsid w:val="00240B91"/>
    <w:rsid w:val="00241368"/>
    <w:rsid w:val="002415AB"/>
    <w:rsid w:val="00241834"/>
    <w:rsid w:val="00241FC4"/>
    <w:rsid w:val="00242A55"/>
    <w:rsid w:val="00243BDD"/>
    <w:rsid w:val="00243EEC"/>
    <w:rsid w:val="00244020"/>
    <w:rsid w:val="002442D1"/>
    <w:rsid w:val="00245BBF"/>
    <w:rsid w:val="002461DF"/>
    <w:rsid w:val="00246364"/>
    <w:rsid w:val="00246B0E"/>
    <w:rsid w:val="00246F26"/>
    <w:rsid w:val="00247620"/>
    <w:rsid w:val="00247AD4"/>
    <w:rsid w:val="0025085E"/>
    <w:rsid w:val="002508EF"/>
    <w:rsid w:val="002511EE"/>
    <w:rsid w:val="00251433"/>
    <w:rsid w:val="00251675"/>
    <w:rsid w:val="0025170E"/>
    <w:rsid w:val="00251DF0"/>
    <w:rsid w:val="002523CC"/>
    <w:rsid w:val="00252523"/>
    <w:rsid w:val="00252B4B"/>
    <w:rsid w:val="00253502"/>
    <w:rsid w:val="002535CE"/>
    <w:rsid w:val="0025374A"/>
    <w:rsid w:val="00253A8C"/>
    <w:rsid w:val="00253ECF"/>
    <w:rsid w:val="00253EE1"/>
    <w:rsid w:val="00253F9A"/>
    <w:rsid w:val="002542E5"/>
    <w:rsid w:val="0025482B"/>
    <w:rsid w:val="00254BF1"/>
    <w:rsid w:val="00254FDD"/>
    <w:rsid w:val="00255269"/>
    <w:rsid w:val="00255B22"/>
    <w:rsid w:val="00255FF8"/>
    <w:rsid w:val="002564D2"/>
    <w:rsid w:val="002564FB"/>
    <w:rsid w:val="00257167"/>
    <w:rsid w:val="0025781A"/>
    <w:rsid w:val="00257C30"/>
    <w:rsid w:val="00260438"/>
    <w:rsid w:val="00260481"/>
    <w:rsid w:val="002606A0"/>
    <w:rsid w:val="002608AF"/>
    <w:rsid w:val="00260FDC"/>
    <w:rsid w:val="002612BD"/>
    <w:rsid w:val="0026137B"/>
    <w:rsid w:val="00261E06"/>
    <w:rsid w:val="00262385"/>
    <w:rsid w:val="00262B0D"/>
    <w:rsid w:val="00262CCC"/>
    <w:rsid w:val="0026336F"/>
    <w:rsid w:val="00263F8B"/>
    <w:rsid w:val="00264F6D"/>
    <w:rsid w:val="0026515D"/>
    <w:rsid w:val="0026520F"/>
    <w:rsid w:val="00265488"/>
    <w:rsid w:val="002656D3"/>
    <w:rsid w:val="00265717"/>
    <w:rsid w:val="0026624E"/>
    <w:rsid w:val="00266970"/>
    <w:rsid w:val="00267254"/>
    <w:rsid w:val="002674B3"/>
    <w:rsid w:val="00267771"/>
    <w:rsid w:val="00267A42"/>
    <w:rsid w:val="00267B51"/>
    <w:rsid w:val="00270006"/>
    <w:rsid w:val="002706E1"/>
    <w:rsid w:val="00270748"/>
    <w:rsid w:val="002713DA"/>
    <w:rsid w:val="002716DE"/>
    <w:rsid w:val="002716E2"/>
    <w:rsid w:val="00271C38"/>
    <w:rsid w:val="00271DA4"/>
    <w:rsid w:val="00272613"/>
    <w:rsid w:val="002727AF"/>
    <w:rsid w:val="002729D5"/>
    <w:rsid w:val="002730DB"/>
    <w:rsid w:val="002739B8"/>
    <w:rsid w:val="00273B13"/>
    <w:rsid w:val="00273D9E"/>
    <w:rsid w:val="00274110"/>
    <w:rsid w:val="002749F4"/>
    <w:rsid w:val="00274B19"/>
    <w:rsid w:val="00274B6E"/>
    <w:rsid w:val="00274CF0"/>
    <w:rsid w:val="00274E66"/>
    <w:rsid w:val="00274EFD"/>
    <w:rsid w:val="00275703"/>
    <w:rsid w:val="00275CF8"/>
    <w:rsid w:val="00275F19"/>
    <w:rsid w:val="00275F8C"/>
    <w:rsid w:val="0027627F"/>
    <w:rsid w:val="00276BAB"/>
    <w:rsid w:val="00276E6C"/>
    <w:rsid w:val="002774BB"/>
    <w:rsid w:val="00277519"/>
    <w:rsid w:val="002779D3"/>
    <w:rsid w:val="00280AFA"/>
    <w:rsid w:val="00280D67"/>
    <w:rsid w:val="00281F5F"/>
    <w:rsid w:val="002820B8"/>
    <w:rsid w:val="00282276"/>
    <w:rsid w:val="00282495"/>
    <w:rsid w:val="002826C4"/>
    <w:rsid w:val="00282AFD"/>
    <w:rsid w:val="00282DB1"/>
    <w:rsid w:val="00282FFE"/>
    <w:rsid w:val="002835E2"/>
    <w:rsid w:val="002837F4"/>
    <w:rsid w:val="00283C77"/>
    <w:rsid w:val="00284386"/>
    <w:rsid w:val="0028458B"/>
    <w:rsid w:val="002847F1"/>
    <w:rsid w:val="00284AA2"/>
    <w:rsid w:val="00284BAE"/>
    <w:rsid w:val="00284BBD"/>
    <w:rsid w:val="0028506D"/>
    <w:rsid w:val="002852CC"/>
    <w:rsid w:val="002853A5"/>
    <w:rsid w:val="00285417"/>
    <w:rsid w:val="002854F7"/>
    <w:rsid w:val="00285528"/>
    <w:rsid w:val="00285673"/>
    <w:rsid w:val="00285E07"/>
    <w:rsid w:val="00285EBB"/>
    <w:rsid w:val="0028606C"/>
    <w:rsid w:val="00287F6E"/>
    <w:rsid w:val="002904E5"/>
    <w:rsid w:val="0029079D"/>
    <w:rsid w:val="00290AEC"/>
    <w:rsid w:val="00290D55"/>
    <w:rsid w:val="0029124C"/>
    <w:rsid w:val="002928DE"/>
    <w:rsid w:val="00292DC4"/>
    <w:rsid w:val="00293328"/>
    <w:rsid w:val="002934EB"/>
    <w:rsid w:val="002934FB"/>
    <w:rsid w:val="002938C0"/>
    <w:rsid w:val="002940A1"/>
    <w:rsid w:val="00294146"/>
    <w:rsid w:val="00294901"/>
    <w:rsid w:val="00295414"/>
    <w:rsid w:val="002954C9"/>
    <w:rsid w:val="002959FD"/>
    <w:rsid w:val="00295A50"/>
    <w:rsid w:val="0029636E"/>
    <w:rsid w:val="00296B4E"/>
    <w:rsid w:val="00296DB6"/>
    <w:rsid w:val="00296E25"/>
    <w:rsid w:val="00296EDE"/>
    <w:rsid w:val="002972C9"/>
    <w:rsid w:val="0029743A"/>
    <w:rsid w:val="002A0147"/>
    <w:rsid w:val="002A06F7"/>
    <w:rsid w:val="002A08B1"/>
    <w:rsid w:val="002A0D21"/>
    <w:rsid w:val="002A0F66"/>
    <w:rsid w:val="002A1C0E"/>
    <w:rsid w:val="002A1D62"/>
    <w:rsid w:val="002A2285"/>
    <w:rsid w:val="002A27A9"/>
    <w:rsid w:val="002A2910"/>
    <w:rsid w:val="002A2ABA"/>
    <w:rsid w:val="002A2ADE"/>
    <w:rsid w:val="002A35AF"/>
    <w:rsid w:val="002A3773"/>
    <w:rsid w:val="002A3F86"/>
    <w:rsid w:val="002A4067"/>
    <w:rsid w:val="002A482D"/>
    <w:rsid w:val="002A4E45"/>
    <w:rsid w:val="002A4F3B"/>
    <w:rsid w:val="002A50E0"/>
    <w:rsid w:val="002A564E"/>
    <w:rsid w:val="002A5D74"/>
    <w:rsid w:val="002A5E0E"/>
    <w:rsid w:val="002A5F3D"/>
    <w:rsid w:val="002A696D"/>
    <w:rsid w:val="002A6AC3"/>
    <w:rsid w:val="002A6C8D"/>
    <w:rsid w:val="002A7484"/>
    <w:rsid w:val="002A7502"/>
    <w:rsid w:val="002A7943"/>
    <w:rsid w:val="002B00E9"/>
    <w:rsid w:val="002B0287"/>
    <w:rsid w:val="002B0582"/>
    <w:rsid w:val="002B05B1"/>
    <w:rsid w:val="002B0765"/>
    <w:rsid w:val="002B08BE"/>
    <w:rsid w:val="002B08E9"/>
    <w:rsid w:val="002B1420"/>
    <w:rsid w:val="002B17B8"/>
    <w:rsid w:val="002B17DD"/>
    <w:rsid w:val="002B1A27"/>
    <w:rsid w:val="002B1D70"/>
    <w:rsid w:val="002B240A"/>
    <w:rsid w:val="002B24AB"/>
    <w:rsid w:val="002B2862"/>
    <w:rsid w:val="002B2B22"/>
    <w:rsid w:val="002B2F19"/>
    <w:rsid w:val="002B3C63"/>
    <w:rsid w:val="002B3D87"/>
    <w:rsid w:val="002B40A6"/>
    <w:rsid w:val="002B4854"/>
    <w:rsid w:val="002B4DB8"/>
    <w:rsid w:val="002B5F43"/>
    <w:rsid w:val="002B6112"/>
    <w:rsid w:val="002B6420"/>
    <w:rsid w:val="002B64BE"/>
    <w:rsid w:val="002B6539"/>
    <w:rsid w:val="002B68E3"/>
    <w:rsid w:val="002B6997"/>
    <w:rsid w:val="002B6ED1"/>
    <w:rsid w:val="002B706E"/>
    <w:rsid w:val="002B754B"/>
    <w:rsid w:val="002B75F4"/>
    <w:rsid w:val="002B77F2"/>
    <w:rsid w:val="002B7B48"/>
    <w:rsid w:val="002B7DA2"/>
    <w:rsid w:val="002C039A"/>
    <w:rsid w:val="002C03D0"/>
    <w:rsid w:val="002C044C"/>
    <w:rsid w:val="002C055F"/>
    <w:rsid w:val="002C0935"/>
    <w:rsid w:val="002C0C9D"/>
    <w:rsid w:val="002C0CB2"/>
    <w:rsid w:val="002C11CD"/>
    <w:rsid w:val="002C1576"/>
    <w:rsid w:val="002C1A35"/>
    <w:rsid w:val="002C1C07"/>
    <w:rsid w:val="002C2A2E"/>
    <w:rsid w:val="002C2E6D"/>
    <w:rsid w:val="002C3D03"/>
    <w:rsid w:val="002C3DC3"/>
    <w:rsid w:val="002C3EA2"/>
    <w:rsid w:val="002C421F"/>
    <w:rsid w:val="002C423B"/>
    <w:rsid w:val="002C42F8"/>
    <w:rsid w:val="002C4410"/>
    <w:rsid w:val="002C47C8"/>
    <w:rsid w:val="002C51D3"/>
    <w:rsid w:val="002C540D"/>
    <w:rsid w:val="002C559C"/>
    <w:rsid w:val="002C5DB4"/>
    <w:rsid w:val="002C60AD"/>
    <w:rsid w:val="002C65C9"/>
    <w:rsid w:val="002C67C0"/>
    <w:rsid w:val="002C6B29"/>
    <w:rsid w:val="002C7079"/>
    <w:rsid w:val="002C716A"/>
    <w:rsid w:val="002C72F8"/>
    <w:rsid w:val="002C78E1"/>
    <w:rsid w:val="002D08A9"/>
    <w:rsid w:val="002D0983"/>
    <w:rsid w:val="002D0C45"/>
    <w:rsid w:val="002D0C76"/>
    <w:rsid w:val="002D135A"/>
    <w:rsid w:val="002D15CD"/>
    <w:rsid w:val="002D1618"/>
    <w:rsid w:val="002D1675"/>
    <w:rsid w:val="002D1BAB"/>
    <w:rsid w:val="002D1CA3"/>
    <w:rsid w:val="002D22EB"/>
    <w:rsid w:val="002D23A0"/>
    <w:rsid w:val="002D23BF"/>
    <w:rsid w:val="002D3989"/>
    <w:rsid w:val="002D3994"/>
    <w:rsid w:val="002D3B42"/>
    <w:rsid w:val="002D3C08"/>
    <w:rsid w:val="002D3D7C"/>
    <w:rsid w:val="002D4296"/>
    <w:rsid w:val="002D4E66"/>
    <w:rsid w:val="002D5692"/>
    <w:rsid w:val="002D5B61"/>
    <w:rsid w:val="002D5DEA"/>
    <w:rsid w:val="002D5E7C"/>
    <w:rsid w:val="002D63CB"/>
    <w:rsid w:val="002D6434"/>
    <w:rsid w:val="002D6A40"/>
    <w:rsid w:val="002D6B43"/>
    <w:rsid w:val="002D6EF2"/>
    <w:rsid w:val="002D7132"/>
    <w:rsid w:val="002D7285"/>
    <w:rsid w:val="002D7302"/>
    <w:rsid w:val="002D7542"/>
    <w:rsid w:val="002D789D"/>
    <w:rsid w:val="002D78B7"/>
    <w:rsid w:val="002E0124"/>
    <w:rsid w:val="002E0DC9"/>
    <w:rsid w:val="002E1194"/>
    <w:rsid w:val="002E1645"/>
    <w:rsid w:val="002E1B56"/>
    <w:rsid w:val="002E1F5A"/>
    <w:rsid w:val="002E245A"/>
    <w:rsid w:val="002E249D"/>
    <w:rsid w:val="002E27C0"/>
    <w:rsid w:val="002E2AB8"/>
    <w:rsid w:val="002E31A8"/>
    <w:rsid w:val="002E358A"/>
    <w:rsid w:val="002E3A53"/>
    <w:rsid w:val="002E3F66"/>
    <w:rsid w:val="002E4248"/>
    <w:rsid w:val="002E4592"/>
    <w:rsid w:val="002E48DA"/>
    <w:rsid w:val="002E584C"/>
    <w:rsid w:val="002E58B7"/>
    <w:rsid w:val="002E67DA"/>
    <w:rsid w:val="002E6B17"/>
    <w:rsid w:val="002E6B94"/>
    <w:rsid w:val="002E6EA3"/>
    <w:rsid w:val="002E7C45"/>
    <w:rsid w:val="002E7F7D"/>
    <w:rsid w:val="002F0333"/>
    <w:rsid w:val="002F0391"/>
    <w:rsid w:val="002F03D8"/>
    <w:rsid w:val="002F04F8"/>
    <w:rsid w:val="002F076D"/>
    <w:rsid w:val="002F0A09"/>
    <w:rsid w:val="002F0BEF"/>
    <w:rsid w:val="002F0F5D"/>
    <w:rsid w:val="002F1418"/>
    <w:rsid w:val="002F1468"/>
    <w:rsid w:val="002F16FF"/>
    <w:rsid w:val="002F1E72"/>
    <w:rsid w:val="002F2132"/>
    <w:rsid w:val="002F2DF2"/>
    <w:rsid w:val="002F2E12"/>
    <w:rsid w:val="002F2F34"/>
    <w:rsid w:val="002F302A"/>
    <w:rsid w:val="002F3559"/>
    <w:rsid w:val="002F355E"/>
    <w:rsid w:val="002F3ADB"/>
    <w:rsid w:val="002F3C7C"/>
    <w:rsid w:val="002F43EA"/>
    <w:rsid w:val="002F4416"/>
    <w:rsid w:val="002F45D2"/>
    <w:rsid w:val="002F45F4"/>
    <w:rsid w:val="002F479D"/>
    <w:rsid w:val="002F49B5"/>
    <w:rsid w:val="002F4CF5"/>
    <w:rsid w:val="002F4F9F"/>
    <w:rsid w:val="002F50AA"/>
    <w:rsid w:val="002F5269"/>
    <w:rsid w:val="002F539A"/>
    <w:rsid w:val="002F57BF"/>
    <w:rsid w:val="002F5AAA"/>
    <w:rsid w:val="002F64E7"/>
    <w:rsid w:val="002F6C75"/>
    <w:rsid w:val="002F6DF8"/>
    <w:rsid w:val="002F6E2F"/>
    <w:rsid w:val="002F6E6B"/>
    <w:rsid w:val="002F722A"/>
    <w:rsid w:val="002F737C"/>
    <w:rsid w:val="003005C4"/>
    <w:rsid w:val="00300D50"/>
    <w:rsid w:val="00301432"/>
    <w:rsid w:val="00301957"/>
    <w:rsid w:val="003019D7"/>
    <w:rsid w:val="00301AD1"/>
    <w:rsid w:val="00301F77"/>
    <w:rsid w:val="00302286"/>
    <w:rsid w:val="00302426"/>
    <w:rsid w:val="00302628"/>
    <w:rsid w:val="00302691"/>
    <w:rsid w:val="00302E99"/>
    <w:rsid w:val="00302FBD"/>
    <w:rsid w:val="003036D6"/>
    <w:rsid w:val="00303785"/>
    <w:rsid w:val="00303B29"/>
    <w:rsid w:val="003041AF"/>
    <w:rsid w:val="00304684"/>
    <w:rsid w:val="00304878"/>
    <w:rsid w:val="00304DBA"/>
    <w:rsid w:val="00304E58"/>
    <w:rsid w:val="00305074"/>
    <w:rsid w:val="00305371"/>
    <w:rsid w:val="00305FFA"/>
    <w:rsid w:val="00306193"/>
    <w:rsid w:val="00306342"/>
    <w:rsid w:val="00306549"/>
    <w:rsid w:val="00306F27"/>
    <w:rsid w:val="0030737D"/>
    <w:rsid w:val="00307CF2"/>
    <w:rsid w:val="00307DD1"/>
    <w:rsid w:val="00310253"/>
    <w:rsid w:val="00311634"/>
    <w:rsid w:val="00311924"/>
    <w:rsid w:val="00312224"/>
    <w:rsid w:val="00312F0C"/>
    <w:rsid w:val="00313535"/>
    <w:rsid w:val="003139AE"/>
    <w:rsid w:val="00313C36"/>
    <w:rsid w:val="00313E49"/>
    <w:rsid w:val="00314115"/>
    <w:rsid w:val="0031499E"/>
    <w:rsid w:val="00314B5D"/>
    <w:rsid w:val="00314CB4"/>
    <w:rsid w:val="00314D05"/>
    <w:rsid w:val="00314ED8"/>
    <w:rsid w:val="003151BA"/>
    <w:rsid w:val="00315F04"/>
    <w:rsid w:val="003160B2"/>
    <w:rsid w:val="00316A52"/>
    <w:rsid w:val="003171E3"/>
    <w:rsid w:val="00317254"/>
    <w:rsid w:val="0031726D"/>
    <w:rsid w:val="003175E0"/>
    <w:rsid w:val="00317722"/>
    <w:rsid w:val="00317E15"/>
    <w:rsid w:val="003200E1"/>
    <w:rsid w:val="003203B1"/>
    <w:rsid w:val="003213FA"/>
    <w:rsid w:val="003217C7"/>
    <w:rsid w:val="00321A48"/>
    <w:rsid w:val="003225CD"/>
    <w:rsid w:val="0032296D"/>
    <w:rsid w:val="003240AD"/>
    <w:rsid w:val="00324656"/>
    <w:rsid w:val="003247F0"/>
    <w:rsid w:val="00324AAB"/>
    <w:rsid w:val="00324D29"/>
    <w:rsid w:val="00325109"/>
    <w:rsid w:val="00325A0B"/>
    <w:rsid w:val="00325BCD"/>
    <w:rsid w:val="00326117"/>
    <w:rsid w:val="003262C5"/>
    <w:rsid w:val="003264D9"/>
    <w:rsid w:val="003265FB"/>
    <w:rsid w:val="00327859"/>
    <w:rsid w:val="00327F50"/>
    <w:rsid w:val="003300BB"/>
    <w:rsid w:val="0033062C"/>
    <w:rsid w:val="00331479"/>
    <w:rsid w:val="003319AF"/>
    <w:rsid w:val="00332A3A"/>
    <w:rsid w:val="00332A3E"/>
    <w:rsid w:val="00332BA0"/>
    <w:rsid w:val="00332F12"/>
    <w:rsid w:val="0033313F"/>
    <w:rsid w:val="00333CCF"/>
    <w:rsid w:val="0033410C"/>
    <w:rsid w:val="00334632"/>
    <w:rsid w:val="00334828"/>
    <w:rsid w:val="00334918"/>
    <w:rsid w:val="00334D42"/>
    <w:rsid w:val="00334D62"/>
    <w:rsid w:val="00334E3C"/>
    <w:rsid w:val="003358EA"/>
    <w:rsid w:val="00335FB1"/>
    <w:rsid w:val="003360AF"/>
    <w:rsid w:val="00336772"/>
    <w:rsid w:val="00337074"/>
    <w:rsid w:val="00337626"/>
    <w:rsid w:val="003376FF"/>
    <w:rsid w:val="00337E3B"/>
    <w:rsid w:val="00337EFA"/>
    <w:rsid w:val="0034037E"/>
    <w:rsid w:val="003403D1"/>
    <w:rsid w:val="00340584"/>
    <w:rsid w:val="00340A16"/>
    <w:rsid w:val="00340E09"/>
    <w:rsid w:val="003414A7"/>
    <w:rsid w:val="00341BBB"/>
    <w:rsid w:val="0034248F"/>
    <w:rsid w:val="0034343E"/>
    <w:rsid w:val="003438F1"/>
    <w:rsid w:val="0034417A"/>
    <w:rsid w:val="003443DF"/>
    <w:rsid w:val="00344A83"/>
    <w:rsid w:val="003456F4"/>
    <w:rsid w:val="00345911"/>
    <w:rsid w:val="00345AC0"/>
    <w:rsid w:val="0034678F"/>
    <w:rsid w:val="00350332"/>
    <w:rsid w:val="0035046B"/>
    <w:rsid w:val="00350524"/>
    <w:rsid w:val="003507CB"/>
    <w:rsid w:val="0035130A"/>
    <w:rsid w:val="0035188A"/>
    <w:rsid w:val="003523E8"/>
    <w:rsid w:val="00352D61"/>
    <w:rsid w:val="00353244"/>
    <w:rsid w:val="00353279"/>
    <w:rsid w:val="003532E4"/>
    <w:rsid w:val="0035357B"/>
    <w:rsid w:val="00353686"/>
    <w:rsid w:val="00353DFB"/>
    <w:rsid w:val="00353EED"/>
    <w:rsid w:val="00354942"/>
    <w:rsid w:val="00354C16"/>
    <w:rsid w:val="003550E2"/>
    <w:rsid w:val="0035553B"/>
    <w:rsid w:val="003558E4"/>
    <w:rsid w:val="00356160"/>
    <w:rsid w:val="0035616D"/>
    <w:rsid w:val="003564BB"/>
    <w:rsid w:val="00356511"/>
    <w:rsid w:val="003566E3"/>
    <w:rsid w:val="00356903"/>
    <w:rsid w:val="00356D80"/>
    <w:rsid w:val="0035741E"/>
    <w:rsid w:val="00357CDF"/>
    <w:rsid w:val="00357E5F"/>
    <w:rsid w:val="00357F25"/>
    <w:rsid w:val="00360171"/>
    <w:rsid w:val="003601EC"/>
    <w:rsid w:val="003602AC"/>
    <w:rsid w:val="003606C3"/>
    <w:rsid w:val="00360738"/>
    <w:rsid w:val="00360AC3"/>
    <w:rsid w:val="00360C3D"/>
    <w:rsid w:val="00360C84"/>
    <w:rsid w:val="00360F35"/>
    <w:rsid w:val="00360F82"/>
    <w:rsid w:val="0036109C"/>
    <w:rsid w:val="0036139D"/>
    <w:rsid w:val="0036199E"/>
    <w:rsid w:val="00362382"/>
    <w:rsid w:val="00362BF4"/>
    <w:rsid w:val="00363259"/>
    <w:rsid w:val="0036327F"/>
    <w:rsid w:val="00363358"/>
    <w:rsid w:val="00363734"/>
    <w:rsid w:val="003637C8"/>
    <w:rsid w:val="00363B5D"/>
    <w:rsid w:val="00364196"/>
    <w:rsid w:val="00364236"/>
    <w:rsid w:val="00364F73"/>
    <w:rsid w:val="00365162"/>
    <w:rsid w:val="00365D3D"/>
    <w:rsid w:val="00366135"/>
    <w:rsid w:val="0036663D"/>
    <w:rsid w:val="00366A6F"/>
    <w:rsid w:val="00367139"/>
    <w:rsid w:val="00367F8A"/>
    <w:rsid w:val="00370186"/>
    <w:rsid w:val="003708A1"/>
    <w:rsid w:val="003708EB"/>
    <w:rsid w:val="0037091F"/>
    <w:rsid w:val="00370D67"/>
    <w:rsid w:val="0037116D"/>
    <w:rsid w:val="003711D0"/>
    <w:rsid w:val="00371869"/>
    <w:rsid w:val="00371AFB"/>
    <w:rsid w:val="003721C3"/>
    <w:rsid w:val="003725F3"/>
    <w:rsid w:val="00372B17"/>
    <w:rsid w:val="00374B09"/>
    <w:rsid w:val="00374FF7"/>
    <w:rsid w:val="00375080"/>
    <w:rsid w:val="003753C7"/>
    <w:rsid w:val="0037566D"/>
    <w:rsid w:val="00375CCB"/>
    <w:rsid w:val="00375E6D"/>
    <w:rsid w:val="00375F24"/>
    <w:rsid w:val="00376074"/>
    <w:rsid w:val="003761C7"/>
    <w:rsid w:val="003762B7"/>
    <w:rsid w:val="00376CCC"/>
    <w:rsid w:val="00376DE2"/>
    <w:rsid w:val="003777E2"/>
    <w:rsid w:val="00377A86"/>
    <w:rsid w:val="00377CB9"/>
    <w:rsid w:val="00377E1F"/>
    <w:rsid w:val="00380186"/>
    <w:rsid w:val="003803DB"/>
    <w:rsid w:val="00380D28"/>
    <w:rsid w:val="003812C7"/>
    <w:rsid w:val="003812D1"/>
    <w:rsid w:val="00381838"/>
    <w:rsid w:val="00381BB0"/>
    <w:rsid w:val="00381F61"/>
    <w:rsid w:val="00382310"/>
    <w:rsid w:val="00382340"/>
    <w:rsid w:val="00382449"/>
    <w:rsid w:val="003827FD"/>
    <w:rsid w:val="0038310C"/>
    <w:rsid w:val="00383826"/>
    <w:rsid w:val="0038426F"/>
    <w:rsid w:val="003849C2"/>
    <w:rsid w:val="00385152"/>
    <w:rsid w:val="003852BD"/>
    <w:rsid w:val="00385319"/>
    <w:rsid w:val="00385E47"/>
    <w:rsid w:val="00386117"/>
    <w:rsid w:val="00386147"/>
    <w:rsid w:val="0038680B"/>
    <w:rsid w:val="0038691E"/>
    <w:rsid w:val="00387035"/>
    <w:rsid w:val="003870C7"/>
    <w:rsid w:val="00387515"/>
    <w:rsid w:val="00387533"/>
    <w:rsid w:val="0038760C"/>
    <w:rsid w:val="003877EE"/>
    <w:rsid w:val="00387B07"/>
    <w:rsid w:val="00387DC7"/>
    <w:rsid w:val="00387E01"/>
    <w:rsid w:val="00387FDD"/>
    <w:rsid w:val="0039006E"/>
    <w:rsid w:val="00390071"/>
    <w:rsid w:val="00391064"/>
    <w:rsid w:val="00391080"/>
    <w:rsid w:val="0039109A"/>
    <w:rsid w:val="003915CB"/>
    <w:rsid w:val="003916ED"/>
    <w:rsid w:val="003917BA"/>
    <w:rsid w:val="00392ECA"/>
    <w:rsid w:val="0039303C"/>
    <w:rsid w:val="00393DBB"/>
    <w:rsid w:val="0039403B"/>
    <w:rsid w:val="0039452E"/>
    <w:rsid w:val="00394738"/>
    <w:rsid w:val="00395181"/>
    <w:rsid w:val="003954E1"/>
    <w:rsid w:val="00395A68"/>
    <w:rsid w:val="00395E5B"/>
    <w:rsid w:val="003960C6"/>
    <w:rsid w:val="00396168"/>
    <w:rsid w:val="00396181"/>
    <w:rsid w:val="00396A07"/>
    <w:rsid w:val="00396B1A"/>
    <w:rsid w:val="00397431"/>
    <w:rsid w:val="00397444"/>
    <w:rsid w:val="00397586"/>
    <w:rsid w:val="00397682"/>
    <w:rsid w:val="003A0183"/>
    <w:rsid w:val="003A01DB"/>
    <w:rsid w:val="003A025A"/>
    <w:rsid w:val="003A044F"/>
    <w:rsid w:val="003A04E7"/>
    <w:rsid w:val="003A0678"/>
    <w:rsid w:val="003A245B"/>
    <w:rsid w:val="003A2609"/>
    <w:rsid w:val="003A2879"/>
    <w:rsid w:val="003A333B"/>
    <w:rsid w:val="003A38FF"/>
    <w:rsid w:val="003A39D1"/>
    <w:rsid w:val="003A3F8C"/>
    <w:rsid w:val="003A41C6"/>
    <w:rsid w:val="003A4266"/>
    <w:rsid w:val="003A4483"/>
    <w:rsid w:val="003A4690"/>
    <w:rsid w:val="003A472A"/>
    <w:rsid w:val="003A47E9"/>
    <w:rsid w:val="003A4834"/>
    <w:rsid w:val="003A4F1E"/>
    <w:rsid w:val="003A53BE"/>
    <w:rsid w:val="003A5677"/>
    <w:rsid w:val="003A5E1C"/>
    <w:rsid w:val="003A6150"/>
    <w:rsid w:val="003A6300"/>
    <w:rsid w:val="003A64DF"/>
    <w:rsid w:val="003A6DF6"/>
    <w:rsid w:val="003A763C"/>
    <w:rsid w:val="003A7F05"/>
    <w:rsid w:val="003B04C7"/>
    <w:rsid w:val="003B0847"/>
    <w:rsid w:val="003B0C09"/>
    <w:rsid w:val="003B0DF7"/>
    <w:rsid w:val="003B150D"/>
    <w:rsid w:val="003B1514"/>
    <w:rsid w:val="003B1649"/>
    <w:rsid w:val="003B1BEF"/>
    <w:rsid w:val="003B1C7F"/>
    <w:rsid w:val="003B1D85"/>
    <w:rsid w:val="003B248D"/>
    <w:rsid w:val="003B2643"/>
    <w:rsid w:val="003B2D93"/>
    <w:rsid w:val="003B33B3"/>
    <w:rsid w:val="003B3627"/>
    <w:rsid w:val="003B3967"/>
    <w:rsid w:val="003B3A3E"/>
    <w:rsid w:val="003B4304"/>
    <w:rsid w:val="003B4848"/>
    <w:rsid w:val="003B489E"/>
    <w:rsid w:val="003B492A"/>
    <w:rsid w:val="003B5540"/>
    <w:rsid w:val="003B554E"/>
    <w:rsid w:val="003B5568"/>
    <w:rsid w:val="003B5908"/>
    <w:rsid w:val="003B638E"/>
    <w:rsid w:val="003B68A1"/>
    <w:rsid w:val="003B69D0"/>
    <w:rsid w:val="003B6A61"/>
    <w:rsid w:val="003B76F5"/>
    <w:rsid w:val="003B7931"/>
    <w:rsid w:val="003C0737"/>
    <w:rsid w:val="003C14C7"/>
    <w:rsid w:val="003C184A"/>
    <w:rsid w:val="003C193E"/>
    <w:rsid w:val="003C1C84"/>
    <w:rsid w:val="003C1D28"/>
    <w:rsid w:val="003C219C"/>
    <w:rsid w:val="003C240B"/>
    <w:rsid w:val="003C2694"/>
    <w:rsid w:val="003C278B"/>
    <w:rsid w:val="003C2A21"/>
    <w:rsid w:val="003C33A9"/>
    <w:rsid w:val="003C381B"/>
    <w:rsid w:val="003C3DB4"/>
    <w:rsid w:val="003C4798"/>
    <w:rsid w:val="003C4AA0"/>
    <w:rsid w:val="003C502E"/>
    <w:rsid w:val="003C5805"/>
    <w:rsid w:val="003C580C"/>
    <w:rsid w:val="003C59C1"/>
    <w:rsid w:val="003C5D2E"/>
    <w:rsid w:val="003C618E"/>
    <w:rsid w:val="003C67B1"/>
    <w:rsid w:val="003C6C3D"/>
    <w:rsid w:val="003C6FAE"/>
    <w:rsid w:val="003C757E"/>
    <w:rsid w:val="003C78BE"/>
    <w:rsid w:val="003C7E05"/>
    <w:rsid w:val="003C7F59"/>
    <w:rsid w:val="003C7F9E"/>
    <w:rsid w:val="003C7FED"/>
    <w:rsid w:val="003D0B7D"/>
    <w:rsid w:val="003D0DF4"/>
    <w:rsid w:val="003D117D"/>
    <w:rsid w:val="003D1328"/>
    <w:rsid w:val="003D16E3"/>
    <w:rsid w:val="003D2DE9"/>
    <w:rsid w:val="003D3758"/>
    <w:rsid w:val="003D3901"/>
    <w:rsid w:val="003D3F0D"/>
    <w:rsid w:val="003D47CA"/>
    <w:rsid w:val="003D527C"/>
    <w:rsid w:val="003D5FAC"/>
    <w:rsid w:val="003D6035"/>
    <w:rsid w:val="003D6247"/>
    <w:rsid w:val="003D6301"/>
    <w:rsid w:val="003D69A8"/>
    <w:rsid w:val="003D717F"/>
    <w:rsid w:val="003D75D1"/>
    <w:rsid w:val="003D7742"/>
    <w:rsid w:val="003E0AD9"/>
    <w:rsid w:val="003E0DFC"/>
    <w:rsid w:val="003E11A7"/>
    <w:rsid w:val="003E1E30"/>
    <w:rsid w:val="003E1F4C"/>
    <w:rsid w:val="003E2218"/>
    <w:rsid w:val="003E2C6B"/>
    <w:rsid w:val="003E2E32"/>
    <w:rsid w:val="003E36E6"/>
    <w:rsid w:val="003E381A"/>
    <w:rsid w:val="003E39A0"/>
    <w:rsid w:val="003E3B38"/>
    <w:rsid w:val="003E40A7"/>
    <w:rsid w:val="003E4335"/>
    <w:rsid w:val="003E502B"/>
    <w:rsid w:val="003E505D"/>
    <w:rsid w:val="003E56E3"/>
    <w:rsid w:val="003E5944"/>
    <w:rsid w:val="003E5AC1"/>
    <w:rsid w:val="003E6540"/>
    <w:rsid w:val="003E68FE"/>
    <w:rsid w:val="003E6A70"/>
    <w:rsid w:val="003E7879"/>
    <w:rsid w:val="003F0152"/>
    <w:rsid w:val="003F0197"/>
    <w:rsid w:val="003F0522"/>
    <w:rsid w:val="003F0D8B"/>
    <w:rsid w:val="003F0EE1"/>
    <w:rsid w:val="003F16CA"/>
    <w:rsid w:val="003F24F9"/>
    <w:rsid w:val="003F2AEA"/>
    <w:rsid w:val="003F2F98"/>
    <w:rsid w:val="003F4A14"/>
    <w:rsid w:val="003F507C"/>
    <w:rsid w:val="003F54EB"/>
    <w:rsid w:val="003F5736"/>
    <w:rsid w:val="003F5801"/>
    <w:rsid w:val="003F5A09"/>
    <w:rsid w:val="003F5ECB"/>
    <w:rsid w:val="003F605A"/>
    <w:rsid w:val="003F61CC"/>
    <w:rsid w:val="003F6280"/>
    <w:rsid w:val="003F6AAF"/>
    <w:rsid w:val="003F7263"/>
    <w:rsid w:val="003F72B2"/>
    <w:rsid w:val="003F77A8"/>
    <w:rsid w:val="004000B3"/>
    <w:rsid w:val="0040028A"/>
    <w:rsid w:val="004002EB"/>
    <w:rsid w:val="0040058A"/>
    <w:rsid w:val="0040064C"/>
    <w:rsid w:val="00400FD5"/>
    <w:rsid w:val="00401283"/>
    <w:rsid w:val="0040152C"/>
    <w:rsid w:val="00401AB3"/>
    <w:rsid w:val="0040204F"/>
    <w:rsid w:val="00402146"/>
    <w:rsid w:val="00402355"/>
    <w:rsid w:val="004024B2"/>
    <w:rsid w:val="00402764"/>
    <w:rsid w:val="004027B1"/>
    <w:rsid w:val="00402A17"/>
    <w:rsid w:val="0040323F"/>
    <w:rsid w:val="00403C95"/>
    <w:rsid w:val="00404375"/>
    <w:rsid w:val="004049B9"/>
    <w:rsid w:val="00404E43"/>
    <w:rsid w:val="0040516A"/>
    <w:rsid w:val="0040557B"/>
    <w:rsid w:val="00405634"/>
    <w:rsid w:val="00406106"/>
    <w:rsid w:val="004068D8"/>
    <w:rsid w:val="00407069"/>
    <w:rsid w:val="004073AE"/>
    <w:rsid w:val="00407452"/>
    <w:rsid w:val="004075DA"/>
    <w:rsid w:val="00407A34"/>
    <w:rsid w:val="00407F3D"/>
    <w:rsid w:val="00410181"/>
    <w:rsid w:val="0041094C"/>
    <w:rsid w:val="00410BC6"/>
    <w:rsid w:val="0041102A"/>
    <w:rsid w:val="00411077"/>
    <w:rsid w:val="004119A9"/>
    <w:rsid w:val="00411AFD"/>
    <w:rsid w:val="00412156"/>
    <w:rsid w:val="00412261"/>
    <w:rsid w:val="004122DF"/>
    <w:rsid w:val="00412A54"/>
    <w:rsid w:val="00412A73"/>
    <w:rsid w:val="00412BB3"/>
    <w:rsid w:val="00412E28"/>
    <w:rsid w:val="00413057"/>
    <w:rsid w:val="004140F1"/>
    <w:rsid w:val="0041484E"/>
    <w:rsid w:val="00414F89"/>
    <w:rsid w:val="0041533D"/>
    <w:rsid w:val="00415521"/>
    <w:rsid w:val="00415598"/>
    <w:rsid w:val="0041565A"/>
    <w:rsid w:val="00415BD2"/>
    <w:rsid w:val="00416136"/>
    <w:rsid w:val="00416735"/>
    <w:rsid w:val="00416CAF"/>
    <w:rsid w:val="0041742A"/>
    <w:rsid w:val="004174FD"/>
    <w:rsid w:val="004174FF"/>
    <w:rsid w:val="00417595"/>
    <w:rsid w:val="0041789C"/>
    <w:rsid w:val="0042174A"/>
    <w:rsid w:val="00421AC1"/>
    <w:rsid w:val="00421D6E"/>
    <w:rsid w:val="00421ECB"/>
    <w:rsid w:val="00422369"/>
    <w:rsid w:val="00422A5C"/>
    <w:rsid w:val="00422C76"/>
    <w:rsid w:val="00422CF6"/>
    <w:rsid w:val="00423728"/>
    <w:rsid w:val="00423DE7"/>
    <w:rsid w:val="004248F9"/>
    <w:rsid w:val="00424B5A"/>
    <w:rsid w:val="00425144"/>
    <w:rsid w:val="00425373"/>
    <w:rsid w:val="0042546A"/>
    <w:rsid w:val="00425635"/>
    <w:rsid w:val="0042566A"/>
    <w:rsid w:val="00425821"/>
    <w:rsid w:val="00425A87"/>
    <w:rsid w:val="004261B0"/>
    <w:rsid w:val="00426441"/>
    <w:rsid w:val="00426C65"/>
    <w:rsid w:val="00426D7D"/>
    <w:rsid w:val="00426E01"/>
    <w:rsid w:val="004270BB"/>
    <w:rsid w:val="00427BDB"/>
    <w:rsid w:val="00427CEC"/>
    <w:rsid w:val="004300B7"/>
    <w:rsid w:val="004305F6"/>
    <w:rsid w:val="00430BBD"/>
    <w:rsid w:val="00430C5B"/>
    <w:rsid w:val="00430E41"/>
    <w:rsid w:val="00430F0A"/>
    <w:rsid w:val="00431067"/>
    <w:rsid w:val="00431454"/>
    <w:rsid w:val="004317C7"/>
    <w:rsid w:val="0043185B"/>
    <w:rsid w:val="00431F13"/>
    <w:rsid w:val="00432230"/>
    <w:rsid w:val="00432573"/>
    <w:rsid w:val="004328D2"/>
    <w:rsid w:val="00432987"/>
    <w:rsid w:val="004330EB"/>
    <w:rsid w:val="00433712"/>
    <w:rsid w:val="0043416B"/>
    <w:rsid w:val="0043457F"/>
    <w:rsid w:val="00434D69"/>
    <w:rsid w:val="004351AC"/>
    <w:rsid w:val="0043540A"/>
    <w:rsid w:val="00435A34"/>
    <w:rsid w:val="00435ACD"/>
    <w:rsid w:val="00435BE2"/>
    <w:rsid w:val="00435C8E"/>
    <w:rsid w:val="004365BD"/>
    <w:rsid w:val="00437403"/>
    <w:rsid w:val="00437438"/>
    <w:rsid w:val="0044045E"/>
    <w:rsid w:val="0044058B"/>
    <w:rsid w:val="004405C7"/>
    <w:rsid w:val="00440750"/>
    <w:rsid w:val="00440B61"/>
    <w:rsid w:val="00440C2B"/>
    <w:rsid w:val="00441067"/>
    <w:rsid w:val="0044141F"/>
    <w:rsid w:val="004414CB"/>
    <w:rsid w:val="00442437"/>
    <w:rsid w:val="004426A9"/>
    <w:rsid w:val="004436F7"/>
    <w:rsid w:val="00443736"/>
    <w:rsid w:val="00443A1E"/>
    <w:rsid w:val="00443A64"/>
    <w:rsid w:val="00443F3B"/>
    <w:rsid w:val="0044403C"/>
    <w:rsid w:val="00444246"/>
    <w:rsid w:val="00444717"/>
    <w:rsid w:val="004449F5"/>
    <w:rsid w:val="00444EB3"/>
    <w:rsid w:val="00444EC0"/>
    <w:rsid w:val="004457F5"/>
    <w:rsid w:val="00445AD3"/>
    <w:rsid w:val="00446158"/>
    <w:rsid w:val="00446813"/>
    <w:rsid w:val="00446EA1"/>
    <w:rsid w:val="004474B3"/>
    <w:rsid w:val="00447D2E"/>
    <w:rsid w:val="00450176"/>
    <w:rsid w:val="0045051B"/>
    <w:rsid w:val="004511B8"/>
    <w:rsid w:val="00451277"/>
    <w:rsid w:val="004515E1"/>
    <w:rsid w:val="004522E5"/>
    <w:rsid w:val="004525EE"/>
    <w:rsid w:val="004527E5"/>
    <w:rsid w:val="0045290E"/>
    <w:rsid w:val="00452B77"/>
    <w:rsid w:val="00452D64"/>
    <w:rsid w:val="00452E79"/>
    <w:rsid w:val="004534D3"/>
    <w:rsid w:val="00453EDD"/>
    <w:rsid w:val="0045431B"/>
    <w:rsid w:val="00455117"/>
    <w:rsid w:val="0045514D"/>
    <w:rsid w:val="00455192"/>
    <w:rsid w:val="00456765"/>
    <w:rsid w:val="00456A18"/>
    <w:rsid w:val="00456C25"/>
    <w:rsid w:val="00456C27"/>
    <w:rsid w:val="00456E8A"/>
    <w:rsid w:val="00457263"/>
    <w:rsid w:val="00457409"/>
    <w:rsid w:val="004578A6"/>
    <w:rsid w:val="00460DA3"/>
    <w:rsid w:val="00460EF3"/>
    <w:rsid w:val="00460F22"/>
    <w:rsid w:val="00460F86"/>
    <w:rsid w:val="00461041"/>
    <w:rsid w:val="00461523"/>
    <w:rsid w:val="00461630"/>
    <w:rsid w:val="004618F0"/>
    <w:rsid w:val="0046196F"/>
    <w:rsid w:val="00461ED6"/>
    <w:rsid w:val="004625B1"/>
    <w:rsid w:val="004636E2"/>
    <w:rsid w:val="0046387F"/>
    <w:rsid w:val="004641CF"/>
    <w:rsid w:val="00464D62"/>
    <w:rsid w:val="00465A0C"/>
    <w:rsid w:val="00465CBC"/>
    <w:rsid w:val="00465E0D"/>
    <w:rsid w:val="0046607D"/>
    <w:rsid w:val="0046614C"/>
    <w:rsid w:val="004667FB"/>
    <w:rsid w:val="004668D4"/>
    <w:rsid w:val="00466B5C"/>
    <w:rsid w:val="004672A9"/>
    <w:rsid w:val="00467684"/>
    <w:rsid w:val="004677D2"/>
    <w:rsid w:val="00467854"/>
    <w:rsid w:val="00467EF9"/>
    <w:rsid w:val="0047007D"/>
    <w:rsid w:val="00470217"/>
    <w:rsid w:val="00470EFB"/>
    <w:rsid w:val="0047156F"/>
    <w:rsid w:val="00471B09"/>
    <w:rsid w:val="00471CA3"/>
    <w:rsid w:val="004722B2"/>
    <w:rsid w:val="00472776"/>
    <w:rsid w:val="00472C1E"/>
    <w:rsid w:val="00472D6A"/>
    <w:rsid w:val="00472F7E"/>
    <w:rsid w:val="00473263"/>
    <w:rsid w:val="00473819"/>
    <w:rsid w:val="00473E5F"/>
    <w:rsid w:val="0047401B"/>
    <w:rsid w:val="00474870"/>
    <w:rsid w:val="004748ED"/>
    <w:rsid w:val="004749CA"/>
    <w:rsid w:val="00474A0C"/>
    <w:rsid w:val="00474CDA"/>
    <w:rsid w:val="00474F8C"/>
    <w:rsid w:val="0047522C"/>
    <w:rsid w:val="004755D1"/>
    <w:rsid w:val="00475737"/>
    <w:rsid w:val="004757A1"/>
    <w:rsid w:val="00475BD0"/>
    <w:rsid w:val="004760AE"/>
    <w:rsid w:val="004760D4"/>
    <w:rsid w:val="004765D0"/>
    <w:rsid w:val="00476A59"/>
    <w:rsid w:val="00476C65"/>
    <w:rsid w:val="00476D90"/>
    <w:rsid w:val="0047736C"/>
    <w:rsid w:val="004775E7"/>
    <w:rsid w:val="00477773"/>
    <w:rsid w:val="00477C43"/>
    <w:rsid w:val="00477C4B"/>
    <w:rsid w:val="00477D49"/>
    <w:rsid w:val="00480055"/>
    <w:rsid w:val="0048032F"/>
    <w:rsid w:val="004816FF"/>
    <w:rsid w:val="0048198A"/>
    <w:rsid w:val="00481A4B"/>
    <w:rsid w:val="0048292A"/>
    <w:rsid w:val="0048378C"/>
    <w:rsid w:val="004837B9"/>
    <w:rsid w:val="00483820"/>
    <w:rsid w:val="00483B23"/>
    <w:rsid w:val="00483ED8"/>
    <w:rsid w:val="0048419F"/>
    <w:rsid w:val="00484273"/>
    <w:rsid w:val="004848C8"/>
    <w:rsid w:val="00485514"/>
    <w:rsid w:val="00485C75"/>
    <w:rsid w:val="00485E18"/>
    <w:rsid w:val="0048622B"/>
    <w:rsid w:val="004867DD"/>
    <w:rsid w:val="004873A8"/>
    <w:rsid w:val="0048746E"/>
    <w:rsid w:val="00487BC3"/>
    <w:rsid w:val="00487C22"/>
    <w:rsid w:val="004905EB"/>
    <w:rsid w:val="00490907"/>
    <w:rsid w:val="00490B9A"/>
    <w:rsid w:val="00491008"/>
    <w:rsid w:val="00491551"/>
    <w:rsid w:val="00492F40"/>
    <w:rsid w:val="004934CF"/>
    <w:rsid w:val="00493EA0"/>
    <w:rsid w:val="0049416E"/>
    <w:rsid w:val="00494247"/>
    <w:rsid w:val="00494497"/>
    <w:rsid w:val="004947C1"/>
    <w:rsid w:val="00494980"/>
    <w:rsid w:val="00494E45"/>
    <w:rsid w:val="004953D0"/>
    <w:rsid w:val="00495593"/>
    <w:rsid w:val="00495A89"/>
    <w:rsid w:val="00496365"/>
    <w:rsid w:val="004963D6"/>
    <w:rsid w:val="004968A9"/>
    <w:rsid w:val="00496933"/>
    <w:rsid w:val="00496961"/>
    <w:rsid w:val="00496D4F"/>
    <w:rsid w:val="00496E1E"/>
    <w:rsid w:val="0049753A"/>
    <w:rsid w:val="0049784D"/>
    <w:rsid w:val="00497AB2"/>
    <w:rsid w:val="00497DAA"/>
    <w:rsid w:val="00497F33"/>
    <w:rsid w:val="004A004A"/>
    <w:rsid w:val="004A04DB"/>
    <w:rsid w:val="004A0BA2"/>
    <w:rsid w:val="004A0C4B"/>
    <w:rsid w:val="004A0E28"/>
    <w:rsid w:val="004A0F0C"/>
    <w:rsid w:val="004A1651"/>
    <w:rsid w:val="004A167D"/>
    <w:rsid w:val="004A1B69"/>
    <w:rsid w:val="004A24D2"/>
    <w:rsid w:val="004A2BD3"/>
    <w:rsid w:val="004A2E0F"/>
    <w:rsid w:val="004A3004"/>
    <w:rsid w:val="004A31BE"/>
    <w:rsid w:val="004A3770"/>
    <w:rsid w:val="004A38A3"/>
    <w:rsid w:val="004A3A6C"/>
    <w:rsid w:val="004A3CDA"/>
    <w:rsid w:val="004A3E59"/>
    <w:rsid w:val="004A4921"/>
    <w:rsid w:val="004A496F"/>
    <w:rsid w:val="004A4E05"/>
    <w:rsid w:val="004A5237"/>
    <w:rsid w:val="004A5503"/>
    <w:rsid w:val="004A5900"/>
    <w:rsid w:val="004A5F7D"/>
    <w:rsid w:val="004A6517"/>
    <w:rsid w:val="004A6AA9"/>
    <w:rsid w:val="004A78BA"/>
    <w:rsid w:val="004AA983"/>
    <w:rsid w:val="004B09E1"/>
    <w:rsid w:val="004B0F76"/>
    <w:rsid w:val="004B14FF"/>
    <w:rsid w:val="004B17B0"/>
    <w:rsid w:val="004B17B5"/>
    <w:rsid w:val="004B25BC"/>
    <w:rsid w:val="004B2699"/>
    <w:rsid w:val="004B27A8"/>
    <w:rsid w:val="004B30F4"/>
    <w:rsid w:val="004B3280"/>
    <w:rsid w:val="004B32C9"/>
    <w:rsid w:val="004B3466"/>
    <w:rsid w:val="004B352D"/>
    <w:rsid w:val="004B36E8"/>
    <w:rsid w:val="004B4266"/>
    <w:rsid w:val="004B4369"/>
    <w:rsid w:val="004B4AAF"/>
    <w:rsid w:val="004B514A"/>
    <w:rsid w:val="004B5191"/>
    <w:rsid w:val="004B5282"/>
    <w:rsid w:val="004B52BE"/>
    <w:rsid w:val="004B5557"/>
    <w:rsid w:val="004B5646"/>
    <w:rsid w:val="004B5AD5"/>
    <w:rsid w:val="004B60C9"/>
    <w:rsid w:val="004B621E"/>
    <w:rsid w:val="004B6739"/>
    <w:rsid w:val="004B67BB"/>
    <w:rsid w:val="004B6A98"/>
    <w:rsid w:val="004B6D52"/>
    <w:rsid w:val="004B6FC1"/>
    <w:rsid w:val="004B721F"/>
    <w:rsid w:val="004B7553"/>
    <w:rsid w:val="004B7EFC"/>
    <w:rsid w:val="004C004D"/>
    <w:rsid w:val="004C0771"/>
    <w:rsid w:val="004C0A95"/>
    <w:rsid w:val="004C0C87"/>
    <w:rsid w:val="004C2064"/>
    <w:rsid w:val="004C266E"/>
    <w:rsid w:val="004C2712"/>
    <w:rsid w:val="004C29BF"/>
    <w:rsid w:val="004C2BCE"/>
    <w:rsid w:val="004C2C01"/>
    <w:rsid w:val="004C32B0"/>
    <w:rsid w:val="004C38AB"/>
    <w:rsid w:val="004C3F75"/>
    <w:rsid w:val="004C4209"/>
    <w:rsid w:val="004C433A"/>
    <w:rsid w:val="004C447E"/>
    <w:rsid w:val="004C44FC"/>
    <w:rsid w:val="004C4BE1"/>
    <w:rsid w:val="004C4C34"/>
    <w:rsid w:val="004C4D3B"/>
    <w:rsid w:val="004C5910"/>
    <w:rsid w:val="004C5D4E"/>
    <w:rsid w:val="004C5E10"/>
    <w:rsid w:val="004C66C4"/>
    <w:rsid w:val="004C66CA"/>
    <w:rsid w:val="004C6794"/>
    <w:rsid w:val="004C6D4E"/>
    <w:rsid w:val="004C6D5A"/>
    <w:rsid w:val="004C73D1"/>
    <w:rsid w:val="004C75BD"/>
    <w:rsid w:val="004C7746"/>
    <w:rsid w:val="004C7E14"/>
    <w:rsid w:val="004D0217"/>
    <w:rsid w:val="004D02E7"/>
    <w:rsid w:val="004D0E0B"/>
    <w:rsid w:val="004D0E0E"/>
    <w:rsid w:val="004D0E70"/>
    <w:rsid w:val="004D1104"/>
    <w:rsid w:val="004D15AA"/>
    <w:rsid w:val="004D1DC3"/>
    <w:rsid w:val="004D2544"/>
    <w:rsid w:val="004D27B5"/>
    <w:rsid w:val="004D3409"/>
    <w:rsid w:val="004D350E"/>
    <w:rsid w:val="004D3CCD"/>
    <w:rsid w:val="004D3EFE"/>
    <w:rsid w:val="004D41FF"/>
    <w:rsid w:val="004D440C"/>
    <w:rsid w:val="004D4488"/>
    <w:rsid w:val="004D4BCE"/>
    <w:rsid w:val="004D590C"/>
    <w:rsid w:val="004D6B2C"/>
    <w:rsid w:val="004D6CE8"/>
    <w:rsid w:val="004D6FB0"/>
    <w:rsid w:val="004D70D8"/>
    <w:rsid w:val="004D7281"/>
    <w:rsid w:val="004D7492"/>
    <w:rsid w:val="004D7651"/>
    <w:rsid w:val="004D7A40"/>
    <w:rsid w:val="004D7B7E"/>
    <w:rsid w:val="004D7CCB"/>
    <w:rsid w:val="004D7DD7"/>
    <w:rsid w:val="004D7E7B"/>
    <w:rsid w:val="004E0886"/>
    <w:rsid w:val="004E0BB7"/>
    <w:rsid w:val="004E0D52"/>
    <w:rsid w:val="004E1063"/>
    <w:rsid w:val="004E13A6"/>
    <w:rsid w:val="004E1772"/>
    <w:rsid w:val="004E17F3"/>
    <w:rsid w:val="004E1BA1"/>
    <w:rsid w:val="004E2228"/>
    <w:rsid w:val="004E268B"/>
    <w:rsid w:val="004E268F"/>
    <w:rsid w:val="004E27CB"/>
    <w:rsid w:val="004E28D5"/>
    <w:rsid w:val="004E29D5"/>
    <w:rsid w:val="004E2BF8"/>
    <w:rsid w:val="004E3EFB"/>
    <w:rsid w:val="004E430C"/>
    <w:rsid w:val="004E4731"/>
    <w:rsid w:val="004E47C8"/>
    <w:rsid w:val="004E4C09"/>
    <w:rsid w:val="004E4FC8"/>
    <w:rsid w:val="004E5028"/>
    <w:rsid w:val="004E5162"/>
    <w:rsid w:val="004E51AD"/>
    <w:rsid w:val="004E5A4D"/>
    <w:rsid w:val="004E5AC2"/>
    <w:rsid w:val="004E5ADF"/>
    <w:rsid w:val="004E626F"/>
    <w:rsid w:val="004E63A3"/>
    <w:rsid w:val="004E649B"/>
    <w:rsid w:val="004E653D"/>
    <w:rsid w:val="004E6CC0"/>
    <w:rsid w:val="004E7440"/>
    <w:rsid w:val="004E75F4"/>
    <w:rsid w:val="004E7ABC"/>
    <w:rsid w:val="004E7C32"/>
    <w:rsid w:val="004E7D07"/>
    <w:rsid w:val="004F06BD"/>
    <w:rsid w:val="004F14B4"/>
    <w:rsid w:val="004F18E7"/>
    <w:rsid w:val="004F1B5C"/>
    <w:rsid w:val="004F2D7D"/>
    <w:rsid w:val="004F2EDB"/>
    <w:rsid w:val="004F3030"/>
    <w:rsid w:val="004F31FA"/>
    <w:rsid w:val="004F359B"/>
    <w:rsid w:val="004F3F19"/>
    <w:rsid w:val="004F503B"/>
    <w:rsid w:val="004F550A"/>
    <w:rsid w:val="004F5901"/>
    <w:rsid w:val="004F5BA0"/>
    <w:rsid w:val="004F5C21"/>
    <w:rsid w:val="004F5E89"/>
    <w:rsid w:val="004F674F"/>
    <w:rsid w:val="004F6C64"/>
    <w:rsid w:val="004F711D"/>
    <w:rsid w:val="004F733E"/>
    <w:rsid w:val="004F7351"/>
    <w:rsid w:val="00500567"/>
    <w:rsid w:val="0050056F"/>
    <w:rsid w:val="00501120"/>
    <w:rsid w:val="00501414"/>
    <w:rsid w:val="00501534"/>
    <w:rsid w:val="005018C4"/>
    <w:rsid w:val="00501C1D"/>
    <w:rsid w:val="00501D58"/>
    <w:rsid w:val="00501E3F"/>
    <w:rsid w:val="0050225C"/>
    <w:rsid w:val="005022F3"/>
    <w:rsid w:val="00502507"/>
    <w:rsid w:val="00502B22"/>
    <w:rsid w:val="00503130"/>
    <w:rsid w:val="0050356E"/>
    <w:rsid w:val="00503B65"/>
    <w:rsid w:val="00503EF0"/>
    <w:rsid w:val="00503FEE"/>
    <w:rsid w:val="00504241"/>
    <w:rsid w:val="005048A4"/>
    <w:rsid w:val="00504E96"/>
    <w:rsid w:val="00504FE2"/>
    <w:rsid w:val="005052DE"/>
    <w:rsid w:val="00505B03"/>
    <w:rsid w:val="00505CA0"/>
    <w:rsid w:val="00505D65"/>
    <w:rsid w:val="00505ED4"/>
    <w:rsid w:val="00505F7D"/>
    <w:rsid w:val="00505FD5"/>
    <w:rsid w:val="00506148"/>
    <w:rsid w:val="00506A5C"/>
    <w:rsid w:val="00506A83"/>
    <w:rsid w:val="00507177"/>
    <w:rsid w:val="00507519"/>
    <w:rsid w:val="0050761B"/>
    <w:rsid w:val="00507828"/>
    <w:rsid w:val="00507E98"/>
    <w:rsid w:val="0051099D"/>
    <w:rsid w:val="00510AC1"/>
    <w:rsid w:val="00510DE8"/>
    <w:rsid w:val="005118E5"/>
    <w:rsid w:val="005123B8"/>
    <w:rsid w:val="00512665"/>
    <w:rsid w:val="0051280B"/>
    <w:rsid w:val="00513042"/>
    <w:rsid w:val="005131CF"/>
    <w:rsid w:val="005132B0"/>
    <w:rsid w:val="005136B2"/>
    <w:rsid w:val="005136EF"/>
    <w:rsid w:val="00513F84"/>
    <w:rsid w:val="0051407D"/>
    <w:rsid w:val="00514923"/>
    <w:rsid w:val="00514C4C"/>
    <w:rsid w:val="0051534E"/>
    <w:rsid w:val="005159E1"/>
    <w:rsid w:val="00515D4D"/>
    <w:rsid w:val="00516236"/>
    <w:rsid w:val="005162ED"/>
    <w:rsid w:val="00516320"/>
    <w:rsid w:val="005163D0"/>
    <w:rsid w:val="0051661E"/>
    <w:rsid w:val="00516992"/>
    <w:rsid w:val="00517082"/>
    <w:rsid w:val="005174F4"/>
    <w:rsid w:val="0051752F"/>
    <w:rsid w:val="00520630"/>
    <w:rsid w:val="005207C3"/>
    <w:rsid w:val="00520B00"/>
    <w:rsid w:val="00520CBA"/>
    <w:rsid w:val="005211AF"/>
    <w:rsid w:val="00521CE4"/>
    <w:rsid w:val="00521EA9"/>
    <w:rsid w:val="00521F77"/>
    <w:rsid w:val="005223BE"/>
    <w:rsid w:val="00522631"/>
    <w:rsid w:val="005226EF"/>
    <w:rsid w:val="00522D7F"/>
    <w:rsid w:val="005231CA"/>
    <w:rsid w:val="0052367D"/>
    <w:rsid w:val="0052386E"/>
    <w:rsid w:val="005240CB"/>
    <w:rsid w:val="00524112"/>
    <w:rsid w:val="0052432F"/>
    <w:rsid w:val="005243C1"/>
    <w:rsid w:val="00524858"/>
    <w:rsid w:val="00524866"/>
    <w:rsid w:val="00524981"/>
    <w:rsid w:val="00524CE6"/>
    <w:rsid w:val="00524D5B"/>
    <w:rsid w:val="00524F87"/>
    <w:rsid w:val="00525504"/>
    <w:rsid w:val="00525C8B"/>
    <w:rsid w:val="00525E1A"/>
    <w:rsid w:val="00525F4F"/>
    <w:rsid w:val="00526BE5"/>
    <w:rsid w:val="005272A5"/>
    <w:rsid w:val="00527679"/>
    <w:rsid w:val="005307A1"/>
    <w:rsid w:val="00530D3B"/>
    <w:rsid w:val="00530F67"/>
    <w:rsid w:val="005311A6"/>
    <w:rsid w:val="00531C07"/>
    <w:rsid w:val="00531F09"/>
    <w:rsid w:val="005321C1"/>
    <w:rsid w:val="005327E8"/>
    <w:rsid w:val="00532DF9"/>
    <w:rsid w:val="00533B7F"/>
    <w:rsid w:val="005340F9"/>
    <w:rsid w:val="0053486A"/>
    <w:rsid w:val="00534B1C"/>
    <w:rsid w:val="00534CEC"/>
    <w:rsid w:val="00534E0C"/>
    <w:rsid w:val="00534F36"/>
    <w:rsid w:val="005350A8"/>
    <w:rsid w:val="00535270"/>
    <w:rsid w:val="0053542F"/>
    <w:rsid w:val="005355F9"/>
    <w:rsid w:val="0053593F"/>
    <w:rsid w:val="00535AEE"/>
    <w:rsid w:val="00535B94"/>
    <w:rsid w:val="00535C4E"/>
    <w:rsid w:val="00535C79"/>
    <w:rsid w:val="00536128"/>
    <w:rsid w:val="005361D6"/>
    <w:rsid w:val="00536A22"/>
    <w:rsid w:val="005376E2"/>
    <w:rsid w:val="005379E3"/>
    <w:rsid w:val="00540A36"/>
    <w:rsid w:val="00540E24"/>
    <w:rsid w:val="00541225"/>
    <w:rsid w:val="0054146C"/>
    <w:rsid w:val="00541776"/>
    <w:rsid w:val="00541BF0"/>
    <w:rsid w:val="005421F1"/>
    <w:rsid w:val="005432F5"/>
    <w:rsid w:val="005433D6"/>
    <w:rsid w:val="00544B7E"/>
    <w:rsid w:val="00544D32"/>
    <w:rsid w:val="00545B4D"/>
    <w:rsid w:val="00545F7A"/>
    <w:rsid w:val="005460F3"/>
    <w:rsid w:val="00546796"/>
    <w:rsid w:val="00546BF7"/>
    <w:rsid w:val="0054745D"/>
    <w:rsid w:val="005477ED"/>
    <w:rsid w:val="00547806"/>
    <w:rsid w:val="00547AC3"/>
    <w:rsid w:val="00547E0C"/>
    <w:rsid w:val="00547F97"/>
    <w:rsid w:val="0055029A"/>
    <w:rsid w:val="00550626"/>
    <w:rsid w:val="005508F3"/>
    <w:rsid w:val="00551D80"/>
    <w:rsid w:val="0055343C"/>
    <w:rsid w:val="0055355C"/>
    <w:rsid w:val="005535A9"/>
    <w:rsid w:val="005535B2"/>
    <w:rsid w:val="00553817"/>
    <w:rsid w:val="005540F9"/>
    <w:rsid w:val="00554520"/>
    <w:rsid w:val="005553B8"/>
    <w:rsid w:val="00555504"/>
    <w:rsid w:val="00555B2C"/>
    <w:rsid w:val="005561DB"/>
    <w:rsid w:val="00556277"/>
    <w:rsid w:val="005567BE"/>
    <w:rsid w:val="00556A6F"/>
    <w:rsid w:val="00557CD7"/>
    <w:rsid w:val="00560332"/>
    <w:rsid w:val="0056033A"/>
    <w:rsid w:val="00560370"/>
    <w:rsid w:val="00560374"/>
    <w:rsid w:val="0056077A"/>
    <w:rsid w:val="005609AD"/>
    <w:rsid w:val="00560CE3"/>
    <w:rsid w:val="005616DE"/>
    <w:rsid w:val="00562759"/>
    <w:rsid w:val="00563360"/>
    <w:rsid w:val="0056460D"/>
    <w:rsid w:val="00564CA9"/>
    <w:rsid w:val="00564DB9"/>
    <w:rsid w:val="00565199"/>
    <w:rsid w:val="00565258"/>
    <w:rsid w:val="0056567E"/>
    <w:rsid w:val="00566085"/>
    <w:rsid w:val="00566B45"/>
    <w:rsid w:val="0056785F"/>
    <w:rsid w:val="00567B0D"/>
    <w:rsid w:val="0057005C"/>
    <w:rsid w:val="00570065"/>
    <w:rsid w:val="00570069"/>
    <w:rsid w:val="0057068B"/>
    <w:rsid w:val="005707E6"/>
    <w:rsid w:val="00570E65"/>
    <w:rsid w:val="00570EA4"/>
    <w:rsid w:val="005715B4"/>
    <w:rsid w:val="005716AB"/>
    <w:rsid w:val="0057193F"/>
    <w:rsid w:val="00571D27"/>
    <w:rsid w:val="00572058"/>
    <w:rsid w:val="00572296"/>
    <w:rsid w:val="00572775"/>
    <w:rsid w:val="00573045"/>
    <w:rsid w:val="00573078"/>
    <w:rsid w:val="00573C06"/>
    <w:rsid w:val="005743C7"/>
    <w:rsid w:val="0057460D"/>
    <w:rsid w:val="00574954"/>
    <w:rsid w:val="00574978"/>
    <w:rsid w:val="00574C28"/>
    <w:rsid w:val="00575289"/>
    <w:rsid w:val="005755C6"/>
    <w:rsid w:val="00575C03"/>
    <w:rsid w:val="00575C0A"/>
    <w:rsid w:val="00575E96"/>
    <w:rsid w:val="00576906"/>
    <w:rsid w:val="00576A6E"/>
    <w:rsid w:val="00576CA1"/>
    <w:rsid w:val="00577213"/>
    <w:rsid w:val="005778BB"/>
    <w:rsid w:val="00580273"/>
    <w:rsid w:val="00580538"/>
    <w:rsid w:val="005805BC"/>
    <w:rsid w:val="005808BF"/>
    <w:rsid w:val="00580A81"/>
    <w:rsid w:val="00580EF0"/>
    <w:rsid w:val="005810EA"/>
    <w:rsid w:val="0058170A"/>
    <w:rsid w:val="00581938"/>
    <w:rsid w:val="00581D88"/>
    <w:rsid w:val="00581EDD"/>
    <w:rsid w:val="00582092"/>
    <w:rsid w:val="00583453"/>
    <w:rsid w:val="0058375C"/>
    <w:rsid w:val="00583968"/>
    <w:rsid w:val="00583BD9"/>
    <w:rsid w:val="00584599"/>
    <w:rsid w:val="005846C6"/>
    <w:rsid w:val="0058470C"/>
    <w:rsid w:val="00584D9A"/>
    <w:rsid w:val="00584E5B"/>
    <w:rsid w:val="005850E5"/>
    <w:rsid w:val="00585A04"/>
    <w:rsid w:val="00585DDF"/>
    <w:rsid w:val="0058656C"/>
    <w:rsid w:val="005866D6"/>
    <w:rsid w:val="0058733F"/>
    <w:rsid w:val="005874F3"/>
    <w:rsid w:val="0058757A"/>
    <w:rsid w:val="00587D08"/>
    <w:rsid w:val="0059083D"/>
    <w:rsid w:val="00590B81"/>
    <w:rsid w:val="00591461"/>
    <w:rsid w:val="005918D3"/>
    <w:rsid w:val="00591E04"/>
    <w:rsid w:val="005920DD"/>
    <w:rsid w:val="0059244C"/>
    <w:rsid w:val="00592DE4"/>
    <w:rsid w:val="005935AD"/>
    <w:rsid w:val="00593771"/>
    <w:rsid w:val="0059396D"/>
    <w:rsid w:val="0059426D"/>
    <w:rsid w:val="0059469B"/>
    <w:rsid w:val="00594C94"/>
    <w:rsid w:val="00595030"/>
    <w:rsid w:val="005951A4"/>
    <w:rsid w:val="005956E1"/>
    <w:rsid w:val="0059603C"/>
    <w:rsid w:val="0059604C"/>
    <w:rsid w:val="00596141"/>
    <w:rsid w:val="005961BB"/>
    <w:rsid w:val="00596D47"/>
    <w:rsid w:val="005975C6"/>
    <w:rsid w:val="00597668"/>
    <w:rsid w:val="005A0849"/>
    <w:rsid w:val="005A1C9C"/>
    <w:rsid w:val="005A1DE4"/>
    <w:rsid w:val="005A26AB"/>
    <w:rsid w:val="005A2975"/>
    <w:rsid w:val="005A2FC3"/>
    <w:rsid w:val="005A32EF"/>
    <w:rsid w:val="005A3533"/>
    <w:rsid w:val="005A391B"/>
    <w:rsid w:val="005A3960"/>
    <w:rsid w:val="005A3E43"/>
    <w:rsid w:val="005A41D5"/>
    <w:rsid w:val="005A44CB"/>
    <w:rsid w:val="005A4BB5"/>
    <w:rsid w:val="005A4E3F"/>
    <w:rsid w:val="005A4FC4"/>
    <w:rsid w:val="005A50E6"/>
    <w:rsid w:val="005A516C"/>
    <w:rsid w:val="005A5E71"/>
    <w:rsid w:val="005A6406"/>
    <w:rsid w:val="005A66FD"/>
    <w:rsid w:val="005A723D"/>
    <w:rsid w:val="005A7927"/>
    <w:rsid w:val="005A7B0C"/>
    <w:rsid w:val="005A7D24"/>
    <w:rsid w:val="005B019E"/>
    <w:rsid w:val="005B01BC"/>
    <w:rsid w:val="005B04F4"/>
    <w:rsid w:val="005B0EA9"/>
    <w:rsid w:val="005B1031"/>
    <w:rsid w:val="005B1166"/>
    <w:rsid w:val="005B1210"/>
    <w:rsid w:val="005B127E"/>
    <w:rsid w:val="005B1B6D"/>
    <w:rsid w:val="005B1B9F"/>
    <w:rsid w:val="005B241E"/>
    <w:rsid w:val="005B2537"/>
    <w:rsid w:val="005B2DCE"/>
    <w:rsid w:val="005B336A"/>
    <w:rsid w:val="005B350F"/>
    <w:rsid w:val="005B36C4"/>
    <w:rsid w:val="005B41FC"/>
    <w:rsid w:val="005B4517"/>
    <w:rsid w:val="005B4B3B"/>
    <w:rsid w:val="005B4E90"/>
    <w:rsid w:val="005B595B"/>
    <w:rsid w:val="005B5B37"/>
    <w:rsid w:val="005B5F21"/>
    <w:rsid w:val="005B6208"/>
    <w:rsid w:val="005B6740"/>
    <w:rsid w:val="005B6867"/>
    <w:rsid w:val="005B7260"/>
    <w:rsid w:val="005B77DD"/>
    <w:rsid w:val="005B79DB"/>
    <w:rsid w:val="005C0140"/>
    <w:rsid w:val="005C06DB"/>
    <w:rsid w:val="005C06DC"/>
    <w:rsid w:val="005C0D9B"/>
    <w:rsid w:val="005C0DAA"/>
    <w:rsid w:val="005C203B"/>
    <w:rsid w:val="005C295F"/>
    <w:rsid w:val="005C2EC3"/>
    <w:rsid w:val="005C2EEF"/>
    <w:rsid w:val="005C3100"/>
    <w:rsid w:val="005C38DC"/>
    <w:rsid w:val="005C3C15"/>
    <w:rsid w:val="005C4127"/>
    <w:rsid w:val="005C4180"/>
    <w:rsid w:val="005C4545"/>
    <w:rsid w:val="005C47A2"/>
    <w:rsid w:val="005C5005"/>
    <w:rsid w:val="005C503B"/>
    <w:rsid w:val="005C59EE"/>
    <w:rsid w:val="005C5CD4"/>
    <w:rsid w:val="005C61DC"/>
    <w:rsid w:val="005C62F5"/>
    <w:rsid w:val="005C6779"/>
    <w:rsid w:val="005C69FE"/>
    <w:rsid w:val="005C7022"/>
    <w:rsid w:val="005C7098"/>
    <w:rsid w:val="005C783A"/>
    <w:rsid w:val="005C79BA"/>
    <w:rsid w:val="005C7B50"/>
    <w:rsid w:val="005C7F4B"/>
    <w:rsid w:val="005D00FC"/>
    <w:rsid w:val="005D0134"/>
    <w:rsid w:val="005D02BC"/>
    <w:rsid w:val="005D034A"/>
    <w:rsid w:val="005D09E4"/>
    <w:rsid w:val="005D100A"/>
    <w:rsid w:val="005D11DE"/>
    <w:rsid w:val="005D1359"/>
    <w:rsid w:val="005D14E3"/>
    <w:rsid w:val="005D18F8"/>
    <w:rsid w:val="005D1BAE"/>
    <w:rsid w:val="005D203A"/>
    <w:rsid w:val="005D21F9"/>
    <w:rsid w:val="005D2851"/>
    <w:rsid w:val="005D28D8"/>
    <w:rsid w:val="005D2BC9"/>
    <w:rsid w:val="005D2E77"/>
    <w:rsid w:val="005D3216"/>
    <w:rsid w:val="005D3651"/>
    <w:rsid w:val="005D4026"/>
    <w:rsid w:val="005D408D"/>
    <w:rsid w:val="005D40D9"/>
    <w:rsid w:val="005D46B0"/>
    <w:rsid w:val="005D48E0"/>
    <w:rsid w:val="005D4A71"/>
    <w:rsid w:val="005D533D"/>
    <w:rsid w:val="005D59BE"/>
    <w:rsid w:val="005D5CCC"/>
    <w:rsid w:val="005D5F79"/>
    <w:rsid w:val="005D5FF3"/>
    <w:rsid w:val="005D617F"/>
    <w:rsid w:val="005D636A"/>
    <w:rsid w:val="005D638C"/>
    <w:rsid w:val="005D6568"/>
    <w:rsid w:val="005D6F71"/>
    <w:rsid w:val="005D79EF"/>
    <w:rsid w:val="005D7E12"/>
    <w:rsid w:val="005E0253"/>
    <w:rsid w:val="005E02A8"/>
    <w:rsid w:val="005E05CE"/>
    <w:rsid w:val="005E05E9"/>
    <w:rsid w:val="005E0EF8"/>
    <w:rsid w:val="005E0F61"/>
    <w:rsid w:val="005E1480"/>
    <w:rsid w:val="005E18A9"/>
    <w:rsid w:val="005E1C6D"/>
    <w:rsid w:val="005E1FE1"/>
    <w:rsid w:val="005E202D"/>
    <w:rsid w:val="005E23D5"/>
    <w:rsid w:val="005E3203"/>
    <w:rsid w:val="005E33E9"/>
    <w:rsid w:val="005E3A32"/>
    <w:rsid w:val="005E3AC7"/>
    <w:rsid w:val="005E3E49"/>
    <w:rsid w:val="005E47D8"/>
    <w:rsid w:val="005E4DDF"/>
    <w:rsid w:val="005E5253"/>
    <w:rsid w:val="005E54F1"/>
    <w:rsid w:val="005E5B9A"/>
    <w:rsid w:val="005E638A"/>
    <w:rsid w:val="005E648E"/>
    <w:rsid w:val="005E66B6"/>
    <w:rsid w:val="005E690F"/>
    <w:rsid w:val="005E694D"/>
    <w:rsid w:val="005E6AF1"/>
    <w:rsid w:val="005E7195"/>
    <w:rsid w:val="005E7748"/>
    <w:rsid w:val="005E777C"/>
    <w:rsid w:val="005E7F38"/>
    <w:rsid w:val="005F018A"/>
    <w:rsid w:val="005F05D9"/>
    <w:rsid w:val="005F0ACB"/>
    <w:rsid w:val="005F0C01"/>
    <w:rsid w:val="005F0F0B"/>
    <w:rsid w:val="005F12EC"/>
    <w:rsid w:val="005F1387"/>
    <w:rsid w:val="005F1AAE"/>
    <w:rsid w:val="005F20DB"/>
    <w:rsid w:val="005F2F9C"/>
    <w:rsid w:val="005F35F3"/>
    <w:rsid w:val="005F39F6"/>
    <w:rsid w:val="005F4F01"/>
    <w:rsid w:val="005F4FBD"/>
    <w:rsid w:val="005F5088"/>
    <w:rsid w:val="005F5474"/>
    <w:rsid w:val="005F5709"/>
    <w:rsid w:val="005F579A"/>
    <w:rsid w:val="005F626A"/>
    <w:rsid w:val="005F6884"/>
    <w:rsid w:val="005F69E3"/>
    <w:rsid w:val="005F6B77"/>
    <w:rsid w:val="005F7283"/>
    <w:rsid w:val="005F7393"/>
    <w:rsid w:val="005F75FD"/>
    <w:rsid w:val="00600291"/>
    <w:rsid w:val="00600409"/>
    <w:rsid w:val="006010C6"/>
    <w:rsid w:val="006010F1"/>
    <w:rsid w:val="00601C4D"/>
    <w:rsid w:val="00601E79"/>
    <w:rsid w:val="00602090"/>
    <w:rsid w:val="006021E9"/>
    <w:rsid w:val="00602B41"/>
    <w:rsid w:val="006034A3"/>
    <w:rsid w:val="006038BD"/>
    <w:rsid w:val="00603AF6"/>
    <w:rsid w:val="00603DC6"/>
    <w:rsid w:val="00603E82"/>
    <w:rsid w:val="00603F5F"/>
    <w:rsid w:val="0060421B"/>
    <w:rsid w:val="00604DE0"/>
    <w:rsid w:val="00604EC4"/>
    <w:rsid w:val="00606FC7"/>
    <w:rsid w:val="00607248"/>
    <w:rsid w:val="0060757B"/>
    <w:rsid w:val="0060779F"/>
    <w:rsid w:val="00607B7B"/>
    <w:rsid w:val="00607D7A"/>
    <w:rsid w:val="00607E18"/>
    <w:rsid w:val="0061043F"/>
    <w:rsid w:val="00610526"/>
    <w:rsid w:val="00610605"/>
    <w:rsid w:val="00610F60"/>
    <w:rsid w:val="006114FB"/>
    <w:rsid w:val="00611964"/>
    <w:rsid w:val="00611A38"/>
    <w:rsid w:val="00611CB3"/>
    <w:rsid w:val="00611DBD"/>
    <w:rsid w:val="00611F62"/>
    <w:rsid w:val="00612370"/>
    <w:rsid w:val="00612439"/>
    <w:rsid w:val="00612EE5"/>
    <w:rsid w:val="00613879"/>
    <w:rsid w:val="006142B2"/>
    <w:rsid w:val="00614674"/>
    <w:rsid w:val="00615359"/>
    <w:rsid w:val="006156A5"/>
    <w:rsid w:val="0061596D"/>
    <w:rsid w:val="006169A6"/>
    <w:rsid w:val="0061745B"/>
    <w:rsid w:val="00617637"/>
    <w:rsid w:val="00617B2C"/>
    <w:rsid w:val="00617EA1"/>
    <w:rsid w:val="00620F50"/>
    <w:rsid w:val="00621298"/>
    <w:rsid w:val="0062245F"/>
    <w:rsid w:val="0062250F"/>
    <w:rsid w:val="00622B5A"/>
    <w:rsid w:val="00622D34"/>
    <w:rsid w:val="0062324F"/>
    <w:rsid w:val="00623E87"/>
    <w:rsid w:val="0062432A"/>
    <w:rsid w:val="006243F1"/>
    <w:rsid w:val="00624B53"/>
    <w:rsid w:val="006252FF"/>
    <w:rsid w:val="00625697"/>
    <w:rsid w:val="006256D7"/>
    <w:rsid w:val="00625ACA"/>
    <w:rsid w:val="006263D2"/>
    <w:rsid w:val="00626B3D"/>
    <w:rsid w:val="00626BD3"/>
    <w:rsid w:val="00626D1C"/>
    <w:rsid w:val="00626DE3"/>
    <w:rsid w:val="006273E3"/>
    <w:rsid w:val="00627946"/>
    <w:rsid w:val="00627C58"/>
    <w:rsid w:val="00627C78"/>
    <w:rsid w:val="00627E0C"/>
    <w:rsid w:val="006303C1"/>
    <w:rsid w:val="00630448"/>
    <w:rsid w:val="0063075D"/>
    <w:rsid w:val="00630AA0"/>
    <w:rsid w:val="00630E6B"/>
    <w:rsid w:val="00631019"/>
    <w:rsid w:val="0063125C"/>
    <w:rsid w:val="0063151F"/>
    <w:rsid w:val="00632808"/>
    <w:rsid w:val="00632E92"/>
    <w:rsid w:val="00633294"/>
    <w:rsid w:val="006332FA"/>
    <w:rsid w:val="00633BC7"/>
    <w:rsid w:val="0063409A"/>
    <w:rsid w:val="006343EC"/>
    <w:rsid w:val="00634A48"/>
    <w:rsid w:val="00635316"/>
    <w:rsid w:val="00635835"/>
    <w:rsid w:val="00635962"/>
    <w:rsid w:val="00635D8B"/>
    <w:rsid w:val="00636044"/>
    <w:rsid w:val="0063745B"/>
    <w:rsid w:val="0063767F"/>
    <w:rsid w:val="00637A04"/>
    <w:rsid w:val="00637A1E"/>
    <w:rsid w:val="00637A41"/>
    <w:rsid w:val="00637D66"/>
    <w:rsid w:val="00637F09"/>
    <w:rsid w:val="00640267"/>
    <w:rsid w:val="0064039E"/>
    <w:rsid w:val="00640E61"/>
    <w:rsid w:val="00641306"/>
    <w:rsid w:val="006417A5"/>
    <w:rsid w:val="006419BF"/>
    <w:rsid w:val="00641BC0"/>
    <w:rsid w:val="00642BD1"/>
    <w:rsid w:val="00642E84"/>
    <w:rsid w:val="00643149"/>
    <w:rsid w:val="006431D5"/>
    <w:rsid w:val="006433D4"/>
    <w:rsid w:val="006438C3"/>
    <w:rsid w:val="006438D9"/>
    <w:rsid w:val="00644519"/>
    <w:rsid w:val="00644900"/>
    <w:rsid w:val="00644DD9"/>
    <w:rsid w:val="00645120"/>
    <w:rsid w:val="00645A94"/>
    <w:rsid w:val="00645CA7"/>
    <w:rsid w:val="00645DE2"/>
    <w:rsid w:val="0064607B"/>
    <w:rsid w:val="006460BC"/>
    <w:rsid w:val="006470CF"/>
    <w:rsid w:val="00647409"/>
    <w:rsid w:val="00647494"/>
    <w:rsid w:val="006474FF"/>
    <w:rsid w:val="00650651"/>
    <w:rsid w:val="00651F6F"/>
    <w:rsid w:val="00652047"/>
    <w:rsid w:val="00652B0A"/>
    <w:rsid w:val="00652EFF"/>
    <w:rsid w:val="00652F20"/>
    <w:rsid w:val="006539CE"/>
    <w:rsid w:val="006541A0"/>
    <w:rsid w:val="0065442A"/>
    <w:rsid w:val="006545B5"/>
    <w:rsid w:val="00654C0C"/>
    <w:rsid w:val="00654C9C"/>
    <w:rsid w:val="00654D91"/>
    <w:rsid w:val="00654F0C"/>
    <w:rsid w:val="0065580D"/>
    <w:rsid w:val="00655A13"/>
    <w:rsid w:val="0065625B"/>
    <w:rsid w:val="0065649F"/>
    <w:rsid w:val="00656526"/>
    <w:rsid w:val="006578BA"/>
    <w:rsid w:val="00657CCA"/>
    <w:rsid w:val="006606BC"/>
    <w:rsid w:val="00660834"/>
    <w:rsid w:val="00660861"/>
    <w:rsid w:val="006608DF"/>
    <w:rsid w:val="00660A41"/>
    <w:rsid w:val="0066117C"/>
    <w:rsid w:val="006611E4"/>
    <w:rsid w:val="00661D8B"/>
    <w:rsid w:val="00662267"/>
    <w:rsid w:val="0066235D"/>
    <w:rsid w:val="006623D3"/>
    <w:rsid w:val="00662741"/>
    <w:rsid w:val="00662861"/>
    <w:rsid w:val="00662AB1"/>
    <w:rsid w:val="0066320D"/>
    <w:rsid w:val="00663598"/>
    <w:rsid w:val="006639AB"/>
    <w:rsid w:val="00663F92"/>
    <w:rsid w:val="00664783"/>
    <w:rsid w:val="00665037"/>
    <w:rsid w:val="0066543F"/>
    <w:rsid w:val="00665C41"/>
    <w:rsid w:val="00665E97"/>
    <w:rsid w:val="00666379"/>
    <w:rsid w:val="0066680A"/>
    <w:rsid w:val="00667489"/>
    <w:rsid w:val="006676F4"/>
    <w:rsid w:val="00667728"/>
    <w:rsid w:val="006700CD"/>
    <w:rsid w:val="0067018E"/>
    <w:rsid w:val="00670F18"/>
    <w:rsid w:val="00671550"/>
    <w:rsid w:val="0067168C"/>
    <w:rsid w:val="0067186E"/>
    <w:rsid w:val="00672059"/>
    <w:rsid w:val="00672399"/>
    <w:rsid w:val="006723F2"/>
    <w:rsid w:val="00672620"/>
    <w:rsid w:val="00672788"/>
    <w:rsid w:val="00672AE0"/>
    <w:rsid w:val="00672BA0"/>
    <w:rsid w:val="00672E92"/>
    <w:rsid w:val="00672EE6"/>
    <w:rsid w:val="00673099"/>
    <w:rsid w:val="006736A2"/>
    <w:rsid w:val="006736ED"/>
    <w:rsid w:val="00673C02"/>
    <w:rsid w:val="00674EF5"/>
    <w:rsid w:val="00676011"/>
    <w:rsid w:val="0067601C"/>
    <w:rsid w:val="006761C0"/>
    <w:rsid w:val="00676760"/>
    <w:rsid w:val="00676B4D"/>
    <w:rsid w:val="00677F72"/>
    <w:rsid w:val="00677FE7"/>
    <w:rsid w:val="00680A7D"/>
    <w:rsid w:val="0068133C"/>
    <w:rsid w:val="006813D3"/>
    <w:rsid w:val="006818FB"/>
    <w:rsid w:val="00681F40"/>
    <w:rsid w:val="006820AF"/>
    <w:rsid w:val="006821AD"/>
    <w:rsid w:val="00682209"/>
    <w:rsid w:val="006822C8"/>
    <w:rsid w:val="006827C2"/>
    <w:rsid w:val="006829FD"/>
    <w:rsid w:val="006834A6"/>
    <w:rsid w:val="006836CC"/>
    <w:rsid w:val="006836F4"/>
    <w:rsid w:val="006837B7"/>
    <w:rsid w:val="0068401E"/>
    <w:rsid w:val="0068414E"/>
    <w:rsid w:val="00684224"/>
    <w:rsid w:val="006847C9"/>
    <w:rsid w:val="00684B38"/>
    <w:rsid w:val="00684BC7"/>
    <w:rsid w:val="00684C6B"/>
    <w:rsid w:val="00684DC7"/>
    <w:rsid w:val="00685196"/>
    <w:rsid w:val="00685A72"/>
    <w:rsid w:val="00686C28"/>
    <w:rsid w:val="00687351"/>
    <w:rsid w:val="00687C08"/>
    <w:rsid w:val="00687E57"/>
    <w:rsid w:val="00687F5C"/>
    <w:rsid w:val="006900C4"/>
    <w:rsid w:val="00690312"/>
    <w:rsid w:val="006904B4"/>
    <w:rsid w:val="006905E9"/>
    <w:rsid w:val="006908C8"/>
    <w:rsid w:val="00690910"/>
    <w:rsid w:val="0069253D"/>
    <w:rsid w:val="006936B9"/>
    <w:rsid w:val="006938C1"/>
    <w:rsid w:val="00693D39"/>
    <w:rsid w:val="0069443E"/>
    <w:rsid w:val="006949AD"/>
    <w:rsid w:val="006949B9"/>
    <w:rsid w:val="00695180"/>
    <w:rsid w:val="006957AB"/>
    <w:rsid w:val="006957B0"/>
    <w:rsid w:val="00695B55"/>
    <w:rsid w:val="00695DF5"/>
    <w:rsid w:val="00695E2D"/>
    <w:rsid w:val="0069659D"/>
    <w:rsid w:val="006965CD"/>
    <w:rsid w:val="00696B00"/>
    <w:rsid w:val="00696D39"/>
    <w:rsid w:val="00696E19"/>
    <w:rsid w:val="00697F64"/>
    <w:rsid w:val="006A02B6"/>
    <w:rsid w:val="006A039F"/>
    <w:rsid w:val="006A083B"/>
    <w:rsid w:val="006A0974"/>
    <w:rsid w:val="006A0ADD"/>
    <w:rsid w:val="006A0E22"/>
    <w:rsid w:val="006A14FA"/>
    <w:rsid w:val="006A1826"/>
    <w:rsid w:val="006A20CE"/>
    <w:rsid w:val="006A2328"/>
    <w:rsid w:val="006A2623"/>
    <w:rsid w:val="006A2944"/>
    <w:rsid w:val="006A2C30"/>
    <w:rsid w:val="006A2E21"/>
    <w:rsid w:val="006A3212"/>
    <w:rsid w:val="006A3295"/>
    <w:rsid w:val="006A3AD1"/>
    <w:rsid w:val="006A48EB"/>
    <w:rsid w:val="006A499F"/>
    <w:rsid w:val="006A4A76"/>
    <w:rsid w:val="006A4AB2"/>
    <w:rsid w:val="006A4AF7"/>
    <w:rsid w:val="006A4DF1"/>
    <w:rsid w:val="006A510A"/>
    <w:rsid w:val="006A52F9"/>
    <w:rsid w:val="006A5472"/>
    <w:rsid w:val="006A5498"/>
    <w:rsid w:val="006A54B4"/>
    <w:rsid w:val="006A5BE1"/>
    <w:rsid w:val="006A6151"/>
    <w:rsid w:val="006A644E"/>
    <w:rsid w:val="006A6887"/>
    <w:rsid w:val="006A6FEF"/>
    <w:rsid w:val="006A757C"/>
    <w:rsid w:val="006A75C8"/>
    <w:rsid w:val="006A77E3"/>
    <w:rsid w:val="006B0438"/>
    <w:rsid w:val="006B0EAA"/>
    <w:rsid w:val="006B10DA"/>
    <w:rsid w:val="006B1329"/>
    <w:rsid w:val="006B18AF"/>
    <w:rsid w:val="006B1AB9"/>
    <w:rsid w:val="006B1AC2"/>
    <w:rsid w:val="006B2026"/>
    <w:rsid w:val="006B259D"/>
    <w:rsid w:val="006B27D2"/>
    <w:rsid w:val="006B3161"/>
    <w:rsid w:val="006B36D6"/>
    <w:rsid w:val="006B3764"/>
    <w:rsid w:val="006B393F"/>
    <w:rsid w:val="006B3F1A"/>
    <w:rsid w:val="006B4399"/>
    <w:rsid w:val="006B45FC"/>
    <w:rsid w:val="006B4BF5"/>
    <w:rsid w:val="006B4C61"/>
    <w:rsid w:val="006B4EDA"/>
    <w:rsid w:val="006B4F82"/>
    <w:rsid w:val="006B54F8"/>
    <w:rsid w:val="006B55AE"/>
    <w:rsid w:val="006B5956"/>
    <w:rsid w:val="006B64CE"/>
    <w:rsid w:val="006B6A18"/>
    <w:rsid w:val="006B6EE2"/>
    <w:rsid w:val="006B709D"/>
    <w:rsid w:val="006B7321"/>
    <w:rsid w:val="006B758C"/>
    <w:rsid w:val="006B7903"/>
    <w:rsid w:val="006B7A06"/>
    <w:rsid w:val="006C01B4"/>
    <w:rsid w:val="006C04D0"/>
    <w:rsid w:val="006C0780"/>
    <w:rsid w:val="006C0ADF"/>
    <w:rsid w:val="006C0E48"/>
    <w:rsid w:val="006C1CED"/>
    <w:rsid w:val="006C1E29"/>
    <w:rsid w:val="006C1F2A"/>
    <w:rsid w:val="006C2130"/>
    <w:rsid w:val="006C2434"/>
    <w:rsid w:val="006C25D0"/>
    <w:rsid w:val="006C29B6"/>
    <w:rsid w:val="006C2B03"/>
    <w:rsid w:val="006C2C03"/>
    <w:rsid w:val="006C371F"/>
    <w:rsid w:val="006C38BF"/>
    <w:rsid w:val="006C41B5"/>
    <w:rsid w:val="006C461E"/>
    <w:rsid w:val="006C4990"/>
    <w:rsid w:val="006C5441"/>
    <w:rsid w:val="006C5454"/>
    <w:rsid w:val="006C5A36"/>
    <w:rsid w:val="006C5B7E"/>
    <w:rsid w:val="006C5EB6"/>
    <w:rsid w:val="006C61EC"/>
    <w:rsid w:val="006C67AD"/>
    <w:rsid w:val="006C6F94"/>
    <w:rsid w:val="006C7292"/>
    <w:rsid w:val="006C73D5"/>
    <w:rsid w:val="006C7DB9"/>
    <w:rsid w:val="006C7F8B"/>
    <w:rsid w:val="006D0416"/>
    <w:rsid w:val="006D0F11"/>
    <w:rsid w:val="006D1111"/>
    <w:rsid w:val="006D1352"/>
    <w:rsid w:val="006D1C72"/>
    <w:rsid w:val="006D1D8A"/>
    <w:rsid w:val="006D20D9"/>
    <w:rsid w:val="006D2361"/>
    <w:rsid w:val="006D2617"/>
    <w:rsid w:val="006D2793"/>
    <w:rsid w:val="006D29FC"/>
    <w:rsid w:val="006D2C31"/>
    <w:rsid w:val="006D32CA"/>
    <w:rsid w:val="006D33D3"/>
    <w:rsid w:val="006D35E2"/>
    <w:rsid w:val="006D3633"/>
    <w:rsid w:val="006D3918"/>
    <w:rsid w:val="006D399B"/>
    <w:rsid w:val="006D40B4"/>
    <w:rsid w:val="006D489B"/>
    <w:rsid w:val="006D5829"/>
    <w:rsid w:val="006D5B38"/>
    <w:rsid w:val="006D6051"/>
    <w:rsid w:val="006D614A"/>
    <w:rsid w:val="006D6E79"/>
    <w:rsid w:val="006D9092"/>
    <w:rsid w:val="006E0825"/>
    <w:rsid w:val="006E0F63"/>
    <w:rsid w:val="006E1402"/>
    <w:rsid w:val="006E1803"/>
    <w:rsid w:val="006E180D"/>
    <w:rsid w:val="006E19F5"/>
    <w:rsid w:val="006E24E8"/>
    <w:rsid w:val="006E289F"/>
    <w:rsid w:val="006E2F3E"/>
    <w:rsid w:val="006E323C"/>
    <w:rsid w:val="006E36E8"/>
    <w:rsid w:val="006E374D"/>
    <w:rsid w:val="006E4044"/>
    <w:rsid w:val="006E44BC"/>
    <w:rsid w:val="006E4583"/>
    <w:rsid w:val="006E466D"/>
    <w:rsid w:val="006E4B63"/>
    <w:rsid w:val="006E4C29"/>
    <w:rsid w:val="006E4FC4"/>
    <w:rsid w:val="006E54A5"/>
    <w:rsid w:val="006E5775"/>
    <w:rsid w:val="006E6233"/>
    <w:rsid w:val="006E6590"/>
    <w:rsid w:val="006E65B6"/>
    <w:rsid w:val="006E6622"/>
    <w:rsid w:val="006E77F7"/>
    <w:rsid w:val="006E793F"/>
    <w:rsid w:val="006E7A53"/>
    <w:rsid w:val="006F1B0E"/>
    <w:rsid w:val="006F1E8B"/>
    <w:rsid w:val="006F2438"/>
    <w:rsid w:val="006F2AD7"/>
    <w:rsid w:val="006F2AFB"/>
    <w:rsid w:val="006F3A66"/>
    <w:rsid w:val="006F3C28"/>
    <w:rsid w:val="006F427E"/>
    <w:rsid w:val="006F457B"/>
    <w:rsid w:val="006F457C"/>
    <w:rsid w:val="006F4F9B"/>
    <w:rsid w:val="006F55C9"/>
    <w:rsid w:val="006F57B9"/>
    <w:rsid w:val="006F5CBC"/>
    <w:rsid w:val="006F6DED"/>
    <w:rsid w:val="006F70E9"/>
    <w:rsid w:val="0070012F"/>
    <w:rsid w:val="0070067A"/>
    <w:rsid w:val="00700F42"/>
    <w:rsid w:val="00700FC8"/>
    <w:rsid w:val="00701443"/>
    <w:rsid w:val="00701956"/>
    <w:rsid w:val="00702980"/>
    <w:rsid w:val="00702E78"/>
    <w:rsid w:val="007030F5"/>
    <w:rsid w:val="007035BC"/>
    <w:rsid w:val="00703A81"/>
    <w:rsid w:val="00703F37"/>
    <w:rsid w:val="00704346"/>
    <w:rsid w:val="00704350"/>
    <w:rsid w:val="00704883"/>
    <w:rsid w:val="0070495D"/>
    <w:rsid w:val="00704C6C"/>
    <w:rsid w:val="00705076"/>
    <w:rsid w:val="00705173"/>
    <w:rsid w:val="007051F5"/>
    <w:rsid w:val="00705249"/>
    <w:rsid w:val="00705716"/>
    <w:rsid w:val="00705AC7"/>
    <w:rsid w:val="00705D84"/>
    <w:rsid w:val="007060A8"/>
    <w:rsid w:val="00707024"/>
    <w:rsid w:val="00707161"/>
    <w:rsid w:val="00707684"/>
    <w:rsid w:val="007106E0"/>
    <w:rsid w:val="00710A16"/>
    <w:rsid w:val="00710A3C"/>
    <w:rsid w:val="00711FA5"/>
    <w:rsid w:val="00712041"/>
    <w:rsid w:val="007129CD"/>
    <w:rsid w:val="00712C96"/>
    <w:rsid w:val="00713998"/>
    <w:rsid w:val="00713C53"/>
    <w:rsid w:val="00713D78"/>
    <w:rsid w:val="00714013"/>
    <w:rsid w:val="00715419"/>
    <w:rsid w:val="00715659"/>
    <w:rsid w:val="0071569D"/>
    <w:rsid w:val="00715A34"/>
    <w:rsid w:val="00715C63"/>
    <w:rsid w:val="007161AF"/>
    <w:rsid w:val="007167B0"/>
    <w:rsid w:val="007170A3"/>
    <w:rsid w:val="007177A4"/>
    <w:rsid w:val="00717A63"/>
    <w:rsid w:val="00720991"/>
    <w:rsid w:val="00720BC2"/>
    <w:rsid w:val="0072188F"/>
    <w:rsid w:val="0072202B"/>
    <w:rsid w:val="00722B8D"/>
    <w:rsid w:val="00722D75"/>
    <w:rsid w:val="00722E2E"/>
    <w:rsid w:val="0072339D"/>
    <w:rsid w:val="00723537"/>
    <w:rsid w:val="00723B08"/>
    <w:rsid w:val="00723E5D"/>
    <w:rsid w:val="00724EFD"/>
    <w:rsid w:val="00725908"/>
    <w:rsid w:val="00725C18"/>
    <w:rsid w:val="00725F0D"/>
    <w:rsid w:val="00725F4D"/>
    <w:rsid w:val="007260B0"/>
    <w:rsid w:val="0072613F"/>
    <w:rsid w:val="00726352"/>
    <w:rsid w:val="007263F4"/>
    <w:rsid w:val="00726443"/>
    <w:rsid w:val="007265A1"/>
    <w:rsid w:val="007265BF"/>
    <w:rsid w:val="00726BAD"/>
    <w:rsid w:val="00726DC0"/>
    <w:rsid w:val="007278F8"/>
    <w:rsid w:val="00730800"/>
    <w:rsid w:val="00731008"/>
    <w:rsid w:val="00731141"/>
    <w:rsid w:val="007314C7"/>
    <w:rsid w:val="00731AFA"/>
    <w:rsid w:val="00731B08"/>
    <w:rsid w:val="007331BB"/>
    <w:rsid w:val="00733593"/>
    <w:rsid w:val="00733ACA"/>
    <w:rsid w:val="00733E00"/>
    <w:rsid w:val="00734114"/>
    <w:rsid w:val="0073416A"/>
    <w:rsid w:val="0073473F"/>
    <w:rsid w:val="00734A7B"/>
    <w:rsid w:val="00734A8C"/>
    <w:rsid w:val="00734DDC"/>
    <w:rsid w:val="0073504D"/>
    <w:rsid w:val="00735123"/>
    <w:rsid w:val="007357B8"/>
    <w:rsid w:val="00735C80"/>
    <w:rsid w:val="00736319"/>
    <w:rsid w:val="00736658"/>
    <w:rsid w:val="00737556"/>
    <w:rsid w:val="00740676"/>
    <w:rsid w:val="00740D3C"/>
    <w:rsid w:val="00740DF6"/>
    <w:rsid w:val="00740E40"/>
    <w:rsid w:val="00741D13"/>
    <w:rsid w:val="00742241"/>
    <w:rsid w:val="0074250E"/>
    <w:rsid w:val="007431DD"/>
    <w:rsid w:val="00743302"/>
    <w:rsid w:val="0074354D"/>
    <w:rsid w:val="00743899"/>
    <w:rsid w:val="00743D66"/>
    <w:rsid w:val="007446B0"/>
    <w:rsid w:val="00744C22"/>
    <w:rsid w:val="00744EBB"/>
    <w:rsid w:val="007450E2"/>
    <w:rsid w:val="0074517E"/>
    <w:rsid w:val="007456D8"/>
    <w:rsid w:val="00745D3C"/>
    <w:rsid w:val="00745F66"/>
    <w:rsid w:val="00746DC6"/>
    <w:rsid w:val="00747417"/>
    <w:rsid w:val="00747464"/>
    <w:rsid w:val="00750437"/>
    <w:rsid w:val="0075090B"/>
    <w:rsid w:val="0075100D"/>
    <w:rsid w:val="007516E2"/>
    <w:rsid w:val="007527CC"/>
    <w:rsid w:val="00752BA9"/>
    <w:rsid w:val="0075362E"/>
    <w:rsid w:val="00753C86"/>
    <w:rsid w:val="00753D10"/>
    <w:rsid w:val="00753F21"/>
    <w:rsid w:val="0075416D"/>
    <w:rsid w:val="00754240"/>
    <w:rsid w:val="007543F4"/>
    <w:rsid w:val="007549BD"/>
    <w:rsid w:val="00754B67"/>
    <w:rsid w:val="00754F2C"/>
    <w:rsid w:val="007552C4"/>
    <w:rsid w:val="0075565A"/>
    <w:rsid w:val="00756294"/>
    <w:rsid w:val="00756342"/>
    <w:rsid w:val="00756850"/>
    <w:rsid w:val="00756E4D"/>
    <w:rsid w:val="00757071"/>
    <w:rsid w:val="00757545"/>
    <w:rsid w:val="00757908"/>
    <w:rsid w:val="00757944"/>
    <w:rsid w:val="00757D35"/>
    <w:rsid w:val="00757ED8"/>
    <w:rsid w:val="00760E25"/>
    <w:rsid w:val="007616D1"/>
    <w:rsid w:val="00761834"/>
    <w:rsid w:val="0076197A"/>
    <w:rsid w:val="00762479"/>
    <w:rsid w:val="007625E4"/>
    <w:rsid w:val="0076273F"/>
    <w:rsid w:val="00762EBE"/>
    <w:rsid w:val="00764755"/>
    <w:rsid w:val="00764F23"/>
    <w:rsid w:val="00765031"/>
    <w:rsid w:val="00765036"/>
    <w:rsid w:val="00765AD5"/>
    <w:rsid w:val="00765CAE"/>
    <w:rsid w:val="00765CBE"/>
    <w:rsid w:val="00765E08"/>
    <w:rsid w:val="00765EFF"/>
    <w:rsid w:val="00765F60"/>
    <w:rsid w:val="0076673F"/>
    <w:rsid w:val="00766DA8"/>
    <w:rsid w:val="00766FB1"/>
    <w:rsid w:val="007679E5"/>
    <w:rsid w:val="00767F93"/>
    <w:rsid w:val="00770902"/>
    <w:rsid w:val="00770972"/>
    <w:rsid w:val="0077122B"/>
    <w:rsid w:val="0077162F"/>
    <w:rsid w:val="0077177D"/>
    <w:rsid w:val="00772B08"/>
    <w:rsid w:val="0077302C"/>
    <w:rsid w:val="007736D6"/>
    <w:rsid w:val="007739CF"/>
    <w:rsid w:val="00774042"/>
    <w:rsid w:val="007742CB"/>
    <w:rsid w:val="00774418"/>
    <w:rsid w:val="0077476B"/>
    <w:rsid w:val="00774934"/>
    <w:rsid w:val="00774F20"/>
    <w:rsid w:val="00775246"/>
    <w:rsid w:val="007757F8"/>
    <w:rsid w:val="00776528"/>
    <w:rsid w:val="007765C4"/>
    <w:rsid w:val="0077671A"/>
    <w:rsid w:val="00776BA8"/>
    <w:rsid w:val="00776E2C"/>
    <w:rsid w:val="00777485"/>
    <w:rsid w:val="00777BCC"/>
    <w:rsid w:val="0078043F"/>
    <w:rsid w:val="0078074F"/>
    <w:rsid w:val="007807E3"/>
    <w:rsid w:val="00780F63"/>
    <w:rsid w:val="007814C0"/>
    <w:rsid w:val="0078172B"/>
    <w:rsid w:val="00781D9A"/>
    <w:rsid w:val="00781EBA"/>
    <w:rsid w:val="00781EFA"/>
    <w:rsid w:val="0078230F"/>
    <w:rsid w:val="00782867"/>
    <w:rsid w:val="00782F5E"/>
    <w:rsid w:val="00783B81"/>
    <w:rsid w:val="00783BF9"/>
    <w:rsid w:val="00783FD3"/>
    <w:rsid w:val="00784016"/>
    <w:rsid w:val="00784023"/>
    <w:rsid w:val="007840B2"/>
    <w:rsid w:val="0078423B"/>
    <w:rsid w:val="007842F8"/>
    <w:rsid w:val="00784B00"/>
    <w:rsid w:val="00784B2B"/>
    <w:rsid w:val="00784F58"/>
    <w:rsid w:val="00784FD3"/>
    <w:rsid w:val="00784FF4"/>
    <w:rsid w:val="007857CE"/>
    <w:rsid w:val="0078588B"/>
    <w:rsid w:val="007862F4"/>
    <w:rsid w:val="007865C4"/>
    <w:rsid w:val="007869DF"/>
    <w:rsid w:val="007873A2"/>
    <w:rsid w:val="007873BA"/>
    <w:rsid w:val="0078759B"/>
    <w:rsid w:val="0079005E"/>
    <w:rsid w:val="00790310"/>
    <w:rsid w:val="00790487"/>
    <w:rsid w:val="007905FD"/>
    <w:rsid w:val="00790770"/>
    <w:rsid w:val="007909F6"/>
    <w:rsid w:val="00790F37"/>
    <w:rsid w:val="0079135B"/>
    <w:rsid w:val="00791924"/>
    <w:rsid w:val="007933F1"/>
    <w:rsid w:val="007934E9"/>
    <w:rsid w:val="00795585"/>
    <w:rsid w:val="00795CE1"/>
    <w:rsid w:val="00795FD5"/>
    <w:rsid w:val="007965B5"/>
    <w:rsid w:val="007969FF"/>
    <w:rsid w:val="007974A7"/>
    <w:rsid w:val="007977EC"/>
    <w:rsid w:val="00797E38"/>
    <w:rsid w:val="007A00F2"/>
    <w:rsid w:val="007A0781"/>
    <w:rsid w:val="007A0C81"/>
    <w:rsid w:val="007A1122"/>
    <w:rsid w:val="007A1738"/>
    <w:rsid w:val="007A201E"/>
    <w:rsid w:val="007A2347"/>
    <w:rsid w:val="007A24F7"/>
    <w:rsid w:val="007A2A19"/>
    <w:rsid w:val="007A2A63"/>
    <w:rsid w:val="007A2C69"/>
    <w:rsid w:val="007A3047"/>
    <w:rsid w:val="007A3605"/>
    <w:rsid w:val="007A3684"/>
    <w:rsid w:val="007A3B38"/>
    <w:rsid w:val="007A4846"/>
    <w:rsid w:val="007A4E67"/>
    <w:rsid w:val="007A5450"/>
    <w:rsid w:val="007A547A"/>
    <w:rsid w:val="007A5B91"/>
    <w:rsid w:val="007A6021"/>
    <w:rsid w:val="007A608D"/>
    <w:rsid w:val="007A67A6"/>
    <w:rsid w:val="007A6B8A"/>
    <w:rsid w:val="007A7873"/>
    <w:rsid w:val="007B0417"/>
    <w:rsid w:val="007B0489"/>
    <w:rsid w:val="007B0A22"/>
    <w:rsid w:val="007B0B28"/>
    <w:rsid w:val="007B12B4"/>
    <w:rsid w:val="007B1487"/>
    <w:rsid w:val="007B2093"/>
    <w:rsid w:val="007B299C"/>
    <w:rsid w:val="007B2E6E"/>
    <w:rsid w:val="007B37C0"/>
    <w:rsid w:val="007B3B5B"/>
    <w:rsid w:val="007B3D16"/>
    <w:rsid w:val="007B41F4"/>
    <w:rsid w:val="007B492C"/>
    <w:rsid w:val="007B4F59"/>
    <w:rsid w:val="007B5029"/>
    <w:rsid w:val="007B5323"/>
    <w:rsid w:val="007B5B7F"/>
    <w:rsid w:val="007B6490"/>
    <w:rsid w:val="007B64C2"/>
    <w:rsid w:val="007B6B74"/>
    <w:rsid w:val="007B6F87"/>
    <w:rsid w:val="007B719A"/>
    <w:rsid w:val="007B7551"/>
    <w:rsid w:val="007B7904"/>
    <w:rsid w:val="007B7B53"/>
    <w:rsid w:val="007C067F"/>
    <w:rsid w:val="007C0841"/>
    <w:rsid w:val="007C0892"/>
    <w:rsid w:val="007C08E3"/>
    <w:rsid w:val="007C1215"/>
    <w:rsid w:val="007C1479"/>
    <w:rsid w:val="007C1EB7"/>
    <w:rsid w:val="007C2252"/>
    <w:rsid w:val="007C29F5"/>
    <w:rsid w:val="007C2D3D"/>
    <w:rsid w:val="007C3053"/>
    <w:rsid w:val="007C33F4"/>
    <w:rsid w:val="007C3BD7"/>
    <w:rsid w:val="007C43DC"/>
    <w:rsid w:val="007C45E4"/>
    <w:rsid w:val="007C4634"/>
    <w:rsid w:val="007C4E5E"/>
    <w:rsid w:val="007C57F0"/>
    <w:rsid w:val="007C595C"/>
    <w:rsid w:val="007C5EAB"/>
    <w:rsid w:val="007C62A1"/>
    <w:rsid w:val="007C6827"/>
    <w:rsid w:val="007C693A"/>
    <w:rsid w:val="007C69FD"/>
    <w:rsid w:val="007C6E13"/>
    <w:rsid w:val="007D05FF"/>
    <w:rsid w:val="007D0709"/>
    <w:rsid w:val="007D0B02"/>
    <w:rsid w:val="007D0BCD"/>
    <w:rsid w:val="007D1635"/>
    <w:rsid w:val="007D1D7B"/>
    <w:rsid w:val="007D2116"/>
    <w:rsid w:val="007D2224"/>
    <w:rsid w:val="007D2263"/>
    <w:rsid w:val="007D2C39"/>
    <w:rsid w:val="007D3224"/>
    <w:rsid w:val="007D3390"/>
    <w:rsid w:val="007D3694"/>
    <w:rsid w:val="007D3725"/>
    <w:rsid w:val="007D3DE3"/>
    <w:rsid w:val="007D451B"/>
    <w:rsid w:val="007D4DDB"/>
    <w:rsid w:val="007D5018"/>
    <w:rsid w:val="007D560E"/>
    <w:rsid w:val="007D5811"/>
    <w:rsid w:val="007D5847"/>
    <w:rsid w:val="007D59CA"/>
    <w:rsid w:val="007D5D2F"/>
    <w:rsid w:val="007D6DFB"/>
    <w:rsid w:val="007D7040"/>
    <w:rsid w:val="007D7120"/>
    <w:rsid w:val="007D76B1"/>
    <w:rsid w:val="007E0253"/>
    <w:rsid w:val="007E0362"/>
    <w:rsid w:val="007E0504"/>
    <w:rsid w:val="007E054F"/>
    <w:rsid w:val="007E1879"/>
    <w:rsid w:val="007E2668"/>
    <w:rsid w:val="007E38EF"/>
    <w:rsid w:val="007E391D"/>
    <w:rsid w:val="007E3D2E"/>
    <w:rsid w:val="007E3DB2"/>
    <w:rsid w:val="007E3E61"/>
    <w:rsid w:val="007E3EA1"/>
    <w:rsid w:val="007E3F5B"/>
    <w:rsid w:val="007E487A"/>
    <w:rsid w:val="007E4BA0"/>
    <w:rsid w:val="007E4CAA"/>
    <w:rsid w:val="007E4D27"/>
    <w:rsid w:val="007E51CE"/>
    <w:rsid w:val="007E53F4"/>
    <w:rsid w:val="007E58B6"/>
    <w:rsid w:val="007E5D41"/>
    <w:rsid w:val="007E6B0B"/>
    <w:rsid w:val="007E7001"/>
    <w:rsid w:val="007E72D8"/>
    <w:rsid w:val="007E7C69"/>
    <w:rsid w:val="007F0081"/>
    <w:rsid w:val="007F083C"/>
    <w:rsid w:val="007F089E"/>
    <w:rsid w:val="007F1118"/>
    <w:rsid w:val="007F181A"/>
    <w:rsid w:val="007F19AB"/>
    <w:rsid w:val="007F1CDA"/>
    <w:rsid w:val="007F2340"/>
    <w:rsid w:val="007F23F4"/>
    <w:rsid w:val="007F2860"/>
    <w:rsid w:val="007F374F"/>
    <w:rsid w:val="007F39B2"/>
    <w:rsid w:val="007F3FA2"/>
    <w:rsid w:val="007F400A"/>
    <w:rsid w:val="007F499B"/>
    <w:rsid w:val="007F4B0C"/>
    <w:rsid w:val="007F4B24"/>
    <w:rsid w:val="007F5000"/>
    <w:rsid w:val="007F53F2"/>
    <w:rsid w:val="007F5443"/>
    <w:rsid w:val="007F5A46"/>
    <w:rsid w:val="007F61E4"/>
    <w:rsid w:val="007F6310"/>
    <w:rsid w:val="007F6A8E"/>
    <w:rsid w:val="007F6B7B"/>
    <w:rsid w:val="007F76E3"/>
    <w:rsid w:val="007F78B4"/>
    <w:rsid w:val="007F797B"/>
    <w:rsid w:val="007F7AB2"/>
    <w:rsid w:val="007F7BCB"/>
    <w:rsid w:val="007F7D2F"/>
    <w:rsid w:val="00800170"/>
    <w:rsid w:val="0080140C"/>
    <w:rsid w:val="00801816"/>
    <w:rsid w:val="00801A9C"/>
    <w:rsid w:val="00802413"/>
    <w:rsid w:val="008024D8"/>
    <w:rsid w:val="008024F0"/>
    <w:rsid w:val="008027F9"/>
    <w:rsid w:val="008028D3"/>
    <w:rsid w:val="008029B5"/>
    <w:rsid w:val="00803317"/>
    <w:rsid w:val="00803A0A"/>
    <w:rsid w:val="00803DFE"/>
    <w:rsid w:val="00803E1A"/>
    <w:rsid w:val="00804914"/>
    <w:rsid w:val="0080504C"/>
    <w:rsid w:val="008054C4"/>
    <w:rsid w:val="00805565"/>
    <w:rsid w:val="00805955"/>
    <w:rsid w:val="00805B42"/>
    <w:rsid w:val="00805E59"/>
    <w:rsid w:val="00805FEC"/>
    <w:rsid w:val="0080609A"/>
    <w:rsid w:val="008063C3"/>
    <w:rsid w:val="00806C39"/>
    <w:rsid w:val="00807448"/>
    <w:rsid w:val="008076EF"/>
    <w:rsid w:val="00807E84"/>
    <w:rsid w:val="00811077"/>
    <w:rsid w:val="008120E0"/>
    <w:rsid w:val="00813029"/>
    <w:rsid w:val="008131E7"/>
    <w:rsid w:val="00813443"/>
    <w:rsid w:val="0081361E"/>
    <w:rsid w:val="00814C39"/>
    <w:rsid w:val="00814D17"/>
    <w:rsid w:val="00814D96"/>
    <w:rsid w:val="0081534B"/>
    <w:rsid w:val="00815693"/>
    <w:rsid w:val="008156E5"/>
    <w:rsid w:val="008159A0"/>
    <w:rsid w:val="00815B65"/>
    <w:rsid w:val="00815EBB"/>
    <w:rsid w:val="00816035"/>
    <w:rsid w:val="00816078"/>
    <w:rsid w:val="008161CB"/>
    <w:rsid w:val="00816342"/>
    <w:rsid w:val="00816F80"/>
    <w:rsid w:val="00817D20"/>
    <w:rsid w:val="00817D7F"/>
    <w:rsid w:val="00817DE6"/>
    <w:rsid w:val="00817E86"/>
    <w:rsid w:val="00820085"/>
    <w:rsid w:val="008201F6"/>
    <w:rsid w:val="0082027A"/>
    <w:rsid w:val="008207E1"/>
    <w:rsid w:val="00820880"/>
    <w:rsid w:val="00820DCF"/>
    <w:rsid w:val="008214B2"/>
    <w:rsid w:val="00821790"/>
    <w:rsid w:val="00821838"/>
    <w:rsid w:val="00821840"/>
    <w:rsid w:val="00821C83"/>
    <w:rsid w:val="00821DB0"/>
    <w:rsid w:val="0082250E"/>
    <w:rsid w:val="0082288A"/>
    <w:rsid w:val="00822B03"/>
    <w:rsid w:val="00822DD3"/>
    <w:rsid w:val="00822FF9"/>
    <w:rsid w:val="008230B4"/>
    <w:rsid w:val="008235A0"/>
    <w:rsid w:val="008235C6"/>
    <w:rsid w:val="00823979"/>
    <w:rsid w:val="00823D6D"/>
    <w:rsid w:val="00823FB1"/>
    <w:rsid w:val="00824358"/>
    <w:rsid w:val="00824AD1"/>
    <w:rsid w:val="008254BE"/>
    <w:rsid w:val="008259E4"/>
    <w:rsid w:val="00826129"/>
    <w:rsid w:val="00826376"/>
    <w:rsid w:val="00826B49"/>
    <w:rsid w:val="00827123"/>
    <w:rsid w:val="00827198"/>
    <w:rsid w:val="0082730B"/>
    <w:rsid w:val="00827E4E"/>
    <w:rsid w:val="00827EA8"/>
    <w:rsid w:val="008304B0"/>
    <w:rsid w:val="008309CF"/>
    <w:rsid w:val="00830BEE"/>
    <w:rsid w:val="00830D5C"/>
    <w:rsid w:val="00830DE1"/>
    <w:rsid w:val="00830E64"/>
    <w:rsid w:val="00831111"/>
    <w:rsid w:val="00831231"/>
    <w:rsid w:val="008315BD"/>
    <w:rsid w:val="00831C57"/>
    <w:rsid w:val="00831F62"/>
    <w:rsid w:val="0083224A"/>
    <w:rsid w:val="00832254"/>
    <w:rsid w:val="00832788"/>
    <w:rsid w:val="00832E09"/>
    <w:rsid w:val="00832E46"/>
    <w:rsid w:val="00832ED3"/>
    <w:rsid w:val="0083409A"/>
    <w:rsid w:val="00834132"/>
    <w:rsid w:val="008343BF"/>
    <w:rsid w:val="00834592"/>
    <w:rsid w:val="00834E0D"/>
    <w:rsid w:val="00835152"/>
    <w:rsid w:val="00835853"/>
    <w:rsid w:val="00835CC7"/>
    <w:rsid w:val="00835E70"/>
    <w:rsid w:val="0083756D"/>
    <w:rsid w:val="00837A57"/>
    <w:rsid w:val="00837BB3"/>
    <w:rsid w:val="00837EA7"/>
    <w:rsid w:val="00840518"/>
    <w:rsid w:val="008408BF"/>
    <w:rsid w:val="00840BCE"/>
    <w:rsid w:val="008418BA"/>
    <w:rsid w:val="00841E91"/>
    <w:rsid w:val="00842ED6"/>
    <w:rsid w:val="00843672"/>
    <w:rsid w:val="00843F9F"/>
    <w:rsid w:val="008444C2"/>
    <w:rsid w:val="00844567"/>
    <w:rsid w:val="008449A6"/>
    <w:rsid w:val="0084503B"/>
    <w:rsid w:val="0084503C"/>
    <w:rsid w:val="0084550B"/>
    <w:rsid w:val="0084594F"/>
    <w:rsid w:val="00845BCB"/>
    <w:rsid w:val="00846302"/>
    <w:rsid w:val="00847F5C"/>
    <w:rsid w:val="00847FA1"/>
    <w:rsid w:val="008508D7"/>
    <w:rsid w:val="0085098F"/>
    <w:rsid w:val="00850CA0"/>
    <w:rsid w:val="00850F40"/>
    <w:rsid w:val="008518FA"/>
    <w:rsid w:val="008524F9"/>
    <w:rsid w:val="008527C3"/>
    <w:rsid w:val="00853869"/>
    <w:rsid w:val="00853E8E"/>
    <w:rsid w:val="008543F2"/>
    <w:rsid w:val="00854408"/>
    <w:rsid w:val="008546F3"/>
    <w:rsid w:val="00854773"/>
    <w:rsid w:val="00854B22"/>
    <w:rsid w:val="00854BFE"/>
    <w:rsid w:val="00854C7D"/>
    <w:rsid w:val="00854E58"/>
    <w:rsid w:val="00854EB7"/>
    <w:rsid w:val="008550D9"/>
    <w:rsid w:val="008554E4"/>
    <w:rsid w:val="008560FD"/>
    <w:rsid w:val="008566D6"/>
    <w:rsid w:val="00856B2B"/>
    <w:rsid w:val="00856B99"/>
    <w:rsid w:val="00856BF6"/>
    <w:rsid w:val="00856CB0"/>
    <w:rsid w:val="00857923"/>
    <w:rsid w:val="008601D6"/>
    <w:rsid w:val="008609A9"/>
    <w:rsid w:val="00861CEC"/>
    <w:rsid w:val="00862402"/>
    <w:rsid w:val="00862C26"/>
    <w:rsid w:val="0086325D"/>
    <w:rsid w:val="008633DB"/>
    <w:rsid w:val="0086383F"/>
    <w:rsid w:val="008643B8"/>
    <w:rsid w:val="008645F7"/>
    <w:rsid w:val="0086497A"/>
    <w:rsid w:val="00864A5F"/>
    <w:rsid w:val="00864A9A"/>
    <w:rsid w:val="00864F8D"/>
    <w:rsid w:val="0086566E"/>
    <w:rsid w:val="00865A10"/>
    <w:rsid w:val="00866766"/>
    <w:rsid w:val="008667EC"/>
    <w:rsid w:val="00867510"/>
    <w:rsid w:val="00867939"/>
    <w:rsid w:val="008700CD"/>
    <w:rsid w:val="0087013D"/>
    <w:rsid w:val="008709B1"/>
    <w:rsid w:val="008709F7"/>
    <w:rsid w:val="00870FB0"/>
    <w:rsid w:val="00871359"/>
    <w:rsid w:val="00871914"/>
    <w:rsid w:val="00871C1B"/>
    <w:rsid w:val="00871CA9"/>
    <w:rsid w:val="00871E44"/>
    <w:rsid w:val="008724B9"/>
    <w:rsid w:val="00872692"/>
    <w:rsid w:val="00872910"/>
    <w:rsid w:val="00872EB7"/>
    <w:rsid w:val="00872EEE"/>
    <w:rsid w:val="008731F6"/>
    <w:rsid w:val="008735E5"/>
    <w:rsid w:val="00873919"/>
    <w:rsid w:val="00873BBE"/>
    <w:rsid w:val="00873BF6"/>
    <w:rsid w:val="00873D3C"/>
    <w:rsid w:val="00874B09"/>
    <w:rsid w:val="00874B88"/>
    <w:rsid w:val="00875059"/>
    <w:rsid w:val="0087507F"/>
    <w:rsid w:val="008756A6"/>
    <w:rsid w:val="00876346"/>
    <w:rsid w:val="0087655B"/>
    <w:rsid w:val="00876CA9"/>
    <w:rsid w:val="00876DF0"/>
    <w:rsid w:val="00876F13"/>
    <w:rsid w:val="00877362"/>
    <w:rsid w:val="00877AA9"/>
    <w:rsid w:val="00880109"/>
    <w:rsid w:val="008808F0"/>
    <w:rsid w:val="0088092B"/>
    <w:rsid w:val="00880C2D"/>
    <w:rsid w:val="0088161F"/>
    <w:rsid w:val="008820B2"/>
    <w:rsid w:val="00882CC0"/>
    <w:rsid w:val="008835BF"/>
    <w:rsid w:val="008839CE"/>
    <w:rsid w:val="00883CF7"/>
    <w:rsid w:val="008846C9"/>
    <w:rsid w:val="008849B6"/>
    <w:rsid w:val="00884AAD"/>
    <w:rsid w:val="00884BE1"/>
    <w:rsid w:val="00884BEA"/>
    <w:rsid w:val="00885503"/>
    <w:rsid w:val="0088553D"/>
    <w:rsid w:val="008861F0"/>
    <w:rsid w:val="0088623B"/>
    <w:rsid w:val="008864F6"/>
    <w:rsid w:val="00886579"/>
    <w:rsid w:val="008875D8"/>
    <w:rsid w:val="00887E08"/>
    <w:rsid w:val="00887E10"/>
    <w:rsid w:val="00887E80"/>
    <w:rsid w:val="00890367"/>
    <w:rsid w:val="008903EC"/>
    <w:rsid w:val="00890517"/>
    <w:rsid w:val="0089090F"/>
    <w:rsid w:val="00890E8A"/>
    <w:rsid w:val="00890F8C"/>
    <w:rsid w:val="008910DF"/>
    <w:rsid w:val="0089144C"/>
    <w:rsid w:val="00891764"/>
    <w:rsid w:val="008921F2"/>
    <w:rsid w:val="00892D33"/>
    <w:rsid w:val="00892F10"/>
    <w:rsid w:val="00893109"/>
    <w:rsid w:val="008935EA"/>
    <w:rsid w:val="00893C74"/>
    <w:rsid w:val="00894139"/>
    <w:rsid w:val="00894820"/>
    <w:rsid w:val="00894A6F"/>
    <w:rsid w:val="00894D21"/>
    <w:rsid w:val="0089503A"/>
    <w:rsid w:val="00895158"/>
    <w:rsid w:val="008959AD"/>
    <w:rsid w:val="00895E64"/>
    <w:rsid w:val="00895F8A"/>
    <w:rsid w:val="008970B2"/>
    <w:rsid w:val="0089792D"/>
    <w:rsid w:val="008A03E8"/>
    <w:rsid w:val="008A049F"/>
    <w:rsid w:val="008A0547"/>
    <w:rsid w:val="008A07FB"/>
    <w:rsid w:val="008A10E5"/>
    <w:rsid w:val="008A11CE"/>
    <w:rsid w:val="008A11E2"/>
    <w:rsid w:val="008A1569"/>
    <w:rsid w:val="008A1659"/>
    <w:rsid w:val="008A1F38"/>
    <w:rsid w:val="008A26FC"/>
    <w:rsid w:val="008A2957"/>
    <w:rsid w:val="008A3E15"/>
    <w:rsid w:val="008A3E32"/>
    <w:rsid w:val="008A401B"/>
    <w:rsid w:val="008A42F1"/>
    <w:rsid w:val="008A4383"/>
    <w:rsid w:val="008A44DD"/>
    <w:rsid w:val="008A4D14"/>
    <w:rsid w:val="008A4E1F"/>
    <w:rsid w:val="008A5049"/>
    <w:rsid w:val="008A50C0"/>
    <w:rsid w:val="008A559E"/>
    <w:rsid w:val="008A5FD3"/>
    <w:rsid w:val="008A6003"/>
    <w:rsid w:val="008A6044"/>
    <w:rsid w:val="008A6A21"/>
    <w:rsid w:val="008A6CB4"/>
    <w:rsid w:val="008A6E04"/>
    <w:rsid w:val="008A6EA0"/>
    <w:rsid w:val="008A7591"/>
    <w:rsid w:val="008A77E0"/>
    <w:rsid w:val="008A784E"/>
    <w:rsid w:val="008A7E14"/>
    <w:rsid w:val="008B0B00"/>
    <w:rsid w:val="008B144E"/>
    <w:rsid w:val="008B19CC"/>
    <w:rsid w:val="008B1B5F"/>
    <w:rsid w:val="008B21C7"/>
    <w:rsid w:val="008B2A19"/>
    <w:rsid w:val="008B2A76"/>
    <w:rsid w:val="008B3097"/>
    <w:rsid w:val="008B3543"/>
    <w:rsid w:val="008B3C6F"/>
    <w:rsid w:val="008B4AEE"/>
    <w:rsid w:val="008B536B"/>
    <w:rsid w:val="008B53FE"/>
    <w:rsid w:val="008B5B84"/>
    <w:rsid w:val="008B5DCD"/>
    <w:rsid w:val="008B5DF4"/>
    <w:rsid w:val="008B616D"/>
    <w:rsid w:val="008B6266"/>
    <w:rsid w:val="008B6341"/>
    <w:rsid w:val="008B6499"/>
    <w:rsid w:val="008B6757"/>
    <w:rsid w:val="008B70F9"/>
    <w:rsid w:val="008B71BB"/>
    <w:rsid w:val="008B73BA"/>
    <w:rsid w:val="008B750C"/>
    <w:rsid w:val="008B75F3"/>
    <w:rsid w:val="008C0242"/>
    <w:rsid w:val="008C0364"/>
    <w:rsid w:val="008C061E"/>
    <w:rsid w:val="008C105B"/>
    <w:rsid w:val="008C1113"/>
    <w:rsid w:val="008C1372"/>
    <w:rsid w:val="008C1DB5"/>
    <w:rsid w:val="008C1F44"/>
    <w:rsid w:val="008C2299"/>
    <w:rsid w:val="008C26A1"/>
    <w:rsid w:val="008C2AE5"/>
    <w:rsid w:val="008C2C92"/>
    <w:rsid w:val="008C2E3E"/>
    <w:rsid w:val="008C36FC"/>
    <w:rsid w:val="008C3883"/>
    <w:rsid w:val="008C453E"/>
    <w:rsid w:val="008C4FDA"/>
    <w:rsid w:val="008C5047"/>
    <w:rsid w:val="008C528C"/>
    <w:rsid w:val="008C5A63"/>
    <w:rsid w:val="008C5C98"/>
    <w:rsid w:val="008C6454"/>
    <w:rsid w:val="008C683E"/>
    <w:rsid w:val="008C6852"/>
    <w:rsid w:val="008C71CE"/>
    <w:rsid w:val="008C7352"/>
    <w:rsid w:val="008C7E52"/>
    <w:rsid w:val="008C7F8E"/>
    <w:rsid w:val="008D0081"/>
    <w:rsid w:val="008D072C"/>
    <w:rsid w:val="008D0B27"/>
    <w:rsid w:val="008D0B7F"/>
    <w:rsid w:val="008D0C95"/>
    <w:rsid w:val="008D173D"/>
    <w:rsid w:val="008D1B87"/>
    <w:rsid w:val="008D270C"/>
    <w:rsid w:val="008D2F16"/>
    <w:rsid w:val="008D2F8D"/>
    <w:rsid w:val="008D2FC9"/>
    <w:rsid w:val="008D3010"/>
    <w:rsid w:val="008D3B4F"/>
    <w:rsid w:val="008D3D75"/>
    <w:rsid w:val="008D4280"/>
    <w:rsid w:val="008D4ABB"/>
    <w:rsid w:val="008D4EB9"/>
    <w:rsid w:val="008D5B29"/>
    <w:rsid w:val="008D5B5B"/>
    <w:rsid w:val="008D5C3C"/>
    <w:rsid w:val="008D5D85"/>
    <w:rsid w:val="008D626F"/>
    <w:rsid w:val="008D68E7"/>
    <w:rsid w:val="008D699A"/>
    <w:rsid w:val="008D75F4"/>
    <w:rsid w:val="008D7763"/>
    <w:rsid w:val="008D77B3"/>
    <w:rsid w:val="008D7A31"/>
    <w:rsid w:val="008D7C1C"/>
    <w:rsid w:val="008D7C8A"/>
    <w:rsid w:val="008D7CCA"/>
    <w:rsid w:val="008E01BA"/>
    <w:rsid w:val="008E0548"/>
    <w:rsid w:val="008E0AB3"/>
    <w:rsid w:val="008E10F3"/>
    <w:rsid w:val="008E1704"/>
    <w:rsid w:val="008E1979"/>
    <w:rsid w:val="008E1EC8"/>
    <w:rsid w:val="008E20E7"/>
    <w:rsid w:val="008E2498"/>
    <w:rsid w:val="008E26B3"/>
    <w:rsid w:val="008E2937"/>
    <w:rsid w:val="008E2E85"/>
    <w:rsid w:val="008E362D"/>
    <w:rsid w:val="008E3703"/>
    <w:rsid w:val="008E3FBF"/>
    <w:rsid w:val="008E40DB"/>
    <w:rsid w:val="008E41A8"/>
    <w:rsid w:val="008E42F9"/>
    <w:rsid w:val="008E4794"/>
    <w:rsid w:val="008E51AF"/>
    <w:rsid w:val="008E5831"/>
    <w:rsid w:val="008E5B1A"/>
    <w:rsid w:val="008E66DB"/>
    <w:rsid w:val="008E6A28"/>
    <w:rsid w:val="008E6E00"/>
    <w:rsid w:val="008E7A51"/>
    <w:rsid w:val="008E7A5B"/>
    <w:rsid w:val="008E7B6A"/>
    <w:rsid w:val="008E7CF0"/>
    <w:rsid w:val="008E7D24"/>
    <w:rsid w:val="008E7D32"/>
    <w:rsid w:val="008E7F4E"/>
    <w:rsid w:val="008F029E"/>
    <w:rsid w:val="008F095B"/>
    <w:rsid w:val="008F0AA1"/>
    <w:rsid w:val="008F0B82"/>
    <w:rsid w:val="008F0D83"/>
    <w:rsid w:val="008F0EAF"/>
    <w:rsid w:val="008F13C5"/>
    <w:rsid w:val="008F15C4"/>
    <w:rsid w:val="008F16DC"/>
    <w:rsid w:val="008F174D"/>
    <w:rsid w:val="008F2C56"/>
    <w:rsid w:val="008F2CCA"/>
    <w:rsid w:val="008F34A7"/>
    <w:rsid w:val="008F37A5"/>
    <w:rsid w:val="008F3DFD"/>
    <w:rsid w:val="008F3E8F"/>
    <w:rsid w:val="008F40BA"/>
    <w:rsid w:val="008F42E7"/>
    <w:rsid w:val="008F44F2"/>
    <w:rsid w:val="008F4783"/>
    <w:rsid w:val="008F47B9"/>
    <w:rsid w:val="008F49EC"/>
    <w:rsid w:val="008F51E7"/>
    <w:rsid w:val="008F5495"/>
    <w:rsid w:val="008F5D14"/>
    <w:rsid w:val="008F5F6F"/>
    <w:rsid w:val="008F6132"/>
    <w:rsid w:val="008F6851"/>
    <w:rsid w:val="008F6C40"/>
    <w:rsid w:val="008F71B7"/>
    <w:rsid w:val="008F755B"/>
    <w:rsid w:val="008F7DD1"/>
    <w:rsid w:val="009002BC"/>
    <w:rsid w:val="00900E58"/>
    <w:rsid w:val="009019B1"/>
    <w:rsid w:val="00901A9E"/>
    <w:rsid w:val="0090200C"/>
    <w:rsid w:val="00902287"/>
    <w:rsid w:val="009025F8"/>
    <w:rsid w:val="0090294C"/>
    <w:rsid w:val="00902B44"/>
    <w:rsid w:val="009031A0"/>
    <w:rsid w:val="009033ED"/>
    <w:rsid w:val="00903708"/>
    <w:rsid w:val="00903754"/>
    <w:rsid w:val="009038FA"/>
    <w:rsid w:val="00903BE6"/>
    <w:rsid w:val="00903CC0"/>
    <w:rsid w:val="00903D77"/>
    <w:rsid w:val="00904250"/>
    <w:rsid w:val="00904784"/>
    <w:rsid w:val="00904CFE"/>
    <w:rsid w:val="00904D0F"/>
    <w:rsid w:val="00904D88"/>
    <w:rsid w:val="0090570D"/>
    <w:rsid w:val="009062F1"/>
    <w:rsid w:val="009065CA"/>
    <w:rsid w:val="0090662E"/>
    <w:rsid w:val="00906A80"/>
    <w:rsid w:val="00906C61"/>
    <w:rsid w:val="00906CA5"/>
    <w:rsid w:val="00907A12"/>
    <w:rsid w:val="009102D6"/>
    <w:rsid w:val="009102FC"/>
    <w:rsid w:val="00910EBA"/>
    <w:rsid w:val="00911011"/>
    <w:rsid w:val="009111B1"/>
    <w:rsid w:val="00911368"/>
    <w:rsid w:val="009113CC"/>
    <w:rsid w:val="009115A1"/>
    <w:rsid w:val="0091175C"/>
    <w:rsid w:val="00911873"/>
    <w:rsid w:val="009119BF"/>
    <w:rsid w:val="00911AA6"/>
    <w:rsid w:val="00911F34"/>
    <w:rsid w:val="009124D8"/>
    <w:rsid w:val="0091252D"/>
    <w:rsid w:val="0091264A"/>
    <w:rsid w:val="009129F2"/>
    <w:rsid w:val="00912D24"/>
    <w:rsid w:val="00912EC7"/>
    <w:rsid w:val="009130FE"/>
    <w:rsid w:val="00913100"/>
    <w:rsid w:val="00913376"/>
    <w:rsid w:val="00913F89"/>
    <w:rsid w:val="00914050"/>
    <w:rsid w:val="009142F2"/>
    <w:rsid w:val="009147CE"/>
    <w:rsid w:val="00914885"/>
    <w:rsid w:val="00914A1F"/>
    <w:rsid w:val="00914A9A"/>
    <w:rsid w:val="00914B47"/>
    <w:rsid w:val="009150B4"/>
    <w:rsid w:val="009159CE"/>
    <w:rsid w:val="00915A3F"/>
    <w:rsid w:val="00915DB6"/>
    <w:rsid w:val="00915FC2"/>
    <w:rsid w:val="0091612E"/>
    <w:rsid w:val="00916BE5"/>
    <w:rsid w:val="00916D52"/>
    <w:rsid w:val="00917630"/>
    <w:rsid w:val="00917658"/>
    <w:rsid w:val="009177A5"/>
    <w:rsid w:val="00917BCF"/>
    <w:rsid w:val="00917E2C"/>
    <w:rsid w:val="009201C6"/>
    <w:rsid w:val="00921933"/>
    <w:rsid w:val="00921A7C"/>
    <w:rsid w:val="00921ED0"/>
    <w:rsid w:val="00922338"/>
    <w:rsid w:val="009235BA"/>
    <w:rsid w:val="00923AA6"/>
    <w:rsid w:val="00923DD2"/>
    <w:rsid w:val="00923F88"/>
    <w:rsid w:val="00924140"/>
    <w:rsid w:val="00924B3F"/>
    <w:rsid w:val="009255C9"/>
    <w:rsid w:val="0092581C"/>
    <w:rsid w:val="00925B18"/>
    <w:rsid w:val="00925CC4"/>
    <w:rsid w:val="00925F24"/>
    <w:rsid w:val="00925F61"/>
    <w:rsid w:val="0092635C"/>
    <w:rsid w:val="009269DD"/>
    <w:rsid w:val="00927101"/>
    <w:rsid w:val="0092721F"/>
    <w:rsid w:val="00927404"/>
    <w:rsid w:val="0092775C"/>
    <w:rsid w:val="0092789B"/>
    <w:rsid w:val="009300A0"/>
    <w:rsid w:val="00930757"/>
    <w:rsid w:val="00930A7E"/>
    <w:rsid w:val="00930DF3"/>
    <w:rsid w:val="00931046"/>
    <w:rsid w:val="009310D6"/>
    <w:rsid w:val="00931835"/>
    <w:rsid w:val="00931A22"/>
    <w:rsid w:val="00931DBF"/>
    <w:rsid w:val="00931E43"/>
    <w:rsid w:val="0093246E"/>
    <w:rsid w:val="00932742"/>
    <w:rsid w:val="00932872"/>
    <w:rsid w:val="00932907"/>
    <w:rsid w:val="009334B4"/>
    <w:rsid w:val="0093361A"/>
    <w:rsid w:val="00933B3F"/>
    <w:rsid w:val="00933E95"/>
    <w:rsid w:val="009347E6"/>
    <w:rsid w:val="00934889"/>
    <w:rsid w:val="00934CD5"/>
    <w:rsid w:val="00934D2D"/>
    <w:rsid w:val="00935096"/>
    <w:rsid w:val="009356D6"/>
    <w:rsid w:val="00935F24"/>
    <w:rsid w:val="00936204"/>
    <w:rsid w:val="009363FB"/>
    <w:rsid w:val="00936B40"/>
    <w:rsid w:val="00936C59"/>
    <w:rsid w:val="0093769E"/>
    <w:rsid w:val="00937F82"/>
    <w:rsid w:val="00940485"/>
    <w:rsid w:val="00940A5E"/>
    <w:rsid w:val="00940D61"/>
    <w:rsid w:val="00940F48"/>
    <w:rsid w:val="009410B0"/>
    <w:rsid w:val="009411DF"/>
    <w:rsid w:val="0094155F"/>
    <w:rsid w:val="009415D7"/>
    <w:rsid w:val="00941C41"/>
    <w:rsid w:val="00942057"/>
    <w:rsid w:val="00942BAB"/>
    <w:rsid w:val="00942DB3"/>
    <w:rsid w:val="00942E1B"/>
    <w:rsid w:val="009436ED"/>
    <w:rsid w:val="009440AD"/>
    <w:rsid w:val="00944872"/>
    <w:rsid w:val="009448B4"/>
    <w:rsid w:val="00944C6D"/>
    <w:rsid w:val="0094514A"/>
    <w:rsid w:val="00945412"/>
    <w:rsid w:val="009461C9"/>
    <w:rsid w:val="009473A3"/>
    <w:rsid w:val="009473E3"/>
    <w:rsid w:val="0094788A"/>
    <w:rsid w:val="00950110"/>
    <w:rsid w:val="009502A7"/>
    <w:rsid w:val="0095056C"/>
    <w:rsid w:val="00950AFC"/>
    <w:rsid w:val="009515C6"/>
    <w:rsid w:val="0095161D"/>
    <w:rsid w:val="00951F81"/>
    <w:rsid w:val="00951FB5"/>
    <w:rsid w:val="00951FFB"/>
    <w:rsid w:val="00952012"/>
    <w:rsid w:val="00952224"/>
    <w:rsid w:val="00952908"/>
    <w:rsid w:val="0095296B"/>
    <w:rsid w:val="0095363E"/>
    <w:rsid w:val="009545F8"/>
    <w:rsid w:val="00955AB5"/>
    <w:rsid w:val="00955BE7"/>
    <w:rsid w:val="00955CA9"/>
    <w:rsid w:val="00955E19"/>
    <w:rsid w:val="00956C0D"/>
    <w:rsid w:val="0095714C"/>
    <w:rsid w:val="00957A97"/>
    <w:rsid w:val="00960206"/>
    <w:rsid w:val="00960241"/>
    <w:rsid w:val="009602E2"/>
    <w:rsid w:val="0096031A"/>
    <w:rsid w:val="00960597"/>
    <w:rsid w:val="00960751"/>
    <w:rsid w:val="00960792"/>
    <w:rsid w:val="009613DA"/>
    <w:rsid w:val="00961766"/>
    <w:rsid w:val="00961F07"/>
    <w:rsid w:val="00962591"/>
    <w:rsid w:val="009625AE"/>
    <w:rsid w:val="009626F6"/>
    <w:rsid w:val="009627A7"/>
    <w:rsid w:val="00962937"/>
    <w:rsid w:val="00962B26"/>
    <w:rsid w:val="00962D8B"/>
    <w:rsid w:val="00962FCF"/>
    <w:rsid w:val="00963438"/>
    <w:rsid w:val="00963651"/>
    <w:rsid w:val="00963691"/>
    <w:rsid w:val="00963A4B"/>
    <w:rsid w:val="00963B9A"/>
    <w:rsid w:val="00964E1B"/>
    <w:rsid w:val="00965096"/>
    <w:rsid w:val="009650F9"/>
    <w:rsid w:val="009652D0"/>
    <w:rsid w:val="0096550F"/>
    <w:rsid w:val="009658B4"/>
    <w:rsid w:val="00965BCC"/>
    <w:rsid w:val="00965C8B"/>
    <w:rsid w:val="00965F38"/>
    <w:rsid w:val="00966077"/>
    <w:rsid w:val="00967191"/>
    <w:rsid w:val="00967B13"/>
    <w:rsid w:val="00970677"/>
    <w:rsid w:val="009711F0"/>
    <w:rsid w:val="009719E2"/>
    <w:rsid w:val="00971A12"/>
    <w:rsid w:val="009725A9"/>
    <w:rsid w:val="0097294B"/>
    <w:rsid w:val="009733E8"/>
    <w:rsid w:val="0097382C"/>
    <w:rsid w:val="00973903"/>
    <w:rsid w:val="00974690"/>
    <w:rsid w:val="00974A41"/>
    <w:rsid w:val="009757E1"/>
    <w:rsid w:val="00975879"/>
    <w:rsid w:val="0097593A"/>
    <w:rsid w:val="009762A1"/>
    <w:rsid w:val="009762F1"/>
    <w:rsid w:val="00976470"/>
    <w:rsid w:val="00976A17"/>
    <w:rsid w:val="00976A28"/>
    <w:rsid w:val="009771A9"/>
    <w:rsid w:val="0097758A"/>
    <w:rsid w:val="00977F79"/>
    <w:rsid w:val="009801C9"/>
    <w:rsid w:val="009806F1"/>
    <w:rsid w:val="00980787"/>
    <w:rsid w:val="00980CCB"/>
    <w:rsid w:val="00980DDB"/>
    <w:rsid w:val="00981E67"/>
    <w:rsid w:val="009826D3"/>
    <w:rsid w:val="009826E6"/>
    <w:rsid w:val="00982B86"/>
    <w:rsid w:val="00982EB6"/>
    <w:rsid w:val="009834AB"/>
    <w:rsid w:val="009837C5"/>
    <w:rsid w:val="0098388D"/>
    <w:rsid w:val="009842BB"/>
    <w:rsid w:val="00984386"/>
    <w:rsid w:val="009847F6"/>
    <w:rsid w:val="00985727"/>
    <w:rsid w:val="009860B4"/>
    <w:rsid w:val="00986499"/>
    <w:rsid w:val="00986581"/>
    <w:rsid w:val="0098663D"/>
    <w:rsid w:val="00986943"/>
    <w:rsid w:val="0098705A"/>
    <w:rsid w:val="00987489"/>
    <w:rsid w:val="00987A1E"/>
    <w:rsid w:val="00987B7A"/>
    <w:rsid w:val="00987BE7"/>
    <w:rsid w:val="00990252"/>
    <w:rsid w:val="009903AF"/>
    <w:rsid w:val="009903BD"/>
    <w:rsid w:val="009905F1"/>
    <w:rsid w:val="00990C62"/>
    <w:rsid w:val="00990CEF"/>
    <w:rsid w:val="0099109F"/>
    <w:rsid w:val="00991404"/>
    <w:rsid w:val="009915A5"/>
    <w:rsid w:val="009923C9"/>
    <w:rsid w:val="0099269C"/>
    <w:rsid w:val="00992807"/>
    <w:rsid w:val="009929A0"/>
    <w:rsid w:val="009931CA"/>
    <w:rsid w:val="00993354"/>
    <w:rsid w:val="00993799"/>
    <w:rsid w:val="0099384C"/>
    <w:rsid w:val="0099398C"/>
    <w:rsid w:val="00994591"/>
    <w:rsid w:val="00994880"/>
    <w:rsid w:val="00994B75"/>
    <w:rsid w:val="00994DD8"/>
    <w:rsid w:val="009955F1"/>
    <w:rsid w:val="00995898"/>
    <w:rsid w:val="00996390"/>
    <w:rsid w:val="00996437"/>
    <w:rsid w:val="00996512"/>
    <w:rsid w:val="00996650"/>
    <w:rsid w:val="009968B9"/>
    <w:rsid w:val="009969B9"/>
    <w:rsid w:val="009969C8"/>
    <w:rsid w:val="009970FA"/>
    <w:rsid w:val="009973B3"/>
    <w:rsid w:val="00997542"/>
    <w:rsid w:val="00997721"/>
    <w:rsid w:val="00997BAF"/>
    <w:rsid w:val="00997CEA"/>
    <w:rsid w:val="0099CA0B"/>
    <w:rsid w:val="009A0BB7"/>
    <w:rsid w:val="009A1346"/>
    <w:rsid w:val="009A177C"/>
    <w:rsid w:val="009A224E"/>
    <w:rsid w:val="009A2E1E"/>
    <w:rsid w:val="009A3141"/>
    <w:rsid w:val="009A31AC"/>
    <w:rsid w:val="009A3610"/>
    <w:rsid w:val="009A44DD"/>
    <w:rsid w:val="009A483B"/>
    <w:rsid w:val="009A4857"/>
    <w:rsid w:val="009A4AF3"/>
    <w:rsid w:val="009A5467"/>
    <w:rsid w:val="009A5AAC"/>
    <w:rsid w:val="009A5D49"/>
    <w:rsid w:val="009A5FB5"/>
    <w:rsid w:val="009A6553"/>
    <w:rsid w:val="009A7197"/>
    <w:rsid w:val="009A730F"/>
    <w:rsid w:val="009B01ED"/>
    <w:rsid w:val="009B0784"/>
    <w:rsid w:val="009B07A0"/>
    <w:rsid w:val="009B0BC2"/>
    <w:rsid w:val="009B0CE7"/>
    <w:rsid w:val="009B0D57"/>
    <w:rsid w:val="009B10E5"/>
    <w:rsid w:val="009B1A8C"/>
    <w:rsid w:val="009B1BC2"/>
    <w:rsid w:val="009B20E2"/>
    <w:rsid w:val="009B2993"/>
    <w:rsid w:val="009B3825"/>
    <w:rsid w:val="009B3D79"/>
    <w:rsid w:val="009B40DD"/>
    <w:rsid w:val="009B415C"/>
    <w:rsid w:val="009B41B9"/>
    <w:rsid w:val="009B4C11"/>
    <w:rsid w:val="009B4D02"/>
    <w:rsid w:val="009B4EC1"/>
    <w:rsid w:val="009B58F0"/>
    <w:rsid w:val="009B695F"/>
    <w:rsid w:val="009B6B33"/>
    <w:rsid w:val="009B6CD9"/>
    <w:rsid w:val="009B6DB3"/>
    <w:rsid w:val="009B6F3C"/>
    <w:rsid w:val="009B71AA"/>
    <w:rsid w:val="009B742C"/>
    <w:rsid w:val="009C005A"/>
    <w:rsid w:val="009C0137"/>
    <w:rsid w:val="009C014D"/>
    <w:rsid w:val="009C03A9"/>
    <w:rsid w:val="009C04AA"/>
    <w:rsid w:val="009C05BF"/>
    <w:rsid w:val="009C08EB"/>
    <w:rsid w:val="009C0A01"/>
    <w:rsid w:val="009C0AFE"/>
    <w:rsid w:val="009C0B93"/>
    <w:rsid w:val="009C0CFE"/>
    <w:rsid w:val="009C0D7B"/>
    <w:rsid w:val="009C15B9"/>
    <w:rsid w:val="009C207A"/>
    <w:rsid w:val="009C21C0"/>
    <w:rsid w:val="009C2886"/>
    <w:rsid w:val="009C293A"/>
    <w:rsid w:val="009C3703"/>
    <w:rsid w:val="009C3A44"/>
    <w:rsid w:val="009C3F19"/>
    <w:rsid w:val="009C4189"/>
    <w:rsid w:val="009C50BA"/>
    <w:rsid w:val="009C55E1"/>
    <w:rsid w:val="009C5CFD"/>
    <w:rsid w:val="009C600D"/>
    <w:rsid w:val="009C6888"/>
    <w:rsid w:val="009C69F7"/>
    <w:rsid w:val="009C6B5A"/>
    <w:rsid w:val="009C6DD7"/>
    <w:rsid w:val="009C7186"/>
    <w:rsid w:val="009C721A"/>
    <w:rsid w:val="009C73DB"/>
    <w:rsid w:val="009C7AF5"/>
    <w:rsid w:val="009D0B60"/>
    <w:rsid w:val="009D0F1D"/>
    <w:rsid w:val="009D105F"/>
    <w:rsid w:val="009D113B"/>
    <w:rsid w:val="009D1456"/>
    <w:rsid w:val="009D1504"/>
    <w:rsid w:val="009D1762"/>
    <w:rsid w:val="009D18DB"/>
    <w:rsid w:val="009D2321"/>
    <w:rsid w:val="009D2406"/>
    <w:rsid w:val="009D2AC4"/>
    <w:rsid w:val="009D3B38"/>
    <w:rsid w:val="009D3E6D"/>
    <w:rsid w:val="009D46D1"/>
    <w:rsid w:val="009D4AA6"/>
    <w:rsid w:val="009D4BC6"/>
    <w:rsid w:val="009D5026"/>
    <w:rsid w:val="009D5BD2"/>
    <w:rsid w:val="009D5C4A"/>
    <w:rsid w:val="009D60E4"/>
    <w:rsid w:val="009D639E"/>
    <w:rsid w:val="009D6490"/>
    <w:rsid w:val="009D697E"/>
    <w:rsid w:val="009D69A9"/>
    <w:rsid w:val="009D70D3"/>
    <w:rsid w:val="009D7155"/>
    <w:rsid w:val="009D7453"/>
    <w:rsid w:val="009D7A79"/>
    <w:rsid w:val="009E0EF5"/>
    <w:rsid w:val="009E11A0"/>
    <w:rsid w:val="009E1214"/>
    <w:rsid w:val="009E1258"/>
    <w:rsid w:val="009E145A"/>
    <w:rsid w:val="009E1C91"/>
    <w:rsid w:val="009E3158"/>
    <w:rsid w:val="009E3556"/>
    <w:rsid w:val="009E3785"/>
    <w:rsid w:val="009E3DD1"/>
    <w:rsid w:val="009E4055"/>
    <w:rsid w:val="009E5B1C"/>
    <w:rsid w:val="009E5EC9"/>
    <w:rsid w:val="009E6651"/>
    <w:rsid w:val="009E6C1D"/>
    <w:rsid w:val="009E6D06"/>
    <w:rsid w:val="009E6D7F"/>
    <w:rsid w:val="009E6EB0"/>
    <w:rsid w:val="009E6ECB"/>
    <w:rsid w:val="009E765C"/>
    <w:rsid w:val="009E7918"/>
    <w:rsid w:val="009E7CA9"/>
    <w:rsid w:val="009F0722"/>
    <w:rsid w:val="009F0A7C"/>
    <w:rsid w:val="009F0B3A"/>
    <w:rsid w:val="009F0E84"/>
    <w:rsid w:val="009F12E7"/>
    <w:rsid w:val="009F2408"/>
    <w:rsid w:val="009F27D4"/>
    <w:rsid w:val="009F345B"/>
    <w:rsid w:val="009F3678"/>
    <w:rsid w:val="009F3B58"/>
    <w:rsid w:val="009F3BC5"/>
    <w:rsid w:val="009F4650"/>
    <w:rsid w:val="009F4746"/>
    <w:rsid w:val="009F4C6B"/>
    <w:rsid w:val="009F571D"/>
    <w:rsid w:val="009F5B5D"/>
    <w:rsid w:val="009F5C89"/>
    <w:rsid w:val="009F5C8A"/>
    <w:rsid w:val="009F5D35"/>
    <w:rsid w:val="009F6466"/>
    <w:rsid w:val="009F6C3C"/>
    <w:rsid w:val="009F6D44"/>
    <w:rsid w:val="009F78AC"/>
    <w:rsid w:val="009F7EB5"/>
    <w:rsid w:val="00A00056"/>
    <w:rsid w:val="00A0008D"/>
    <w:rsid w:val="00A0035B"/>
    <w:rsid w:val="00A00A71"/>
    <w:rsid w:val="00A00C46"/>
    <w:rsid w:val="00A00EEA"/>
    <w:rsid w:val="00A01077"/>
    <w:rsid w:val="00A01170"/>
    <w:rsid w:val="00A01492"/>
    <w:rsid w:val="00A01C1A"/>
    <w:rsid w:val="00A02B9C"/>
    <w:rsid w:val="00A02BED"/>
    <w:rsid w:val="00A02D3C"/>
    <w:rsid w:val="00A02FA9"/>
    <w:rsid w:val="00A032B4"/>
    <w:rsid w:val="00A03948"/>
    <w:rsid w:val="00A03C36"/>
    <w:rsid w:val="00A03C7D"/>
    <w:rsid w:val="00A03FBE"/>
    <w:rsid w:val="00A03FEF"/>
    <w:rsid w:val="00A040F5"/>
    <w:rsid w:val="00A04E4A"/>
    <w:rsid w:val="00A0694D"/>
    <w:rsid w:val="00A06A43"/>
    <w:rsid w:val="00A0751B"/>
    <w:rsid w:val="00A07DD5"/>
    <w:rsid w:val="00A10EE5"/>
    <w:rsid w:val="00A11741"/>
    <w:rsid w:val="00A11A89"/>
    <w:rsid w:val="00A11DA7"/>
    <w:rsid w:val="00A12254"/>
    <w:rsid w:val="00A1226A"/>
    <w:rsid w:val="00A123B9"/>
    <w:rsid w:val="00A12E9C"/>
    <w:rsid w:val="00A12FC7"/>
    <w:rsid w:val="00A13484"/>
    <w:rsid w:val="00A135C1"/>
    <w:rsid w:val="00A136D2"/>
    <w:rsid w:val="00A13AB0"/>
    <w:rsid w:val="00A13CF9"/>
    <w:rsid w:val="00A13E5B"/>
    <w:rsid w:val="00A13EFE"/>
    <w:rsid w:val="00A1407F"/>
    <w:rsid w:val="00A140A0"/>
    <w:rsid w:val="00A14553"/>
    <w:rsid w:val="00A146D5"/>
    <w:rsid w:val="00A150C2"/>
    <w:rsid w:val="00A150FB"/>
    <w:rsid w:val="00A153CD"/>
    <w:rsid w:val="00A15516"/>
    <w:rsid w:val="00A15582"/>
    <w:rsid w:val="00A15AC2"/>
    <w:rsid w:val="00A15D73"/>
    <w:rsid w:val="00A15F38"/>
    <w:rsid w:val="00A1628F"/>
    <w:rsid w:val="00A1682D"/>
    <w:rsid w:val="00A16873"/>
    <w:rsid w:val="00A1752E"/>
    <w:rsid w:val="00A20DC4"/>
    <w:rsid w:val="00A21078"/>
    <w:rsid w:val="00A21A4E"/>
    <w:rsid w:val="00A21C3F"/>
    <w:rsid w:val="00A22042"/>
    <w:rsid w:val="00A229F3"/>
    <w:rsid w:val="00A22D3B"/>
    <w:rsid w:val="00A23305"/>
    <w:rsid w:val="00A235E0"/>
    <w:rsid w:val="00A237AA"/>
    <w:rsid w:val="00A24297"/>
    <w:rsid w:val="00A24459"/>
    <w:rsid w:val="00A249A7"/>
    <w:rsid w:val="00A24BAD"/>
    <w:rsid w:val="00A25339"/>
    <w:rsid w:val="00A25495"/>
    <w:rsid w:val="00A25A6F"/>
    <w:rsid w:val="00A25AB8"/>
    <w:rsid w:val="00A26552"/>
    <w:rsid w:val="00A26777"/>
    <w:rsid w:val="00A27924"/>
    <w:rsid w:val="00A31271"/>
    <w:rsid w:val="00A3128A"/>
    <w:rsid w:val="00A3161B"/>
    <w:rsid w:val="00A318CF"/>
    <w:rsid w:val="00A31B2F"/>
    <w:rsid w:val="00A32ECB"/>
    <w:rsid w:val="00A331A2"/>
    <w:rsid w:val="00A33673"/>
    <w:rsid w:val="00A3384B"/>
    <w:rsid w:val="00A33B0C"/>
    <w:rsid w:val="00A34212"/>
    <w:rsid w:val="00A347D7"/>
    <w:rsid w:val="00A348A7"/>
    <w:rsid w:val="00A34A72"/>
    <w:rsid w:val="00A34C05"/>
    <w:rsid w:val="00A34E6C"/>
    <w:rsid w:val="00A34EA4"/>
    <w:rsid w:val="00A358D1"/>
    <w:rsid w:val="00A35AFD"/>
    <w:rsid w:val="00A35BEE"/>
    <w:rsid w:val="00A35E70"/>
    <w:rsid w:val="00A360E0"/>
    <w:rsid w:val="00A360F6"/>
    <w:rsid w:val="00A3671F"/>
    <w:rsid w:val="00A36727"/>
    <w:rsid w:val="00A36F72"/>
    <w:rsid w:val="00A37CB8"/>
    <w:rsid w:val="00A37E90"/>
    <w:rsid w:val="00A402F7"/>
    <w:rsid w:val="00A40AC9"/>
    <w:rsid w:val="00A40ACA"/>
    <w:rsid w:val="00A41738"/>
    <w:rsid w:val="00A418B5"/>
    <w:rsid w:val="00A41AE1"/>
    <w:rsid w:val="00A41B94"/>
    <w:rsid w:val="00A41D71"/>
    <w:rsid w:val="00A42060"/>
    <w:rsid w:val="00A42193"/>
    <w:rsid w:val="00A42A43"/>
    <w:rsid w:val="00A42E15"/>
    <w:rsid w:val="00A43373"/>
    <w:rsid w:val="00A438BE"/>
    <w:rsid w:val="00A43C50"/>
    <w:rsid w:val="00A448FC"/>
    <w:rsid w:val="00A44CE4"/>
    <w:rsid w:val="00A44F13"/>
    <w:rsid w:val="00A45361"/>
    <w:rsid w:val="00A4571E"/>
    <w:rsid w:val="00A45B8A"/>
    <w:rsid w:val="00A46924"/>
    <w:rsid w:val="00A46BAD"/>
    <w:rsid w:val="00A46CB9"/>
    <w:rsid w:val="00A47A35"/>
    <w:rsid w:val="00A47A67"/>
    <w:rsid w:val="00A47A82"/>
    <w:rsid w:val="00A47CFE"/>
    <w:rsid w:val="00A47ED5"/>
    <w:rsid w:val="00A501A3"/>
    <w:rsid w:val="00A501CB"/>
    <w:rsid w:val="00A506C0"/>
    <w:rsid w:val="00A51052"/>
    <w:rsid w:val="00A51530"/>
    <w:rsid w:val="00A51889"/>
    <w:rsid w:val="00A51D14"/>
    <w:rsid w:val="00A52000"/>
    <w:rsid w:val="00A52BDB"/>
    <w:rsid w:val="00A52BF8"/>
    <w:rsid w:val="00A52FFC"/>
    <w:rsid w:val="00A5311A"/>
    <w:rsid w:val="00A53F90"/>
    <w:rsid w:val="00A53FAC"/>
    <w:rsid w:val="00A540FD"/>
    <w:rsid w:val="00A548FF"/>
    <w:rsid w:val="00A54DAF"/>
    <w:rsid w:val="00A5501E"/>
    <w:rsid w:val="00A5528A"/>
    <w:rsid w:val="00A55429"/>
    <w:rsid w:val="00A55839"/>
    <w:rsid w:val="00A56797"/>
    <w:rsid w:val="00A568B1"/>
    <w:rsid w:val="00A56CDC"/>
    <w:rsid w:val="00A56FCF"/>
    <w:rsid w:val="00A5713E"/>
    <w:rsid w:val="00A57296"/>
    <w:rsid w:val="00A572C0"/>
    <w:rsid w:val="00A577EC"/>
    <w:rsid w:val="00A57A8D"/>
    <w:rsid w:val="00A57AF7"/>
    <w:rsid w:val="00A60334"/>
    <w:rsid w:val="00A60830"/>
    <w:rsid w:val="00A60BE5"/>
    <w:rsid w:val="00A614DF"/>
    <w:rsid w:val="00A616EB"/>
    <w:rsid w:val="00A61727"/>
    <w:rsid w:val="00A61B03"/>
    <w:rsid w:val="00A627A9"/>
    <w:rsid w:val="00A62B7B"/>
    <w:rsid w:val="00A62FA8"/>
    <w:rsid w:val="00A63142"/>
    <w:rsid w:val="00A6375A"/>
    <w:rsid w:val="00A64106"/>
    <w:rsid w:val="00A644FB"/>
    <w:rsid w:val="00A64761"/>
    <w:rsid w:val="00A658C1"/>
    <w:rsid w:val="00A665D5"/>
    <w:rsid w:val="00A66602"/>
    <w:rsid w:val="00A668FE"/>
    <w:rsid w:val="00A6737C"/>
    <w:rsid w:val="00A67428"/>
    <w:rsid w:val="00A674F9"/>
    <w:rsid w:val="00A67A43"/>
    <w:rsid w:val="00A67C94"/>
    <w:rsid w:val="00A705B5"/>
    <w:rsid w:val="00A70BC3"/>
    <w:rsid w:val="00A713AC"/>
    <w:rsid w:val="00A71C8A"/>
    <w:rsid w:val="00A71D70"/>
    <w:rsid w:val="00A72049"/>
    <w:rsid w:val="00A720FB"/>
    <w:rsid w:val="00A72EF4"/>
    <w:rsid w:val="00A72EF9"/>
    <w:rsid w:val="00A73264"/>
    <w:rsid w:val="00A737F0"/>
    <w:rsid w:val="00A73BE4"/>
    <w:rsid w:val="00A745A5"/>
    <w:rsid w:val="00A745D3"/>
    <w:rsid w:val="00A7557E"/>
    <w:rsid w:val="00A756D7"/>
    <w:rsid w:val="00A7603D"/>
    <w:rsid w:val="00A76506"/>
    <w:rsid w:val="00A76734"/>
    <w:rsid w:val="00A76ACA"/>
    <w:rsid w:val="00A77167"/>
    <w:rsid w:val="00A7769A"/>
    <w:rsid w:val="00A777F3"/>
    <w:rsid w:val="00A8017C"/>
    <w:rsid w:val="00A80793"/>
    <w:rsid w:val="00A81ED4"/>
    <w:rsid w:val="00A82312"/>
    <w:rsid w:val="00A824C9"/>
    <w:rsid w:val="00A82BE5"/>
    <w:rsid w:val="00A83146"/>
    <w:rsid w:val="00A835D2"/>
    <w:rsid w:val="00A83BA5"/>
    <w:rsid w:val="00A840BC"/>
    <w:rsid w:val="00A845AE"/>
    <w:rsid w:val="00A846A4"/>
    <w:rsid w:val="00A84702"/>
    <w:rsid w:val="00A84925"/>
    <w:rsid w:val="00A84FCE"/>
    <w:rsid w:val="00A854D7"/>
    <w:rsid w:val="00A86151"/>
    <w:rsid w:val="00A862ED"/>
    <w:rsid w:val="00A86599"/>
    <w:rsid w:val="00A86869"/>
    <w:rsid w:val="00A86873"/>
    <w:rsid w:val="00A86E49"/>
    <w:rsid w:val="00A87172"/>
    <w:rsid w:val="00A87631"/>
    <w:rsid w:val="00A87711"/>
    <w:rsid w:val="00A8782F"/>
    <w:rsid w:val="00A87B49"/>
    <w:rsid w:val="00A90400"/>
    <w:rsid w:val="00A908E9"/>
    <w:rsid w:val="00A90A20"/>
    <w:rsid w:val="00A90F16"/>
    <w:rsid w:val="00A90FA5"/>
    <w:rsid w:val="00A9133F"/>
    <w:rsid w:val="00A91B5F"/>
    <w:rsid w:val="00A9214B"/>
    <w:rsid w:val="00A9219F"/>
    <w:rsid w:val="00A9289D"/>
    <w:rsid w:val="00A92990"/>
    <w:rsid w:val="00A92DAB"/>
    <w:rsid w:val="00A93773"/>
    <w:rsid w:val="00A93803"/>
    <w:rsid w:val="00A9390C"/>
    <w:rsid w:val="00A93BAE"/>
    <w:rsid w:val="00A93C77"/>
    <w:rsid w:val="00A93EFB"/>
    <w:rsid w:val="00A93F99"/>
    <w:rsid w:val="00A94039"/>
    <w:rsid w:val="00A943AB"/>
    <w:rsid w:val="00A952EC"/>
    <w:rsid w:val="00A95427"/>
    <w:rsid w:val="00A95437"/>
    <w:rsid w:val="00A95682"/>
    <w:rsid w:val="00A958A9"/>
    <w:rsid w:val="00A9603D"/>
    <w:rsid w:val="00A965A1"/>
    <w:rsid w:val="00A966F5"/>
    <w:rsid w:val="00A96947"/>
    <w:rsid w:val="00A96D60"/>
    <w:rsid w:val="00A9789A"/>
    <w:rsid w:val="00A97ADA"/>
    <w:rsid w:val="00A97F5D"/>
    <w:rsid w:val="00AA003B"/>
    <w:rsid w:val="00AA02E7"/>
    <w:rsid w:val="00AA076A"/>
    <w:rsid w:val="00AA0B68"/>
    <w:rsid w:val="00AA0F46"/>
    <w:rsid w:val="00AA1704"/>
    <w:rsid w:val="00AA1AD6"/>
    <w:rsid w:val="00AA1DBA"/>
    <w:rsid w:val="00AA1EC6"/>
    <w:rsid w:val="00AA1F39"/>
    <w:rsid w:val="00AA2405"/>
    <w:rsid w:val="00AA3C73"/>
    <w:rsid w:val="00AA45DD"/>
    <w:rsid w:val="00AA45F0"/>
    <w:rsid w:val="00AA4824"/>
    <w:rsid w:val="00AA485E"/>
    <w:rsid w:val="00AA4977"/>
    <w:rsid w:val="00AA4CBE"/>
    <w:rsid w:val="00AA4E6D"/>
    <w:rsid w:val="00AA51A1"/>
    <w:rsid w:val="00AA53D5"/>
    <w:rsid w:val="00AA5B46"/>
    <w:rsid w:val="00AA64A2"/>
    <w:rsid w:val="00AA676F"/>
    <w:rsid w:val="00AA6B2D"/>
    <w:rsid w:val="00AA7512"/>
    <w:rsid w:val="00AA772F"/>
    <w:rsid w:val="00AA7A3D"/>
    <w:rsid w:val="00AA8ED1"/>
    <w:rsid w:val="00AB0A81"/>
    <w:rsid w:val="00AB1499"/>
    <w:rsid w:val="00AB1741"/>
    <w:rsid w:val="00AB1D4D"/>
    <w:rsid w:val="00AB2387"/>
    <w:rsid w:val="00AB2727"/>
    <w:rsid w:val="00AB28EE"/>
    <w:rsid w:val="00AB30C4"/>
    <w:rsid w:val="00AB31A7"/>
    <w:rsid w:val="00AB3572"/>
    <w:rsid w:val="00AB3867"/>
    <w:rsid w:val="00AB3B08"/>
    <w:rsid w:val="00AB3BB1"/>
    <w:rsid w:val="00AB3C4B"/>
    <w:rsid w:val="00AB3DD6"/>
    <w:rsid w:val="00AB3E71"/>
    <w:rsid w:val="00AB3EA1"/>
    <w:rsid w:val="00AB40E7"/>
    <w:rsid w:val="00AB4187"/>
    <w:rsid w:val="00AB431B"/>
    <w:rsid w:val="00AB4D27"/>
    <w:rsid w:val="00AB4F3C"/>
    <w:rsid w:val="00AB4F82"/>
    <w:rsid w:val="00AB5AE2"/>
    <w:rsid w:val="00AB5F36"/>
    <w:rsid w:val="00AB606D"/>
    <w:rsid w:val="00AB64A8"/>
    <w:rsid w:val="00AB71CA"/>
    <w:rsid w:val="00AB7DB9"/>
    <w:rsid w:val="00AB7F88"/>
    <w:rsid w:val="00AC0322"/>
    <w:rsid w:val="00AC0409"/>
    <w:rsid w:val="00AC065B"/>
    <w:rsid w:val="00AC0CB1"/>
    <w:rsid w:val="00AC228C"/>
    <w:rsid w:val="00AC2713"/>
    <w:rsid w:val="00AC2B2C"/>
    <w:rsid w:val="00AC2BB4"/>
    <w:rsid w:val="00AC2DA6"/>
    <w:rsid w:val="00AC3111"/>
    <w:rsid w:val="00AC39F0"/>
    <w:rsid w:val="00AC3F54"/>
    <w:rsid w:val="00AC419B"/>
    <w:rsid w:val="00AC45DF"/>
    <w:rsid w:val="00AC4A73"/>
    <w:rsid w:val="00AC4BD8"/>
    <w:rsid w:val="00AC4CF4"/>
    <w:rsid w:val="00AC4FD2"/>
    <w:rsid w:val="00AC5170"/>
    <w:rsid w:val="00AC58B4"/>
    <w:rsid w:val="00AC5C13"/>
    <w:rsid w:val="00AC5C70"/>
    <w:rsid w:val="00AC5ECE"/>
    <w:rsid w:val="00AC64AA"/>
    <w:rsid w:val="00AC6E31"/>
    <w:rsid w:val="00AC7508"/>
    <w:rsid w:val="00AD05A8"/>
    <w:rsid w:val="00AD066B"/>
    <w:rsid w:val="00AD0689"/>
    <w:rsid w:val="00AD0A59"/>
    <w:rsid w:val="00AD1164"/>
    <w:rsid w:val="00AD1297"/>
    <w:rsid w:val="00AD15D5"/>
    <w:rsid w:val="00AD18FC"/>
    <w:rsid w:val="00AD1B82"/>
    <w:rsid w:val="00AD2452"/>
    <w:rsid w:val="00AD2461"/>
    <w:rsid w:val="00AD24AE"/>
    <w:rsid w:val="00AD2500"/>
    <w:rsid w:val="00AD2E06"/>
    <w:rsid w:val="00AD2F4D"/>
    <w:rsid w:val="00AD2FDF"/>
    <w:rsid w:val="00AD330F"/>
    <w:rsid w:val="00AD37CF"/>
    <w:rsid w:val="00AD39C9"/>
    <w:rsid w:val="00AD3E6E"/>
    <w:rsid w:val="00AD40D1"/>
    <w:rsid w:val="00AD4731"/>
    <w:rsid w:val="00AD4899"/>
    <w:rsid w:val="00AD4ABB"/>
    <w:rsid w:val="00AD4F91"/>
    <w:rsid w:val="00AD539A"/>
    <w:rsid w:val="00AD54AA"/>
    <w:rsid w:val="00AD5761"/>
    <w:rsid w:val="00AD5D64"/>
    <w:rsid w:val="00AD6873"/>
    <w:rsid w:val="00AD6957"/>
    <w:rsid w:val="00AD6B61"/>
    <w:rsid w:val="00AD6B99"/>
    <w:rsid w:val="00AD70CD"/>
    <w:rsid w:val="00AD740D"/>
    <w:rsid w:val="00AD7994"/>
    <w:rsid w:val="00AD7F0E"/>
    <w:rsid w:val="00AD7F94"/>
    <w:rsid w:val="00AE01BE"/>
    <w:rsid w:val="00AE0ECE"/>
    <w:rsid w:val="00AE1811"/>
    <w:rsid w:val="00AE1948"/>
    <w:rsid w:val="00AE1C77"/>
    <w:rsid w:val="00AE2386"/>
    <w:rsid w:val="00AE276B"/>
    <w:rsid w:val="00AE2D29"/>
    <w:rsid w:val="00AE2D4D"/>
    <w:rsid w:val="00AE3238"/>
    <w:rsid w:val="00AE3439"/>
    <w:rsid w:val="00AE37CA"/>
    <w:rsid w:val="00AE4523"/>
    <w:rsid w:val="00AE47AC"/>
    <w:rsid w:val="00AE4B19"/>
    <w:rsid w:val="00AE4D25"/>
    <w:rsid w:val="00AE51B8"/>
    <w:rsid w:val="00AE53E5"/>
    <w:rsid w:val="00AE692C"/>
    <w:rsid w:val="00AE6A84"/>
    <w:rsid w:val="00AE7001"/>
    <w:rsid w:val="00AE74B4"/>
    <w:rsid w:val="00AE7ECA"/>
    <w:rsid w:val="00AF0169"/>
    <w:rsid w:val="00AF16AB"/>
    <w:rsid w:val="00AF1A0A"/>
    <w:rsid w:val="00AF1AE8"/>
    <w:rsid w:val="00AF2603"/>
    <w:rsid w:val="00AF2672"/>
    <w:rsid w:val="00AF300E"/>
    <w:rsid w:val="00AF369C"/>
    <w:rsid w:val="00AF39A4"/>
    <w:rsid w:val="00AF39AF"/>
    <w:rsid w:val="00AF3BEC"/>
    <w:rsid w:val="00AF49BD"/>
    <w:rsid w:val="00AF4D69"/>
    <w:rsid w:val="00AF4FE0"/>
    <w:rsid w:val="00AF594E"/>
    <w:rsid w:val="00AF5E71"/>
    <w:rsid w:val="00AF5F4C"/>
    <w:rsid w:val="00AF61F5"/>
    <w:rsid w:val="00AF643A"/>
    <w:rsid w:val="00AF6741"/>
    <w:rsid w:val="00AF787C"/>
    <w:rsid w:val="00AF7A9C"/>
    <w:rsid w:val="00B0027D"/>
    <w:rsid w:val="00B00545"/>
    <w:rsid w:val="00B00DA8"/>
    <w:rsid w:val="00B0121F"/>
    <w:rsid w:val="00B01C48"/>
    <w:rsid w:val="00B01CC4"/>
    <w:rsid w:val="00B01E67"/>
    <w:rsid w:val="00B02354"/>
    <w:rsid w:val="00B023DD"/>
    <w:rsid w:val="00B023ED"/>
    <w:rsid w:val="00B024AA"/>
    <w:rsid w:val="00B026C7"/>
    <w:rsid w:val="00B02753"/>
    <w:rsid w:val="00B02AF7"/>
    <w:rsid w:val="00B02D14"/>
    <w:rsid w:val="00B02E51"/>
    <w:rsid w:val="00B04DD7"/>
    <w:rsid w:val="00B061B9"/>
    <w:rsid w:val="00B06EF4"/>
    <w:rsid w:val="00B07155"/>
    <w:rsid w:val="00B07370"/>
    <w:rsid w:val="00B078A2"/>
    <w:rsid w:val="00B10C76"/>
    <w:rsid w:val="00B10E3D"/>
    <w:rsid w:val="00B1137E"/>
    <w:rsid w:val="00B11A57"/>
    <w:rsid w:val="00B11F71"/>
    <w:rsid w:val="00B120F1"/>
    <w:rsid w:val="00B125CF"/>
    <w:rsid w:val="00B129CE"/>
    <w:rsid w:val="00B13441"/>
    <w:rsid w:val="00B14990"/>
    <w:rsid w:val="00B14DBB"/>
    <w:rsid w:val="00B1535C"/>
    <w:rsid w:val="00B15550"/>
    <w:rsid w:val="00B15B52"/>
    <w:rsid w:val="00B16630"/>
    <w:rsid w:val="00B17491"/>
    <w:rsid w:val="00B17587"/>
    <w:rsid w:val="00B17A13"/>
    <w:rsid w:val="00B17FA7"/>
    <w:rsid w:val="00B20A94"/>
    <w:rsid w:val="00B20AB9"/>
    <w:rsid w:val="00B20B3F"/>
    <w:rsid w:val="00B20C3D"/>
    <w:rsid w:val="00B20CD1"/>
    <w:rsid w:val="00B20FAE"/>
    <w:rsid w:val="00B213D4"/>
    <w:rsid w:val="00B2153F"/>
    <w:rsid w:val="00B216EC"/>
    <w:rsid w:val="00B217E3"/>
    <w:rsid w:val="00B218E6"/>
    <w:rsid w:val="00B21DA9"/>
    <w:rsid w:val="00B2209A"/>
    <w:rsid w:val="00B222B3"/>
    <w:rsid w:val="00B228DD"/>
    <w:rsid w:val="00B22EB6"/>
    <w:rsid w:val="00B22FD7"/>
    <w:rsid w:val="00B23533"/>
    <w:rsid w:val="00B23641"/>
    <w:rsid w:val="00B236FA"/>
    <w:rsid w:val="00B23A63"/>
    <w:rsid w:val="00B24425"/>
    <w:rsid w:val="00B24723"/>
    <w:rsid w:val="00B2479B"/>
    <w:rsid w:val="00B248BD"/>
    <w:rsid w:val="00B24B06"/>
    <w:rsid w:val="00B24C16"/>
    <w:rsid w:val="00B2576B"/>
    <w:rsid w:val="00B258BF"/>
    <w:rsid w:val="00B25C2A"/>
    <w:rsid w:val="00B25DA4"/>
    <w:rsid w:val="00B26132"/>
    <w:rsid w:val="00B26828"/>
    <w:rsid w:val="00B26934"/>
    <w:rsid w:val="00B26FCE"/>
    <w:rsid w:val="00B2709C"/>
    <w:rsid w:val="00B271C1"/>
    <w:rsid w:val="00B27B24"/>
    <w:rsid w:val="00B27D0E"/>
    <w:rsid w:val="00B27D10"/>
    <w:rsid w:val="00B27D83"/>
    <w:rsid w:val="00B30F99"/>
    <w:rsid w:val="00B3133C"/>
    <w:rsid w:val="00B31751"/>
    <w:rsid w:val="00B317F9"/>
    <w:rsid w:val="00B31EEC"/>
    <w:rsid w:val="00B35731"/>
    <w:rsid w:val="00B37523"/>
    <w:rsid w:val="00B378CA"/>
    <w:rsid w:val="00B3791F"/>
    <w:rsid w:val="00B37CEC"/>
    <w:rsid w:val="00B37F10"/>
    <w:rsid w:val="00B40142"/>
    <w:rsid w:val="00B4053B"/>
    <w:rsid w:val="00B40815"/>
    <w:rsid w:val="00B41C2B"/>
    <w:rsid w:val="00B4241D"/>
    <w:rsid w:val="00B42F32"/>
    <w:rsid w:val="00B43291"/>
    <w:rsid w:val="00B43AFC"/>
    <w:rsid w:val="00B43DF6"/>
    <w:rsid w:val="00B4400A"/>
    <w:rsid w:val="00B4409A"/>
    <w:rsid w:val="00B44533"/>
    <w:rsid w:val="00B4500F"/>
    <w:rsid w:val="00B45F40"/>
    <w:rsid w:val="00B46363"/>
    <w:rsid w:val="00B463A0"/>
    <w:rsid w:val="00B4670C"/>
    <w:rsid w:val="00B467A4"/>
    <w:rsid w:val="00B4685B"/>
    <w:rsid w:val="00B46B91"/>
    <w:rsid w:val="00B46C36"/>
    <w:rsid w:val="00B470AB"/>
    <w:rsid w:val="00B473E5"/>
    <w:rsid w:val="00B475CB"/>
    <w:rsid w:val="00B479AE"/>
    <w:rsid w:val="00B47E33"/>
    <w:rsid w:val="00B501B7"/>
    <w:rsid w:val="00B50711"/>
    <w:rsid w:val="00B50A1D"/>
    <w:rsid w:val="00B513A0"/>
    <w:rsid w:val="00B5180A"/>
    <w:rsid w:val="00B51868"/>
    <w:rsid w:val="00B52340"/>
    <w:rsid w:val="00B5265B"/>
    <w:rsid w:val="00B52762"/>
    <w:rsid w:val="00B52CEA"/>
    <w:rsid w:val="00B5333F"/>
    <w:rsid w:val="00B5397F"/>
    <w:rsid w:val="00B539DD"/>
    <w:rsid w:val="00B5461A"/>
    <w:rsid w:val="00B546EA"/>
    <w:rsid w:val="00B546EE"/>
    <w:rsid w:val="00B549AF"/>
    <w:rsid w:val="00B54B7C"/>
    <w:rsid w:val="00B54EE9"/>
    <w:rsid w:val="00B5514E"/>
    <w:rsid w:val="00B55F37"/>
    <w:rsid w:val="00B563BC"/>
    <w:rsid w:val="00B56656"/>
    <w:rsid w:val="00B56740"/>
    <w:rsid w:val="00B56D23"/>
    <w:rsid w:val="00B5787F"/>
    <w:rsid w:val="00B60510"/>
    <w:rsid w:val="00B606FB"/>
    <w:rsid w:val="00B60759"/>
    <w:rsid w:val="00B607EA"/>
    <w:rsid w:val="00B6091D"/>
    <w:rsid w:val="00B60974"/>
    <w:rsid w:val="00B613FC"/>
    <w:rsid w:val="00B615FB"/>
    <w:rsid w:val="00B6177E"/>
    <w:rsid w:val="00B61966"/>
    <w:rsid w:val="00B619AA"/>
    <w:rsid w:val="00B61A37"/>
    <w:rsid w:val="00B61BE3"/>
    <w:rsid w:val="00B625A0"/>
    <w:rsid w:val="00B6295B"/>
    <w:rsid w:val="00B63386"/>
    <w:rsid w:val="00B63A2F"/>
    <w:rsid w:val="00B641A0"/>
    <w:rsid w:val="00B64230"/>
    <w:rsid w:val="00B64696"/>
    <w:rsid w:val="00B6471D"/>
    <w:rsid w:val="00B65965"/>
    <w:rsid w:val="00B65B31"/>
    <w:rsid w:val="00B65B57"/>
    <w:rsid w:val="00B65CCA"/>
    <w:rsid w:val="00B6682F"/>
    <w:rsid w:val="00B66AB2"/>
    <w:rsid w:val="00B67086"/>
    <w:rsid w:val="00B672C1"/>
    <w:rsid w:val="00B67356"/>
    <w:rsid w:val="00B70048"/>
    <w:rsid w:val="00B70177"/>
    <w:rsid w:val="00B701CB"/>
    <w:rsid w:val="00B701D9"/>
    <w:rsid w:val="00B70878"/>
    <w:rsid w:val="00B70AC4"/>
    <w:rsid w:val="00B71317"/>
    <w:rsid w:val="00B71E4B"/>
    <w:rsid w:val="00B71ED4"/>
    <w:rsid w:val="00B7276C"/>
    <w:rsid w:val="00B7281D"/>
    <w:rsid w:val="00B72996"/>
    <w:rsid w:val="00B72C41"/>
    <w:rsid w:val="00B72C4F"/>
    <w:rsid w:val="00B72D7F"/>
    <w:rsid w:val="00B72EE3"/>
    <w:rsid w:val="00B7312F"/>
    <w:rsid w:val="00B73271"/>
    <w:rsid w:val="00B73B4C"/>
    <w:rsid w:val="00B73DE1"/>
    <w:rsid w:val="00B73F83"/>
    <w:rsid w:val="00B74306"/>
    <w:rsid w:val="00B75CB5"/>
    <w:rsid w:val="00B75EAA"/>
    <w:rsid w:val="00B767B8"/>
    <w:rsid w:val="00B76C05"/>
    <w:rsid w:val="00B76E32"/>
    <w:rsid w:val="00B76E60"/>
    <w:rsid w:val="00B77318"/>
    <w:rsid w:val="00B773DA"/>
    <w:rsid w:val="00B777FD"/>
    <w:rsid w:val="00B77B0E"/>
    <w:rsid w:val="00B77D4A"/>
    <w:rsid w:val="00B80598"/>
    <w:rsid w:val="00B80ABC"/>
    <w:rsid w:val="00B818B8"/>
    <w:rsid w:val="00B81D1B"/>
    <w:rsid w:val="00B81F15"/>
    <w:rsid w:val="00B828D3"/>
    <w:rsid w:val="00B83218"/>
    <w:rsid w:val="00B833D5"/>
    <w:rsid w:val="00B836B1"/>
    <w:rsid w:val="00B8456F"/>
    <w:rsid w:val="00B847C2"/>
    <w:rsid w:val="00B84C4C"/>
    <w:rsid w:val="00B84E49"/>
    <w:rsid w:val="00B85007"/>
    <w:rsid w:val="00B86DB7"/>
    <w:rsid w:val="00B86E00"/>
    <w:rsid w:val="00B86E20"/>
    <w:rsid w:val="00B8748C"/>
    <w:rsid w:val="00B87730"/>
    <w:rsid w:val="00B87A1D"/>
    <w:rsid w:val="00B900D6"/>
    <w:rsid w:val="00B9090C"/>
    <w:rsid w:val="00B90A92"/>
    <w:rsid w:val="00B90D1F"/>
    <w:rsid w:val="00B917A7"/>
    <w:rsid w:val="00B91CD4"/>
    <w:rsid w:val="00B923B7"/>
    <w:rsid w:val="00B92F4A"/>
    <w:rsid w:val="00B92FF4"/>
    <w:rsid w:val="00B93120"/>
    <w:rsid w:val="00B933AA"/>
    <w:rsid w:val="00B93E61"/>
    <w:rsid w:val="00B943AD"/>
    <w:rsid w:val="00B94D12"/>
    <w:rsid w:val="00B954E6"/>
    <w:rsid w:val="00B95514"/>
    <w:rsid w:val="00B95942"/>
    <w:rsid w:val="00B95F19"/>
    <w:rsid w:val="00B9610D"/>
    <w:rsid w:val="00B96951"/>
    <w:rsid w:val="00B97230"/>
    <w:rsid w:val="00B972FE"/>
    <w:rsid w:val="00B973DE"/>
    <w:rsid w:val="00B9773D"/>
    <w:rsid w:val="00BA0098"/>
    <w:rsid w:val="00BA0322"/>
    <w:rsid w:val="00BA07D9"/>
    <w:rsid w:val="00BA08E0"/>
    <w:rsid w:val="00BA113C"/>
    <w:rsid w:val="00BA1549"/>
    <w:rsid w:val="00BA1CED"/>
    <w:rsid w:val="00BA2575"/>
    <w:rsid w:val="00BA267E"/>
    <w:rsid w:val="00BA2E19"/>
    <w:rsid w:val="00BA2F59"/>
    <w:rsid w:val="00BA3064"/>
    <w:rsid w:val="00BA3600"/>
    <w:rsid w:val="00BA38F0"/>
    <w:rsid w:val="00BA4048"/>
    <w:rsid w:val="00BA4141"/>
    <w:rsid w:val="00BA5094"/>
    <w:rsid w:val="00BA51A6"/>
    <w:rsid w:val="00BA5908"/>
    <w:rsid w:val="00BA599B"/>
    <w:rsid w:val="00BA6C66"/>
    <w:rsid w:val="00BA6F4E"/>
    <w:rsid w:val="00BA6FC9"/>
    <w:rsid w:val="00BA7470"/>
    <w:rsid w:val="00BA79AA"/>
    <w:rsid w:val="00BA7EB8"/>
    <w:rsid w:val="00BB017F"/>
    <w:rsid w:val="00BB023F"/>
    <w:rsid w:val="00BB0439"/>
    <w:rsid w:val="00BB084A"/>
    <w:rsid w:val="00BB0C24"/>
    <w:rsid w:val="00BB0E6A"/>
    <w:rsid w:val="00BB126E"/>
    <w:rsid w:val="00BB2ADD"/>
    <w:rsid w:val="00BB3C20"/>
    <w:rsid w:val="00BB3D42"/>
    <w:rsid w:val="00BB4A25"/>
    <w:rsid w:val="00BB4B52"/>
    <w:rsid w:val="00BB4BC7"/>
    <w:rsid w:val="00BB4CA1"/>
    <w:rsid w:val="00BB4D0A"/>
    <w:rsid w:val="00BB519A"/>
    <w:rsid w:val="00BB54C7"/>
    <w:rsid w:val="00BB58EB"/>
    <w:rsid w:val="00BB5D96"/>
    <w:rsid w:val="00BB6042"/>
    <w:rsid w:val="00BB6306"/>
    <w:rsid w:val="00BB637A"/>
    <w:rsid w:val="00BB7484"/>
    <w:rsid w:val="00BB7F6A"/>
    <w:rsid w:val="00BC01A6"/>
    <w:rsid w:val="00BC01CF"/>
    <w:rsid w:val="00BC0382"/>
    <w:rsid w:val="00BC0936"/>
    <w:rsid w:val="00BC1148"/>
    <w:rsid w:val="00BC12B3"/>
    <w:rsid w:val="00BC1836"/>
    <w:rsid w:val="00BC1AD1"/>
    <w:rsid w:val="00BC1DE0"/>
    <w:rsid w:val="00BC1F34"/>
    <w:rsid w:val="00BC1FC6"/>
    <w:rsid w:val="00BC20BE"/>
    <w:rsid w:val="00BC23E5"/>
    <w:rsid w:val="00BC2D39"/>
    <w:rsid w:val="00BC3D54"/>
    <w:rsid w:val="00BC428A"/>
    <w:rsid w:val="00BC4393"/>
    <w:rsid w:val="00BC4B73"/>
    <w:rsid w:val="00BC4BD4"/>
    <w:rsid w:val="00BC52A2"/>
    <w:rsid w:val="00BC5A3D"/>
    <w:rsid w:val="00BC5DBA"/>
    <w:rsid w:val="00BC668D"/>
    <w:rsid w:val="00BC67AA"/>
    <w:rsid w:val="00BC6932"/>
    <w:rsid w:val="00BC69D9"/>
    <w:rsid w:val="00BC6A2B"/>
    <w:rsid w:val="00BC7333"/>
    <w:rsid w:val="00BC749C"/>
    <w:rsid w:val="00BC7B59"/>
    <w:rsid w:val="00BC7DD0"/>
    <w:rsid w:val="00BD08E8"/>
    <w:rsid w:val="00BD0C61"/>
    <w:rsid w:val="00BD124D"/>
    <w:rsid w:val="00BD1A88"/>
    <w:rsid w:val="00BD22FD"/>
    <w:rsid w:val="00BD250A"/>
    <w:rsid w:val="00BD287C"/>
    <w:rsid w:val="00BD2A9E"/>
    <w:rsid w:val="00BD2D4E"/>
    <w:rsid w:val="00BD355E"/>
    <w:rsid w:val="00BD358B"/>
    <w:rsid w:val="00BD3BAA"/>
    <w:rsid w:val="00BD3C20"/>
    <w:rsid w:val="00BD3D2C"/>
    <w:rsid w:val="00BD3DA5"/>
    <w:rsid w:val="00BD402C"/>
    <w:rsid w:val="00BD4339"/>
    <w:rsid w:val="00BD4B1F"/>
    <w:rsid w:val="00BD5131"/>
    <w:rsid w:val="00BD5150"/>
    <w:rsid w:val="00BD54D1"/>
    <w:rsid w:val="00BD5958"/>
    <w:rsid w:val="00BD6391"/>
    <w:rsid w:val="00BD65BA"/>
    <w:rsid w:val="00BD6780"/>
    <w:rsid w:val="00BD6A2C"/>
    <w:rsid w:val="00BD73F9"/>
    <w:rsid w:val="00BD7413"/>
    <w:rsid w:val="00BD7865"/>
    <w:rsid w:val="00BD7898"/>
    <w:rsid w:val="00BD7E2C"/>
    <w:rsid w:val="00BE0457"/>
    <w:rsid w:val="00BE0E22"/>
    <w:rsid w:val="00BE12F3"/>
    <w:rsid w:val="00BE138C"/>
    <w:rsid w:val="00BE152B"/>
    <w:rsid w:val="00BE1701"/>
    <w:rsid w:val="00BE1E2B"/>
    <w:rsid w:val="00BE2145"/>
    <w:rsid w:val="00BE2307"/>
    <w:rsid w:val="00BE252A"/>
    <w:rsid w:val="00BE2C37"/>
    <w:rsid w:val="00BE2EA8"/>
    <w:rsid w:val="00BE313E"/>
    <w:rsid w:val="00BE32B2"/>
    <w:rsid w:val="00BE3A7F"/>
    <w:rsid w:val="00BE3B4A"/>
    <w:rsid w:val="00BE3B52"/>
    <w:rsid w:val="00BE3EF0"/>
    <w:rsid w:val="00BE41A5"/>
    <w:rsid w:val="00BE4A65"/>
    <w:rsid w:val="00BE5090"/>
    <w:rsid w:val="00BE5CEC"/>
    <w:rsid w:val="00BE5FE3"/>
    <w:rsid w:val="00BE652B"/>
    <w:rsid w:val="00BE78C7"/>
    <w:rsid w:val="00BE7956"/>
    <w:rsid w:val="00BE7B28"/>
    <w:rsid w:val="00BE7BC7"/>
    <w:rsid w:val="00BE7DF2"/>
    <w:rsid w:val="00BE7E40"/>
    <w:rsid w:val="00BF051B"/>
    <w:rsid w:val="00BF072F"/>
    <w:rsid w:val="00BF09AB"/>
    <w:rsid w:val="00BF0A2F"/>
    <w:rsid w:val="00BF1103"/>
    <w:rsid w:val="00BF13B2"/>
    <w:rsid w:val="00BF20F0"/>
    <w:rsid w:val="00BF2117"/>
    <w:rsid w:val="00BF2268"/>
    <w:rsid w:val="00BF2405"/>
    <w:rsid w:val="00BF24BF"/>
    <w:rsid w:val="00BF303F"/>
    <w:rsid w:val="00BF3240"/>
    <w:rsid w:val="00BF34DF"/>
    <w:rsid w:val="00BF35CE"/>
    <w:rsid w:val="00BF3C9B"/>
    <w:rsid w:val="00BF4C5F"/>
    <w:rsid w:val="00BF54D1"/>
    <w:rsid w:val="00BF5593"/>
    <w:rsid w:val="00BF5804"/>
    <w:rsid w:val="00BF59F1"/>
    <w:rsid w:val="00BF5DB9"/>
    <w:rsid w:val="00BF612E"/>
    <w:rsid w:val="00BF6CE7"/>
    <w:rsid w:val="00BF720E"/>
    <w:rsid w:val="00BF7636"/>
    <w:rsid w:val="00BF79C8"/>
    <w:rsid w:val="00BF7AA7"/>
    <w:rsid w:val="00BF7D0B"/>
    <w:rsid w:val="00C00358"/>
    <w:rsid w:val="00C014F0"/>
    <w:rsid w:val="00C01F09"/>
    <w:rsid w:val="00C02F3B"/>
    <w:rsid w:val="00C03351"/>
    <w:rsid w:val="00C0376E"/>
    <w:rsid w:val="00C0394B"/>
    <w:rsid w:val="00C0398A"/>
    <w:rsid w:val="00C03E20"/>
    <w:rsid w:val="00C042E3"/>
    <w:rsid w:val="00C0440E"/>
    <w:rsid w:val="00C0462F"/>
    <w:rsid w:val="00C05211"/>
    <w:rsid w:val="00C0576F"/>
    <w:rsid w:val="00C05DAE"/>
    <w:rsid w:val="00C05FF1"/>
    <w:rsid w:val="00C068C9"/>
    <w:rsid w:val="00C06B4B"/>
    <w:rsid w:val="00C06F13"/>
    <w:rsid w:val="00C07940"/>
    <w:rsid w:val="00C07A21"/>
    <w:rsid w:val="00C10308"/>
    <w:rsid w:val="00C10828"/>
    <w:rsid w:val="00C11142"/>
    <w:rsid w:val="00C12119"/>
    <w:rsid w:val="00C12330"/>
    <w:rsid w:val="00C12826"/>
    <w:rsid w:val="00C137FF"/>
    <w:rsid w:val="00C139C1"/>
    <w:rsid w:val="00C14739"/>
    <w:rsid w:val="00C151DB"/>
    <w:rsid w:val="00C15299"/>
    <w:rsid w:val="00C15887"/>
    <w:rsid w:val="00C15F9C"/>
    <w:rsid w:val="00C160EB"/>
    <w:rsid w:val="00C16102"/>
    <w:rsid w:val="00C165FF"/>
    <w:rsid w:val="00C16B71"/>
    <w:rsid w:val="00C16F57"/>
    <w:rsid w:val="00C170D5"/>
    <w:rsid w:val="00C173C0"/>
    <w:rsid w:val="00C17839"/>
    <w:rsid w:val="00C17A52"/>
    <w:rsid w:val="00C17BA6"/>
    <w:rsid w:val="00C17C3C"/>
    <w:rsid w:val="00C17F03"/>
    <w:rsid w:val="00C2006C"/>
    <w:rsid w:val="00C20440"/>
    <w:rsid w:val="00C20A70"/>
    <w:rsid w:val="00C20F43"/>
    <w:rsid w:val="00C20F44"/>
    <w:rsid w:val="00C212BA"/>
    <w:rsid w:val="00C219F7"/>
    <w:rsid w:val="00C21D65"/>
    <w:rsid w:val="00C2210C"/>
    <w:rsid w:val="00C22761"/>
    <w:rsid w:val="00C23668"/>
    <w:rsid w:val="00C236CB"/>
    <w:rsid w:val="00C23829"/>
    <w:rsid w:val="00C23974"/>
    <w:rsid w:val="00C239FA"/>
    <w:rsid w:val="00C23E4C"/>
    <w:rsid w:val="00C23F80"/>
    <w:rsid w:val="00C24246"/>
    <w:rsid w:val="00C245C2"/>
    <w:rsid w:val="00C24758"/>
    <w:rsid w:val="00C24ED6"/>
    <w:rsid w:val="00C250C9"/>
    <w:rsid w:val="00C2572C"/>
    <w:rsid w:val="00C25863"/>
    <w:rsid w:val="00C25CDB"/>
    <w:rsid w:val="00C262BB"/>
    <w:rsid w:val="00C266A5"/>
    <w:rsid w:val="00C26847"/>
    <w:rsid w:val="00C26A5D"/>
    <w:rsid w:val="00C26C50"/>
    <w:rsid w:val="00C26C86"/>
    <w:rsid w:val="00C26CC5"/>
    <w:rsid w:val="00C26DCC"/>
    <w:rsid w:val="00C270ED"/>
    <w:rsid w:val="00C27188"/>
    <w:rsid w:val="00C30136"/>
    <w:rsid w:val="00C304BF"/>
    <w:rsid w:val="00C30FB4"/>
    <w:rsid w:val="00C31A9C"/>
    <w:rsid w:val="00C31D44"/>
    <w:rsid w:val="00C32127"/>
    <w:rsid w:val="00C3259A"/>
    <w:rsid w:val="00C32C02"/>
    <w:rsid w:val="00C33414"/>
    <w:rsid w:val="00C3355D"/>
    <w:rsid w:val="00C338AB"/>
    <w:rsid w:val="00C33F1C"/>
    <w:rsid w:val="00C34029"/>
    <w:rsid w:val="00C34975"/>
    <w:rsid w:val="00C35464"/>
    <w:rsid w:val="00C35473"/>
    <w:rsid w:val="00C354CD"/>
    <w:rsid w:val="00C35675"/>
    <w:rsid w:val="00C356E6"/>
    <w:rsid w:val="00C3578B"/>
    <w:rsid w:val="00C35FDA"/>
    <w:rsid w:val="00C360AA"/>
    <w:rsid w:val="00C36497"/>
    <w:rsid w:val="00C364BD"/>
    <w:rsid w:val="00C37158"/>
    <w:rsid w:val="00C373DD"/>
    <w:rsid w:val="00C376AB"/>
    <w:rsid w:val="00C3770C"/>
    <w:rsid w:val="00C37957"/>
    <w:rsid w:val="00C37E04"/>
    <w:rsid w:val="00C401AC"/>
    <w:rsid w:val="00C401C5"/>
    <w:rsid w:val="00C40613"/>
    <w:rsid w:val="00C4070B"/>
    <w:rsid w:val="00C40FEA"/>
    <w:rsid w:val="00C41021"/>
    <w:rsid w:val="00C414B5"/>
    <w:rsid w:val="00C41624"/>
    <w:rsid w:val="00C41859"/>
    <w:rsid w:val="00C41962"/>
    <w:rsid w:val="00C41AC2"/>
    <w:rsid w:val="00C41C5F"/>
    <w:rsid w:val="00C42135"/>
    <w:rsid w:val="00C4251D"/>
    <w:rsid w:val="00C42690"/>
    <w:rsid w:val="00C428B2"/>
    <w:rsid w:val="00C42A7E"/>
    <w:rsid w:val="00C42AEE"/>
    <w:rsid w:val="00C444E6"/>
    <w:rsid w:val="00C449AC"/>
    <w:rsid w:val="00C44C8F"/>
    <w:rsid w:val="00C4515C"/>
    <w:rsid w:val="00C451D6"/>
    <w:rsid w:val="00C4551D"/>
    <w:rsid w:val="00C45655"/>
    <w:rsid w:val="00C45C45"/>
    <w:rsid w:val="00C45C81"/>
    <w:rsid w:val="00C45E1B"/>
    <w:rsid w:val="00C46905"/>
    <w:rsid w:val="00C46EDD"/>
    <w:rsid w:val="00C47070"/>
    <w:rsid w:val="00C471F3"/>
    <w:rsid w:val="00C4720A"/>
    <w:rsid w:val="00C4724B"/>
    <w:rsid w:val="00C479A1"/>
    <w:rsid w:val="00C47B9F"/>
    <w:rsid w:val="00C47D8C"/>
    <w:rsid w:val="00C506B0"/>
    <w:rsid w:val="00C507CC"/>
    <w:rsid w:val="00C50BDA"/>
    <w:rsid w:val="00C50C40"/>
    <w:rsid w:val="00C50EB9"/>
    <w:rsid w:val="00C512E1"/>
    <w:rsid w:val="00C51B97"/>
    <w:rsid w:val="00C52486"/>
    <w:rsid w:val="00C53124"/>
    <w:rsid w:val="00C531FD"/>
    <w:rsid w:val="00C53BA7"/>
    <w:rsid w:val="00C53F1B"/>
    <w:rsid w:val="00C54B2E"/>
    <w:rsid w:val="00C54BAB"/>
    <w:rsid w:val="00C555EA"/>
    <w:rsid w:val="00C5581F"/>
    <w:rsid w:val="00C55A51"/>
    <w:rsid w:val="00C56428"/>
    <w:rsid w:val="00C56461"/>
    <w:rsid w:val="00C56CAD"/>
    <w:rsid w:val="00C57651"/>
    <w:rsid w:val="00C576AA"/>
    <w:rsid w:val="00C578BE"/>
    <w:rsid w:val="00C57C1F"/>
    <w:rsid w:val="00C57F0F"/>
    <w:rsid w:val="00C60839"/>
    <w:rsid w:val="00C60E0C"/>
    <w:rsid w:val="00C61061"/>
    <w:rsid w:val="00C611A7"/>
    <w:rsid w:val="00C61B99"/>
    <w:rsid w:val="00C61D39"/>
    <w:rsid w:val="00C61E63"/>
    <w:rsid w:val="00C62358"/>
    <w:rsid w:val="00C62C0F"/>
    <w:rsid w:val="00C63216"/>
    <w:rsid w:val="00C63694"/>
    <w:rsid w:val="00C63AC9"/>
    <w:rsid w:val="00C648EC"/>
    <w:rsid w:val="00C64940"/>
    <w:rsid w:val="00C64A10"/>
    <w:rsid w:val="00C64C6E"/>
    <w:rsid w:val="00C650D9"/>
    <w:rsid w:val="00C651A0"/>
    <w:rsid w:val="00C65584"/>
    <w:rsid w:val="00C657D7"/>
    <w:rsid w:val="00C6663F"/>
    <w:rsid w:val="00C668E3"/>
    <w:rsid w:val="00C66DF2"/>
    <w:rsid w:val="00C66FC3"/>
    <w:rsid w:val="00C6707C"/>
    <w:rsid w:val="00C67886"/>
    <w:rsid w:val="00C67CBE"/>
    <w:rsid w:val="00C67D6B"/>
    <w:rsid w:val="00C70672"/>
    <w:rsid w:val="00C70857"/>
    <w:rsid w:val="00C708F1"/>
    <w:rsid w:val="00C70C1F"/>
    <w:rsid w:val="00C70D29"/>
    <w:rsid w:val="00C70D3B"/>
    <w:rsid w:val="00C70F94"/>
    <w:rsid w:val="00C71346"/>
    <w:rsid w:val="00C7169E"/>
    <w:rsid w:val="00C717FB"/>
    <w:rsid w:val="00C71E30"/>
    <w:rsid w:val="00C7204B"/>
    <w:rsid w:val="00C72256"/>
    <w:rsid w:val="00C722B0"/>
    <w:rsid w:val="00C723BF"/>
    <w:rsid w:val="00C72468"/>
    <w:rsid w:val="00C7269E"/>
    <w:rsid w:val="00C72AAE"/>
    <w:rsid w:val="00C72B62"/>
    <w:rsid w:val="00C72F86"/>
    <w:rsid w:val="00C73441"/>
    <w:rsid w:val="00C736EC"/>
    <w:rsid w:val="00C73B54"/>
    <w:rsid w:val="00C73CC3"/>
    <w:rsid w:val="00C73D00"/>
    <w:rsid w:val="00C746F4"/>
    <w:rsid w:val="00C7477E"/>
    <w:rsid w:val="00C7491F"/>
    <w:rsid w:val="00C74C6E"/>
    <w:rsid w:val="00C7557C"/>
    <w:rsid w:val="00C75E61"/>
    <w:rsid w:val="00C75F76"/>
    <w:rsid w:val="00C75FB2"/>
    <w:rsid w:val="00C760A2"/>
    <w:rsid w:val="00C76A1D"/>
    <w:rsid w:val="00C76DBA"/>
    <w:rsid w:val="00C76EE2"/>
    <w:rsid w:val="00C7738D"/>
    <w:rsid w:val="00C77857"/>
    <w:rsid w:val="00C80B3E"/>
    <w:rsid w:val="00C80C67"/>
    <w:rsid w:val="00C80C7E"/>
    <w:rsid w:val="00C80E54"/>
    <w:rsid w:val="00C81D21"/>
    <w:rsid w:val="00C81F8B"/>
    <w:rsid w:val="00C82734"/>
    <w:rsid w:val="00C82C81"/>
    <w:rsid w:val="00C82E1C"/>
    <w:rsid w:val="00C83038"/>
    <w:rsid w:val="00C83589"/>
    <w:rsid w:val="00C83744"/>
    <w:rsid w:val="00C83994"/>
    <w:rsid w:val="00C83BC4"/>
    <w:rsid w:val="00C8463A"/>
    <w:rsid w:val="00C851D8"/>
    <w:rsid w:val="00C85D0F"/>
    <w:rsid w:val="00C85EF1"/>
    <w:rsid w:val="00C86326"/>
    <w:rsid w:val="00C867F8"/>
    <w:rsid w:val="00C86BE4"/>
    <w:rsid w:val="00C86F2B"/>
    <w:rsid w:val="00C87767"/>
    <w:rsid w:val="00C87A7A"/>
    <w:rsid w:val="00C87F3D"/>
    <w:rsid w:val="00C90252"/>
    <w:rsid w:val="00C902FA"/>
    <w:rsid w:val="00C917C5"/>
    <w:rsid w:val="00C91BB9"/>
    <w:rsid w:val="00C928CA"/>
    <w:rsid w:val="00C92A5B"/>
    <w:rsid w:val="00C92A72"/>
    <w:rsid w:val="00C93B02"/>
    <w:rsid w:val="00C94BC6"/>
    <w:rsid w:val="00C94E86"/>
    <w:rsid w:val="00C9560A"/>
    <w:rsid w:val="00C957F6"/>
    <w:rsid w:val="00C95818"/>
    <w:rsid w:val="00C95CC7"/>
    <w:rsid w:val="00C95D21"/>
    <w:rsid w:val="00C96385"/>
    <w:rsid w:val="00C96870"/>
    <w:rsid w:val="00C96B13"/>
    <w:rsid w:val="00C97252"/>
    <w:rsid w:val="00C9729A"/>
    <w:rsid w:val="00C9731C"/>
    <w:rsid w:val="00C973AB"/>
    <w:rsid w:val="00C97416"/>
    <w:rsid w:val="00C975EB"/>
    <w:rsid w:val="00C9780D"/>
    <w:rsid w:val="00C9788C"/>
    <w:rsid w:val="00C978CF"/>
    <w:rsid w:val="00C97EFA"/>
    <w:rsid w:val="00CA0791"/>
    <w:rsid w:val="00CA0850"/>
    <w:rsid w:val="00CA0A44"/>
    <w:rsid w:val="00CA0BF6"/>
    <w:rsid w:val="00CA12AD"/>
    <w:rsid w:val="00CA14CA"/>
    <w:rsid w:val="00CA1AEE"/>
    <w:rsid w:val="00CA1D67"/>
    <w:rsid w:val="00CA20B3"/>
    <w:rsid w:val="00CA2D44"/>
    <w:rsid w:val="00CA44CB"/>
    <w:rsid w:val="00CA4E2C"/>
    <w:rsid w:val="00CA4E64"/>
    <w:rsid w:val="00CA5894"/>
    <w:rsid w:val="00CA5E80"/>
    <w:rsid w:val="00CA65AA"/>
    <w:rsid w:val="00CA66E6"/>
    <w:rsid w:val="00CA6878"/>
    <w:rsid w:val="00CA6C5D"/>
    <w:rsid w:val="00CA736A"/>
    <w:rsid w:val="00CA7701"/>
    <w:rsid w:val="00CA770C"/>
    <w:rsid w:val="00CB0128"/>
    <w:rsid w:val="00CB0CB5"/>
    <w:rsid w:val="00CB0F44"/>
    <w:rsid w:val="00CB173F"/>
    <w:rsid w:val="00CB1823"/>
    <w:rsid w:val="00CB1C73"/>
    <w:rsid w:val="00CB1EF1"/>
    <w:rsid w:val="00CB225E"/>
    <w:rsid w:val="00CB2776"/>
    <w:rsid w:val="00CB313F"/>
    <w:rsid w:val="00CB34F3"/>
    <w:rsid w:val="00CB3EA4"/>
    <w:rsid w:val="00CB4BBD"/>
    <w:rsid w:val="00CB4D9C"/>
    <w:rsid w:val="00CB4F0A"/>
    <w:rsid w:val="00CB52EA"/>
    <w:rsid w:val="00CB5348"/>
    <w:rsid w:val="00CB5690"/>
    <w:rsid w:val="00CB56DE"/>
    <w:rsid w:val="00CB5A99"/>
    <w:rsid w:val="00CB5B0E"/>
    <w:rsid w:val="00CB5D0C"/>
    <w:rsid w:val="00CB60AE"/>
    <w:rsid w:val="00CB6214"/>
    <w:rsid w:val="00CB62CB"/>
    <w:rsid w:val="00CB6757"/>
    <w:rsid w:val="00CB6D8A"/>
    <w:rsid w:val="00CB75C1"/>
    <w:rsid w:val="00CC0289"/>
    <w:rsid w:val="00CC08AE"/>
    <w:rsid w:val="00CC0CB9"/>
    <w:rsid w:val="00CC1A61"/>
    <w:rsid w:val="00CC1CB9"/>
    <w:rsid w:val="00CC1CEE"/>
    <w:rsid w:val="00CC21DA"/>
    <w:rsid w:val="00CC2D08"/>
    <w:rsid w:val="00CC32ED"/>
    <w:rsid w:val="00CC3C1A"/>
    <w:rsid w:val="00CC4A6C"/>
    <w:rsid w:val="00CC5174"/>
    <w:rsid w:val="00CC5253"/>
    <w:rsid w:val="00CC545A"/>
    <w:rsid w:val="00CC5518"/>
    <w:rsid w:val="00CC57CE"/>
    <w:rsid w:val="00CC5A8F"/>
    <w:rsid w:val="00CC5ACF"/>
    <w:rsid w:val="00CC5C32"/>
    <w:rsid w:val="00CC6B0C"/>
    <w:rsid w:val="00CC6BBC"/>
    <w:rsid w:val="00CC6C90"/>
    <w:rsid w:val="00CC7331"/>
    <w:rsid w:val="00CC7447"/>
    <w:rsid w:val="00CC7FA1"/>
    <w:rsid w:val="00CD02F0"/>
    <w:rsid w:val="00CD037F"/>
    <w:rsid w:val="00CD04E5"/>
    <w:rsid w:val="00CD0998"/>
    <w:rsid w:val="00CD0C5E"/>
    <w:rsid w:val="00CD0F12"/>
    <w:rsid w:val="00CD109B"/>
    <w:rsid w:val="00CD10B3"/>
    <w:rsid w:val="00CD1222"/>
    <w:rsid w:val="00CD1268"/>
    <w:rsid w:val="00CD161C"/>
    <w:rsid w:val="00CD16E5"/>
    <w:rsid w:val="00CD26FC"/>
    <w:rsid w:val="00CD28B9"/>
    <w:rsid w:val="00CD29B2"/>
    <w:rsid w:val="00CD2CA0"/>
    <w:rsid w:val="00CD3163"/>
    <w:rsid w:val="00CD329B"/>
    <w:rsid w:val="00CD33F8"/>
    <w:rsid w:val="00CD3538"/>
    <w:rsid w:val="00CD36BE"/>
    <w:rsid w:val="00CD39A3"/>
    <w:rsid w:val="00CD450B"/>
    <w:rsid w:val="00CD48A5"/>
    <w:rsid w:val="00CD4BFC"/>
    <w:rsid w:val="00CD54A0"/>
    <w:rsid w:val="00CD60AE"/>
    <w:rsid w:val="00CD61CD"/>
    <w:rsid w:val="00CD6414"/>
    <w:rsid w:val="00CD6B9D"/>
    <w:rsid w:val="00CD7098"/>
    <w:rsid w:val="00CD70C7"/>
    <w:rsid w:val="00CD7612"/>
    <w:rsid w:val="00CD76DA"/>
    <w:rsid w:val="00CD79FC"/>
    <w:rsid w:val="00CD7F42"/>
    <w:rsid w:val="00CE0FBF"/>
    <w:rsid w:val="00CE1063"/>
    <w:rsid w:val="00CE112C"/>
    <w:rsid w:val="00CE13A1"/>
    <w:rsid w:val="00CE1425"/>
    <w:rsid w:val="00CE1692"/>
    <w:rsid w:val="00CE179F"/>
    <w:rsid w:val="00CE1A34"/>
    <w:rsid w:val="00CE1E30"/>
    <w:rsid w:val="00CE2463"/>
    <w:rsid w:val="00CE2D4E"/>
    <w:rsid w:val="00CE33FA"/>
    <w:rsid w:val="00CE3AD8"/>
    <w:rsid w:val="00CE4316"/>
    <w:rsid w:val="00CE43E2"/>
    <w:rsid w:val="00CE5192"/>
    <w:rsid w:val="00CE551A"/>
    <w:rsid w:val="00CE5613"/>
    <w:rsid w:val="00CE56D7"/>
    <w:rsid w:val="00CE592F"/>
    <w:rsid w:val="00CE5A24"/>
    <w:rsid w:val="00CE5E1C"/>
    <w:rsid w:val="00CE5E60"/>
    <w:rsid w:val="00CE6C7F"/>
    <w:rsid w:val="00CE6D13"/>
    <w:rsid w:val="00CE6E23"/>
    <w:rsid w:val="00CE703A"/>
    <w:rsid w:val="00CE7345"/>
    <w:rsid w:val="00CE792E"/>
    <w:rsid w:val="00CE79D7"/>
    <w:rsid w:val="00CE7BB1"/>
    <w:rsid w:val="00CE7CC9"/>
    <w:rsid w:val="00CF03EC"/>
    <w:rsid w:val="00CF080B"/>
    <w:rsid w:val="00CF0A36"/>
    <w:rsid w:val="00CF0D99"/>
    <w:rsid w:val="00CF1AFB"/>
    <w:rsid w:val="00CF1D93"/>
    <w:rsid w:val="00CF22D3"/>
    <w:rsid w:val="00CF237B"/>
    <w:rsid w:val="00CF2B77"/>
    <w:rsid w:val="00CF2EE3"/>
    <w:rsid w:val="00CF3289"/>
    <w:rsid w:val="00CF3488"/>
    <w:rsid w:val="00CF36DC"/>
    <w:rsid w:val="00CF3D6A"/>
    <w:rsid w:val="00CF3DA5"/>
    <w:rsid w:val="00CF48DB"/>
    <w:rsid w:val="00CF4D99"/>
    <w:rsid w:val="00CF5223"/>
    <w:rsid w:val="00CF5496"/>
    <w:rsid w:val="00CF597E"/>
    <w:rsid w:val="00CF5994"/>
    <w:rsid w:val="00CF5F03"/>
    <w:rsid w:val="00CF74D9"/>
    <w:rsid w:val="00CF7A0A"/>
    <w:rsid w:val="00CF7F31"/>
    <w:rsid w:val="00CF7F83"/>
    <w:rsid w:val="00D000CC"/>
    <w:rsid w:val="00D002FB"/>
    <w:rsid w:val="00D00302"/>
    <w:rsid w:val="00D00380"/>
    <w:rsid w:val="00D00418"/>
    <w:rsid w:val="00D00658"/>
    <w:rsid w:val="00D00A5A"/>
    <w:rsid w:val="00D00D7C"/>
    <w:rsid w:val="00D00E66"/>
    <w:rsid w:val="00D00FE2"/>
    <w:rsid w:val="00D01D37"/>
    <w:rsid w:val="00D01ECD"/>
    <w:rsid w:val="00D0274B"/>
    <w:rsid w:val="00D030F7"/>
    <w:rsid w:val="00D037F5"/>
    <w:rsid w:val="00D04155"/>
    <w:rsid w:val="00D0462C"/>
    <w:rsid w:val="00D05398"/>
    <w:rsid w:val="00D057BA"/>
    <w:rsid w:val="00D05C35"/>
    <w:rsid w:val="00D05CEC"/>
    <w:rsid w:val="00D06601"/>
    <w:rsid w:val="00D067AF"/>
    <w:rsid w:val="00D06AEA"/>
    <w:rsid w:val="00D06B3C"/>
    <w:rsid w:val="00D06D1F"/>
    <w:rsid w:val="00D0717B"/>
    <w:rsid w:val="00D0757F"/>
    <w:rsid w:val="00D07E67"/>
    <w:rsid w:val="00D10929"/>
    <w:rsid w:val="00D10A28"/>
    <w:rsid w:val="00D11A46"/>
    <w:rsid w:val="00D12718"/>
    <w:rsid w:val="00D1295B"/>
    <w:rsid w:val="00D12B84"/>
    <w:rsid w:val="00D12CDB"/>
    <w:rsid w:val="00D12E06"/>
    <w:rsid w:val="00D12E16"/>
    <w:rsid w:val="00D13023"/>
    <w:rsid w:val="00D1303E"/>
    <w:rsid w:val="00D13526"/>
    <w:rsid w:val="00D13601"/>
    <w:rsid w:val="00D136C9"/>
    <w:rsid w:val="00D13A4C"/>
    <w:rsid w:val="00D14367"/>
    <w:rsid w:val="00D144D3"/>
    <w:rsid w:val="00D1451F"/>
    <w:rsid w:val="00D14DDD"/>
    <w:rsid w:val="00D14E80"/>
    <w:rsid w:val="00D1547F"/>
    <w:rsid w:val="00D1669B"/>
    <w:rsid w:val="00D167D4"/>
    <w:rsid w:val="00D16EA7"/>
    <w:rsid w:val="00D178C5"/>
    <w:rsid w:val="00D178CF"/>
    <w:rsid w:val="00D179DD"/>
    <w:rsid w:val="00D17BC1"/>
    <w:rsid w:val="00D17E8F"/>
    <w:rsid w:val="00D17F04"/>
    <w:rsid w:val="00D20328"/>
    <w:rsid w:val="00D203D5"/>
    <w:rsid w:val="00D207F6"/>
    <w:rsid w:val="00D225B4"/>
    <w:rsid w:val="00D226DD"/>
    <w:rsid w:val="00D2271C"/>
    <w:rsid w:val="00D22A18"/>
    <w:rsid w:val="00D22A3F"/>
    <w:rsid w:val="00D22F19"/>
    <w:rsid w:val="00D235BA"/>
    <w:rsid w:val="00D236DB"/>
    <w:rsid w:val="00D23ED6"/>
    <w:rsid w:val="00D240E0"/>
    <w:rsid w:val="00D2449C"/>
    <w:rsid w:val="00D2469E"/>
    <w:rsid w:val="00D2472A"/>
    <w:rsid w:val="00D247C9"/>
    <w:rsid w:val="00D248C4"/>
    <w:rsid w:val="00D249CD"/>
    <w:rsid w:val="00D24C1C"/>
    <w:rsid w:val="00D25093"/>
    <w:rsid w:val="00D25148"/>
    <w:rsid w:val="00D251BA"/>
    <w:rsid w:val="00D252E4"/>
    <w:rsid w:val="00D253B4"/>
    <w:rsid w:val="00D25677"/>
    <w:rsid w:val="00D2568A"/>
    <w:rsid w:val="00D25C18"/>
    <w:rsid w:val="00D25FF6"/>
    <w:rsid w:val="00D263DA"/>
    <w:rsid w:val="00D26B67"/>
    <w:rsid w:val="00D26D5C"/>
    <w:rsid w:val="00D27377"/>
    <w:rsid w:val="00D2766E"/>
    <w:rsid w:val="00D27E6E"/>
    <w:rsid w:val="00D2DF08"/>
    <w:rsid w:val="00D3011C"/>
    <w:rsid w:val="00D3039B"/>
    <w:rsid w:val="00D30755"/>
    <w:rsid w:val="00D30C1B"/>
    <w:rsid w:val="00D314C7"/>
    <w:rsid w:val="00D31501"/>
    <w:rsid w:val="00D317CB"/>
    <w:rsid w:val="00D319E0"/>
    <w:rsid w:val="00D31E2A"/>
    <w:rsid w:val="00D32283"/>
    <w:rsid w:val="00D3254F"/>
    <w:rsid w:val="00D3263B"/>
    <w:rsid w:val="00D32D35"/>
    <w:rsid w:val="00D32D69"/>
    <w:rsid w:val="00D3328A"/>
    <w:rsid w:val="00D3367D"/>
    <w:rsid w:val="00D3385B"/>
    <w:rsid w:val="00D34174"/>
    <w:rsid w:val="00D34312"/>
    <w:rsid w:val="00D35360"/>
    <w:rsid w:val="00D354F7"/>
    <w:rsid w:val="00D35984"/>
    <w:rsid w:val="00D35BF4"/>
    <w:rsid w:val="00D367AD"/>
    <w:rsid w:val="00D3726A"/>
    <w:rsid w:val="00D37B5C"/>
    <w:rsid w:val="00D37C3C"/>
    <w:rsid w:val="00D37F74"/>
    <w:rsid w:val="00D40668"/>
    <w:rsid w:val="00D40811"/>
    <w:rsid w:val="00D40874"/>
    <w:rsid w:val="00D40A72"/>
    <w:rsid w:val="00D40C49"/>
    <w:rsid w:val="00D41CF5"/>
    <w:rsid w:val="00D41DA7"/>
    <w:rsid w:val="00D41F4F"/>
    <w:rsid w:val="00D41FB4"/>
    <w:rsid w:val="00D42986"/>
    <w:rsid w:val="00D42CEC"/>
    <w:rsid w:val="00D434DD"/>
    <w:rsid w:val="00D43AE6"/>
    <w:rsid w:val="00D4471A"/>
    <w:rsid w:val="00D4485F"/>
    <w:rsid w:val="00D44C6D"/>
    <w:rsid w:val="00D44D76"/>
    <w:rsid w:val="00D44F7F"/>
    <w:rsid w:val="00D45995"/>
    <w:rsid w:val="00D45F55"/>
    <w:rsid w:val="00D466ED"/>
    <w:rsid w:val="00D467F8"/>
    <w:rsid w:val="00D46CEB"/>
    <w:rsid w:val="00D46D59"/>
    <w:rsid w:val="00D470C3"/>
    <w:rsid w:val="00D47A24"/>
    <w:rsid w:val="00D47B8C"/>
    <w:rsid w:val="00D50AA8"/>
    <w:rsid w:val="00D51051"/>
    <w:rsid w:val="00D513AE"/>
    <w:rsid w:val="00D5185B"/>
    <w:rsid w:val="00D51D75"/>
    <w:rsid w:val="00D520A6"/>
    <w:rsid w:val="00D521CA"/>
    <w:rsid w:val="00D52878"/>
    <w:rsid w:val="00D52967"/>
    <w:rsid w:val="00D529FA"/>
    <w:rsid w:val="00D52B23"/>
    <w:rsid w:val="00D53A97"/>
    <w:rsid w:val="00D53AFB"/>
    <w:rsid w:val="00D53CD2"/>
    <w:rsid w:val="00D53F71"/>
    <w:rsid w:val="00D541FB"/>
    <w:rsid w:val="00D54565"/>
    <w:rsid w:val="00D54669"/>
    <w:rsid w:val="00D54A76"/>
    <w:rsid w:val="00D5542E"/>
    <w:rsid w:val="00D556CB"/>
    <w:rsid w:val="00D55828"/>
    <w:rsid w:val="00D55BA7"/>
    <w:rsid w:val="00D55C88"/>
    <w:rsid w:val="00D55D8F"/>
    <w:rsid w:val="00D56343"/>
    <w:rsid w:val="00D5656C"/>
    <w:rsid w:val="00D5707C"/>
    <w:rsid w:val="00D579DA"/>
    <w:rsid w:val="00D57B36"/>
    <w:rsid w:val="00D57EC9"/>
    <w:rsid w:val="00D6153E"/>
    <w:rsid w:val="00D61631"/>
    <w:rsid w:val="00D61DD6"/>
    <w:rsid w:val="00D620FA"/>
    <w:rsid w:val="00D63242"/>
    <w:rsid w:val="00D6354C"/>
    <w:rsid w:val="00D63BC0"/>
    <w:rsid w:val="00D63BFD"/>
    <w:rsid w:val="00D63F8E"/>
    <w:rsid w:val="00D643A3"/>
    <w:rsid w:val="00D64BA0"/>
    <w:rsid w:val="00D6582D"/>
    <w:rsid w:val="00D65BE3"/>
    <w:rsid w:val="00D65CEA"/>
    <w:rsid w:val="00D66426"/>
    <w:rsid w:val="00D66BCE"/>
    <w:rsid w:val="00D66C01"/>
    <w:rsid w:val="00D67504"/>
    <w:rsid w:val="00D67B48"/>
    <w:rsid w:val="00D67BCA"/>
    <w:rsid w:val="00D6BD35"/>
    <w:rsid w:val="00D7022A"/>
    <w:rsid w:val="00D7080C"/>
    <w:rsid w:val="00D70BA8"/>
    <w:rsid w:val="00D70C75"/>
    <w:rsid w:val="00D71114"/>
    <w:rsid w:val="00D718D4"/>
    <w:rsid w:val="00D71A8D"/>
    <w:rsid w:val="00D71F88"/>
    <w:rsid w:val="00D72129"/>
    <w:rsid w:val="00D722CA"/>
    <w:rsid w:val="00D72A88"/>
    <w:rsid w:val="00D72D9A"/>
    <w:rsid w:val="00D72EE9"/>
    <w:rsid w:val="00D734D1"/>
    <w:rsid w:val="00D73B01"/>
    <w:rsid w:val="00D73CB3"/>
    <w:rsid w:val="00D73FEA"/>
    <w:rsid w:val="00D7426D"/>
    <w:rsid w:val="00D7496C"/>
    <w:rsid w:val="00D74B5C"/>
    <w:rsid w:val="00D74BD2"/>
    <w:rsid w:val="00D751FF"/>
    <w:rsid w:val="00D756A3"/>
    <w:rsid w:val="00D758BB"/>
    <w:rsid w:val="00D75BA3"/>
    <w:rsid w:val="00D76151"/>
    <w:rsid w:val="00D7653C"/>
    <w:rsid w:val="00D7698D"/>
    <w:rsid w:val="00D77197"/>
    <w:rsid w:val="00D7742F"/>
    <w:rsid w:val="00D77602"/>
    <w:rsid w:val="00D77A60"/>
    <w:rsid w:val="00D77DE9"/>
    <w:rsid w:val="00D808F2"/>
    <w:rsid w:val="00D814B0"/>
    <w:rsid w:val="00D82268"/>
    <w:rsid w:val="00D823E0"/>
    <w:rsid w:val="00D82841"/>
    <w:rsid w:val="00D82856"/>
    <w:rsid w:val="00D82AD2"/>
    <w:rsid w:val="00D84B48"/>
    <w:rsid w:val="00D84DAD"/>
    <w:rsid w:val="00D850F3"/>
    <w:rsid w:val="00D8537F"/>
    <w:rsid w:val="00D85463"/>
    <w:rsid w:val="00D8552F"/>
    <w:rsid w:val="00D85572"/>
    <w:rsid w:val="00D86159"/>
    <w:rsid w:val="00D86AC6"/>
    <w:rsid w:val="00D86DEC"/>
    <w:rsid w:val="00D876A8"/>
    <w:rsid w:val="00D87810"/>
    <w:rsid w:val="00D90657"/>
    <w:rsid w:val="00D906CC"/>
    <w:rsid w:val="00D90955"/>
    <w:rsid w:val="00D90BD7"/>
    <w:rsid w:val="00D91370"/>
    <w:rsid w:val="00D919B2"/>
    <w:rsid w:val="00D91F13"/>
    <w:rsid w:val="00D91F66"/>
    <w:rsid w:val="00D93138"/>
    <w:rsid w:val="00D936B3"/>
    <w:rsid w:val="00D936E3"/>
    <w:rsid w:val="00D939A2"/>
    <w:rsid w:val="00D93DFA"/>
    <w:rsid w:val="00D93E50"/>
    <w:rsid w:val="00D9402A"/>
    <w:rsid w:val="00D94302"/>
    <w:rsid w:val="00D94757"/>
    <w:rsid w:val="00D94D74"/>
    <w:rsid w:val="00D94FE8"/>
    <w:rsid w:val="00D95098"/>
    <w:rsid w:val="00D95225"/>
    <w:rsid w:val="00D95796"/>
    <w:rsid w:val="00D95C31"/>
    <w:rsid w:val="00D95D61"/>
    <w:rsid w:val="00D95E3E"/>
    <w:rsid w:val="00D9600C"/>
    <w:rsid w:val="00D9607A"/>
    <w:rsid w:val="00D96680"/>
    <w:rsid w:val="00D97268"/>
    <w:rsid w:val="00D9754B"/>
    <w:rsid w:val="00D97552"/>
    <w:rsid w:val="00D9768B"/>
    <w:rsid w:val="00D97C70"/>
    <w:rsid w:val="00D97FE3"/>
    <w:rsid w:val="00DA0187"/>
    <w:rsid w:val="00DA0E91"/>
    <w:rsid w:val="00DA0FAD"/>
    <w:rsid w:val="00DA137C"/>
    <w:rsid w:val="00DA1868"/>
    <w:rsid w:val="00DA1B25"/>
    <w:rsid w:val="00DA1B53"/>
    <w:rsid w:val="00DA1B60"/>
    <w:rsid w:val="00DA1D39"/>
    <w:rsid w:val="00DA2386"/>
    <w:rsid w:val="00DA2544"/>
    <w:rsid w:val="00DA254E"/>
    <w:rsid w:val="00DA26DE"/>
    <w:rsid w:val="00DA297B"/>
    <w:rsid w:val="00DA348A"/>
    <w:rsid w:val="00DA361A"/>
    <w:rsid w:val="00DA39D0"/>
    <w:rsid w:val="00DA401C"/>
    <w:rsid w:val="00DA465B"/>
    <w:rsid w:val="00DA50F2"/>
    <w:rsid w:val="00DA5411"/>
    <w:rsid w:val="00DA556C"/>
    <w:rsid w:val="00DA59E2"/>
    <w:rsid w:val="00DA5AC7"/>
    <w:rsid w:val="00DA626E"/>
    <w:rsid w:val="00DA6707"/>
    <w:rsid w:val="00DA67C5"/>
    <w:rsid w:val="00DA6ACB"/>
    <w:rsid w:val="00DA6F2A"/>
    <w:rsid w:val="00DA70E6"/>
    <w:rsid w:val="00DA73FE"/>
    <w:rsid w:val="00DB05C6"/>
    <w:rsid w:val="00DB08E7"/>
    <w:rsid w:val="00DB10AA"/>
    <w:rsid w:val="00DB1830"/>
    <w:rsid w:val="00DB18F5"/>
    <w:rsid w:val="00DB19FE"/>
    <w:rsid w:val="00DB1E7B"/>
    <w:rsid w:val="00DB29D2"/>
    <w:rsid w:val="00DB2A7D"/>
    <w:rsid w:val="00DB33D9"/>
    <w:rsid w:val="00DB3A0D"/>
    <w:rsid w:val="00DB4527"/>
    <w:rsid w:val="00DB4599"/>
    <w:rsid w:val="00DB4641"/>
    <w:rsid w:val="00DB46D0"/>
    <w:rsid w:val="00DB505B"/>
    <w:rsid w:val="00DB5108"/>
    <w:rsid w:val="00DB5265"/>
    <w:rsid w:val="00DB54A2"/>
    <w:rsid w:val="00DB58FA"/>
    <w:rsid w:val="00DB5DB9"/>
    <w:rsid w:val="00DB5E74"/>
    <w:rsid w:val="00DB68E6"/>
    <w:rsid w:val="00DB6D54"/>
    <w:rsid w:val="00DB6E4D"/>
    <w:rsid w:val="00DB711C"/>
    <w:rsid w:val="00DB71EA"/>
    <w:rsid w:val="00DB72C9"/>
    <w:rsid w:val="00DB7407"/>
    <w:rsid w:val="00DB7546"/>
    <w:rsid w:val="00DB7A89"/>
    <w:rsid w:val="00DB7DEA"/>
    <w:rsid w:val="00DB7E4F"/>
    <w:rsid w:val="00DC009E"/>
    <w:rsid w:val="00DC0575"/>
    <w:rsid w:val="00DC0C4B"/>
    <w:rsid w:val="00DC14F9"/>
    <w:rsid w:val="00DC1FD0"/>
    <w:rsid w:val="00DC212C"/>
    <w:rsid w:val="00DC2141"/>
    <w:rsid w:val="00DC258E"/>
    <w:rsid w:val="00DC2959"/>
    <w:rsid w:val="00DC2DA9"/>
    <w:rsid w:val="00DC3280"/>
    <w:rsid w:val="00DC3C19"/>
    <w:rsid w:val="00DC3C6A"/>
    <w:rsid w:val="00DC3DCB"/>
    <w:rsid w:val="00DC3F01"/>
    <w:rsid w:val="00DC415F"/>
    <w:rsid w:val="00DC42D5"/>
    <w:rsid w:val="00DC43AB"/>
    <w:rsid w:val="00DC5383"/>
    <w:rsid w:val="00DC552C"/>
    <w:rsid w:val="00DC5548"/>
    <w:rsid w:val="00DC688F"/>
    <w:rsid w:val="00DC7061"/>
    <w:rsid w:val="00DC79E6"/>
    <w:rsid w:val="00DC971B"/>
    <w:rsid w:val="00DD04DA"/>
    <w:rsid w:val="00DD0EE0"/>
    <w:rsid w:val="00DD1B0A"/>
    <w:rsid w:val="00DD246B"/>
    <w:rsid w:val="00DD2BD1"/>
    <w:rsid w:val="00DD2DAB"/>
    <w:rsid w:val="00DD30BD"/>
    <w:rsid w:val="00DD3BEA"/>
    <w:rsid w:val="00DD3BF9"/>
    <w:rsid w:val="00DD4065"/>
    <w:rsid w:val="00DD48CF"/>
    <w:rsid w:val="00DD4B2E"/>
    <w:rsid w:val="00DD4C5A"/>
    <w:rsid w:val="00DD51DC"/>
    <w:rsid w:val="00DD539F"/>
    <w:rsid w:val="00DD5632"/>
    <w:rsid w:val="00DD5694"/>
    <w:rsid w:val="00DD56E4"/>
    <w:rsid w:val="00DD59AC"/>
    <w:rsid w:val="00DD5F7A"/>
    <w:rsid w:val="00DD6D76"/>
    <w:rsid w:val="00DD6FE0"/>
    <w:rsid w:val="00DD71E9"/>
    <w:rsid w:val="00DD7CCF"/>
    <w:rsid w:val="00DE039F"/>
    <w:rsid w:val="00DE0949"/>
    <w:rsid w:val="00DE0A31"/>
    <w:rsid w:val="00DE0CE0"/>
    <w:rsid w:val="00DE151C"/>
    <w:rsid w:val="00DE1988"/>
    <w:rsid w:val="00DE1DE9"/>
    <w:rsid w:val="00DE25FA"/>
    <w:rsid w:val="00DE28D1"/>
    <w:rsid w:val="00DE2C1B"/>
    <w:rsid w:val="00DE2F48"/>
    <w:rsid w:val="00DE3089"/>
    <w:rsid w:val="00DE37F7"/>
    <w:rsid w:val="00DE405A"/>
    <w:rsid w:val="00DE4D42"/>
    <w:rsid w:val="00DE4D90"/>
    <w:rsid w:val="00DE4E32"/>
    <w:rsid w:val="00DE537C"/>
    <w:rsid w:val="00DE54AA"/>
    <w:rsid w:val="00DE59EA"/>
    <w:rsid w:val="00DE5A6D"/>
    <w:rsid w:val="00DE68DA"/>
    <w:rsid w:val="00DE6A0E"/>
    <w:rsid w:val="00DE6F8E"/>
    <w:rsid w:val="00DE6FC6"/>
    <w:rsid w:val="00DE71F2"/>
    <w:rsid w:val="00DE797E"/>
    <w:rsid w:val="00DE7A01"/>
    <w:rsid w:val="00DE7C51"/>
    <w:rsid w:val="00DF0297"/>
    <w:rsid w:val="00DF0753"/>
    <w:rsid w:val="00DF08C4"/>
    <w:rsid w:val="00DF0CE1"/>
    <w:rsid w:val="00DF0D85"/>
    <w:rsid w:val="00DF0D9D"/>
    <w:rsid w:val="00DF1409"/>
    <w:rsid w:val="00DF15B8"/>
    <w:rsid w:val="00DF2735"/>
    <w:rsid w:val="00DF2A85"/>
    <w:rsid w:val="00DF3073"/>
    <w:rsid w:val="00DF334B"/>
    <w:rsid w:val="00DF39C1"/>
    <w:rsid w:val="00DF3BA2"/>
    <w:rsid w:val="00DF3D7F"/>
    <w:rsid w:val="00DF4460"/>
    <w:rsid w:val="00DF48DB"/>
    <w:rsid w:val="00DF4B83"/>
    <w:rsid w:val="00DF4DCB"/>
    <w:rsid w:val="00DF56B6"/>
    <w:rsid w:val="00DF5EA3"/>
    <w:rsid w:val="00DF61F2"/>
    <w:rsid w:val="00DF6244"/>
    <w:rsid w:val="00DF6681"/>
    <w:rsid w:val="00DF6C93"/>
    <w:rsid w:val="00DF6FDE"/>
    <w:rsid w:val="00DF7161"/>
    <w:rsid w:val="00DF737B"/>
    <w:rsid w:val="00DF7865"/>
    <w:rsid w:val="00E00A85"/>
    <w:rsid w:val="00E00AB5"/>
    <w:rsid w:val="00E00B73"/>
    <w:rsid w:val="00E00D89"/>
    <w:rsid w:val="00E0101C"/>
    <w:rsid w:val="00E01326"/>
    <w:rsid w:val="00E01AED"/>
    <w:rsid w:val="00E01EFA"/>
    <w:rsid w:val="00E0202B"/>
    <w:rsid w:val="00E0282E"/>
    <w:rsid w:val="00E029CA"/>
    <w:rsid w:val="00E030A9"/>
    <w:rsid w:val="00E03977"/>
    <w:rsid w:val="00E03B77"/>
    <w:rsid w:val="00E041C4"/>
    <w:rsid w:val="00E04A86"/>
    <w:rsid w:val="00E053B8"/>
    <w:rsid w:val="00E058B5"/>
    <w:rsid w:val="00E062EF"/>
    <w:rsid w:val="00E066A6"/>
    <w:rsid w:val="00E06705"/>
    <w:rsid w:val="00E068BF"/>
    <w:rsid w:val="00E07A6F"/>
    <w:rsid w:val="00E07ECF"/>
    <w:rsid w:val="00E100DC"/>
    <w:rsid w:val="00E1025F"/>
    <w:rsid w:val="00E10976"/>
    <w:rsid w:val="00E10A95"/>
    <w:rsid w:val="00E10DF4"/>
    <w:rsid w:val="00E119E7"/>
    <w:rsid w:val="00E11BE8"/>
    <w:rsid w:val="00E11DF1"/>
    <w:rsid w:val="00E11F7D"/>
    <w:rsid w:val="00E12286"/>
    <w:rsid w:val="00E12324"/>
    <w:rsid w:val="00E12AD1"/>
    <w:rsid w:val="00E13151"/>
    <w:rsid w:val="00E13696"/>
    <w:rsid w:val="00E13867"/>
    <w:rsid w:val="00E14721"/>
    <w:rsid w:val="00E15123"/>
    <w:rsid w:val="00E1540E"/>
    <w:rsid w:val="00E16432"/>
    <w:rsid w:val="00E1677B"/>
    <w:rsid w:val="00E169E0"/>
    <w:rsid w:val="00E16B18"/>
    <w:rsid w:val="00E16DE9"/>
    <w:rsid w:val="00E16EBF"/>
    <w:rsid w:val="00E174EA"/>
    <w:rsid w:val="00E17710"/>
    <w:rsid w:val="00E2050C"/>
    <w:rsid w:val="00E21175"/>
    <w:rsid w:val="00E2123F"/>
    <w:rsid w:val="00E2150A"/>
    <w:rsid w:val="00E21F53"/>
    <w:rsid w:val="00E231F9"/>
    <w:rsid w:val="00E23497"/>
    <w:rsid w:val="00E23A4A"/>
    <w:rsid w:val="00E23F9A"/>
    <w:rsid w:val="00E242D8"/>
    <w:rsid w:val="00E24ACE"/>
    <w:rsid w:val="00E25522"/>
    <w:rsid w:val="00E2558A"/>
    <w:rsid w:val="00E255D0"/>
    <w:rsid w:val="00E2563C"/>
    <w:rsid w:val="00E25908"/>
    <w:rsid w:val="00E25960"/>
    <w:rsid w:val="00E2626D"/>
    <w:rsid w:val="00E26426"/>
    <w:rsid w:val="00E26B88"/>
    <w:rsid w:val="00E26F9E"/>
    <w:rsid w:val="00E27509"/>
    <w:rsid w:val="00E275D8"/>
    <w:rsid w:val="00E27CAD"/>
    <w:rsid w:val="00E27D7A"/>
    <w:rsid w:val="00E27F59"/>
    <w:rsid w:val="00E3004D"/>
    <w:rsid w:val="00E30A8B"/>
    <w:rsid w:val="00E30DBC"/>
    <w:rsid w:val="00E30EA9"/>
    <w:rsid w:val="00E312F4"/>
    <w:rsid w:val="00E3130E"/>
    <w:rsid w:val="00E318D9"/>
    <w:rsid w:val="00E31A73"/>
    <w:rsid w:val="00E31E7E"/>
    <w:rsid w:val="00E32888"/>
    <w:rsid w:val="00E32C1C"/>
    <w:rsid w:val="00E33E09"/>
    <w:rsid w:val="00E34023"/>
    <w:rsid w:val="00E34088"/>
    <w:rsid w:val="00E34B9D"/>
    <w:rsid w:val="00E34C99"/>
    <w:rsid w:val="00E35052"/>
    <w:rsid w:val="00E36224"/>
    <w:rsid w:val="00E36AFD"/>
    <w:rsid w:val="00E374B0"/>
    <w:rsid w:val="00E374E2"/>
    <w:rsid w:val="00E37626"/>
    <w:rsid w:val="00E37EA4"/>
    <w:rsid w:val="00E400D4"/>
    <w:rsid w:val="00E401FE"/>
    <w:rsid w:val="00E4036E"/>
    <w:rsid w:val="00E40459"/>
    <w:rsid w:val="00E40556"/>
    <w:rsid w:val="00E40798"/>
    <w:rsid w:val="00E41211"/>
    <w:rsid w:val="00E41389"/>
    <w:rsid w:val="00E418D7"/>
    <w:rsid w:val="00E42025"/>
    <w:rsid w:val="00E4295B"/>
    <w:rsid w:val="00E4335A"/>
    <w:rsid w:val="00E43588"/>
    <w:rsid w:val="00E43EF6"/>
    <w:rsid w:val="00E4407F"/>
    <w:rsid w:val="00E44BDF"/>
    <w:rsid w:val="00E454CC"/>
    <w:rsid w:val="00E45783"/>
    <w:rsid w:val="00E45DAF"/>
    <w:rsid w:val="00E45FC8"/>
    <w:rsid w:val="00E46D33"/>
    <w:rsid w:val="00E47F03"/>
    <w:rsid w:val="00E502B4"/>
    <w:rsid w:val="00E50C45"/>
    <w:rsid w:val="00E50E63"/>
    <w:rsid w:val="00E50F2B"/>
    <w:rsid w:val="00E513E9"/>
    <w:rsid w:val="00E51713"/>
    <w:rsid w:val="00E51962"/>
    <w:rsid w:val="00E51F55"/>
    <w:rsid w:val="00E529FA"/>
    <w:rsid w:val="00E52C8F"/>
    <w:rsid w:val="00E5302D"/>
    <w:rsid w:val="00E530E0"/>
    <w:rsid w:val="00E5352A"/>
    <w:rsid w:val="00E53AC5"/>
    <w:rsid w:val="00E5421D"/>
    <w:rsid w:val="00E54252"/>
    <w:rsid w:val="00E5455A"/>
    <w:rsid w:val="00E546B7"/>
    <w:rsid w:val="00E54715"/>
    <w:rsid w:val="00E5497F"/>
    <w:rsid w:val="00E55249"/>
    <w:rsid w:val="00E554CD"/>
    <w:rsid w:val="00E55739"/>
    <w:rsid w:val="00E559F5"/>
    <w:rsid w:val="00E55A49"/>
    <w:rsid w:val="00E55BCA"/>
    <w:rsid w:val="00E564C2"/>
    <w:rsid w:val="00E56B62"/>
    <w:rsid w:val="00E574D4"/>
    <w:rsid w:val="00E57E64"/>
    <w:rsid w:val="00E57E72"/>
    <w:rsid w:val="00E601DD"/>
    <w:rsid w:val="00E603AB"/>
    <w:rsid w:val="00E604BC"/>
    <w:rsid w:val="00E606AE"/>
    <w:rsid w:val="00E609A4"/>
    <w:rsid w:val="00E60B8D"/>
    <w:rsid w:val="00E61187"/>
    <w:rsid w:val="00E61A88"/>
    <w:rsid w:val="00E61D51"/>
    <w:rsid w:val="00E61F75"/>
    <w:rsid w:val="00E620DC"/>
    <w:rsid w:val="00E62B80"/>
    <w:rsid w:val="00E63309"/>
    <w:rsid w:val="00E63834"/>
    <w:rsid w:val="00E63998"/>
    <w:rsid w:val="00E639DF"/>
    <w:rsid w:val="00E64013"/>
    <w:rsid w:val="00E6404D"/>
    <w:rsid w:val="00E64581"/>
    <w:rsid w:val="00E64697"/>
    <w:rsid w:val="00E646C0"/>
    <w:rsid w:val="00E6470B"/>
    <w:rsid w:val="00E64760"/>
    <w:rsid w:val="00E64778"/>
    <w:rsid w:val="00E64C22"/>
    <w:rsid w:val="00E64FE8"/>
    <w:rsid w:val="00E64FF5"/>
    <w:rsid w:val="00E653A7"/>
    <w:rsid w:val="00E654C5"/>
    <w:rsid w:val="00E65947"/>
    <w:rsid w:val="00E65AD7"/>
    <w:rsid w:val="00E661DF"/>
    <w:rsid w:val="00E66B80"/>
    <w:rsid w:val="00E66DC3"/>
    <w:rsid w:val="00E67181"/>
    <w:rsid w:val="00E67295"/>
    <w:rsid w:val="00E6745B"/>
    <w:rsid w:val="00E675CF"/>
    <w:rsid w:val="00E67834"/>
    <w:rsid w:val="00E67B1D"/>
    <w:rsid w:val="00E67C3A"/>
    <w:rsid w:val="00E70253"/>
    <w:rsid w:val="00E7059C"/>
    <w:rsid w:val="00E708B8"/>
    <w:rsid w:val="00E71141"/>
    <w:rsid w:val="00E71CD5"/>
    <w:rsid w:val="00E71F4A"/>
    <w:rsid w:val="00E7283C"/>
    <w:rsid w:val="00E7295C"/>
    <w:rsid w:val="00E732C9"/>
    <w:rsid w:val="00E7343B"/>
    <w:rsid w:val="00E734EE"/>
    <w:rsid w:val="00E735D7"/>
    <w:rsid w:val="00E73975"/>
    <w:rsid w:val="00E73ABD"/>
    <w:rsid w:val="00E73DA5"/>
    <w:rsid w:val="00E73EF9"/>
    <w:rsid w:val="00E745EE"/>
    <w:rsid w:val="00E74660"/>
    <w:rsid w:val="00E74771"/>
    <w:rsid w:val="00E74C3E"/>
    <w:rsid w:val="00E75124"/>
    <w:rsid w:val="00E75C91"/>
    <w:rsid w:val="00E7711A"/>
    <w:rsid w:val="00E7771D"/>
    <w:rsid w:val="00E80D28"/>
    <w:rsid w:val="00E81793"/>
    <w:rsid w:val="00E81822"/>
    <w:rsid w:val="00E81F7D"/>
    <w:rsid w:val="00E821CB"/>
    <w:rsid w:val="00E825B0"/>
    <w:rsid w:val="00E82603"/>
    <w:rsid w:val="00E82AF4"/>
    <w:rsid w:val="00E83240"/>
    <w:rsid w:val="00E83381"/>
    <w:rsid w:val="00E83431"/>
    <w:rsid w:val="00E83ABC"/>
    <w:rsid w:val="00E83F8B"/>
    <w:rsid w:val="00E84569"/>
    <w:rsid w:val="00E84C72"/>
    <w:rsid w:val="00E852D9"/>
    <w:rsid w:val="00E852EF"/>
    <w:rsid w:val="00E857D7"/>
    <w:rsid w:val="00E85954"/>
    <w:rsid w:val="00E86381"/>
    <w:rsid w:val="00E86808"/>
    <w:rsid w:val="00E86F6C"/>
    <w:rsid w:val="00E87297"/>
    <w:rsid w:val="00E876C8"/>
    <w:rsid w:val="00E87814"/>
    <w:rsid w:val="00E8795F"/>
    <w:rsid w:val="00E87AE4"/>
    <w:rsid w:val="00E87BB8"/>
    <w:rsid w:val="00E9033C"/>
    <w:rsid w:val="00E905A0"/>
    <w:rsid w:val="00E90890"/>
    <w:rsid w:val="00E909E3"/>
    <w:rsid w:val="00E90E95"/>
    <w:rsid w:val="00E910CD"/>
    <w:rsid w:val="00E915B1"/>
    <w:rsid w:val="00E92260"/>
    <w:rsid w:val="00E92853"/>
    <w:rsid w:val="00E928AA"/>
    <w:rsid w:val="00E92A7A"/>
    <w:rsid w:val="00E92ECB"/>
    <w:rsid w:val="00E93114"/>
    <w:rsid w:val="00E932CB"/>
    <w:rsid w:val="00E93473"/>
    <w:rsid w:val="00E93609"/>
    <w:rsid w:val="00E939ED"/>
    <w:rsid w:val="00E93ABA"/>
    <w:rsid w:val="00E942C7"/>
    <w:rsid w:val="00E942D9"/>
    <w:rsid w:val="00E9431B"/>
    <w:rsid w:val="00E95B9A"/>
    <w:rsid w:val="00E95D82"/>
    <w:rsid w:val="00E96149"/>
    <w:rsid w:val="00E966F6"/>
    <w:rsid w:val="00E9713D"/>
    <w:rsid w:val="00E972A3"/>
    <w:rsid w:val="00E975C6"/>
    <w:rsid w:val="00E97733"/>
    <w:rsid w:val="00E97764"/>
    <w:rsid w:val="00E9776E"/>
    <w:rsid w:val="00EA10A0"/>
    <w:rsid w:val="00EA1206"/>
    <w:rsid w:val="00EA123F"/>
    <w:rsid w:val="00EA26F8"/>
    <w:rsid w:val="00EA2F89"/>
    <w:rsid w:val="00EA3B3D"/>
    <w:rsid w:val="00EA3E41"/>
    <w:rsid w:val="00EA403A"/>
    <w:rsid w:val="00EA4419"/>
    <w:rsid w:val="00EA44ED"/>
    <w:rsid w:val="00EA47E1"/>
    <w:rsid w:val="00EA4CFA"/>
    <w:rsid w:val="00EA4F37"/>
    <w:rsid w:val="00EA5120"/>
    <w:rsid w:val="00EA51B9"/>
    <w:rsid w:val="00EA5298"/>
    <w:rsid w:val="00EA540C"/>
    <w:rsid w:val="00EA5911"/>
    <w:rsid w:val="00EA6848"/>
    <w:rsid w:val="00EA6A62"/>
    <w:rsid w:val="00EA758E"/>
    <w:rsid w:val="00EA76AF"/>
    <w:rsid w:val="00EA79DC"/>
    <w:rsid w:val="00EA7AC6"/>
    <w:rsid w:val="00EA7C5F"/>
    <w:rsid w:val="00EB0058"/>
    <w:rsid w:val="00EB02B9"/>
    <w:rsid w:val="00EB0934"/>
    <w:rsid w:val="00EB0AF3"/>
    <w:rsid w:val="00EB0EBA"/>
    <w:rsid w:val="00EB0F54"/>
    <w:rsid w:val="00EB1400"/>
    <w:rsid w:val="00EB1D92"/>
    <w:rsid w:val="00EB1FBF"/>
    <w:rsid w:val="00EB2112"/>
    <w:rsid w:val="00EB2174"/>
    <w:rsid w:val="00EB2375"/>
    <w:rsid w:val="00EB25CC"/>
    <w:rsid w:val="00EB2732"/>
    <w:rsid w:val="00EB2B3E"/>
    <w:rsid w:val="00EB2E38"/>
    <w:rsid w:val="00EB307A"/>
    <w:rsid w:val="00EB3234"/>
    <w:rsid w:val="00EB3772"/>
    <w:rsid w:val="00EB3B23"/>
    <w:rsid w:val="00EB3D31"/>
    <w:rsid w:val="00EB3E7E"/>
    <w:rsid w:val="00EB44D3"/>
    <w:rsid w:val="00EB4B67"/>
    <w:rsid w:val="00EB500D"/>
    <w:rsid w:val="00EB5918"/>
    <w:rsid w:val="00EB5D40"/>
    <w:rsid w:val="00EB5E5B"/>
    <w:rsid w:val="00EB63C6"/>
    <w:rsid w:val="00EB66C6"/>
    <w:rsid w:val="00EB6A5C"/>
    <w:rsid w:val="00EB6F8C"/>
    <w:rsid w:val="00EB7A2D"/>
    <w:rsid w:val="00EB7B9D"/>
    <w:rsid w:val="00EB7BA5"/>
    <w:rsid w:val="00EC01D1"/>
    <w:rsid w:val="00EC067C"/>
    <w:rsid w:val="00EC0B9C"/>
    <w:rsid w:val="00EC1205"/>
    <w:rsid w:val="00EC21D5"/>
    <w:rsid w:val="00EC2687"/>
    <w:rsid w:val="00EC27F3"/>
    <w:rsid w:val="00EC2B18"/>
    <w:rsid w:val="00EC2CB0"/>
    <w:rsid w:val="00EC2DD4"/>
    <w:rsid w:val="00EC2E61"/>
    <w:rsid w:val="00EC368E"/>
    <w:rsid w:val="00EC372D"/>
    <w:rsid w:val="00EC40DF"/>
    <w:rsid w:val="00EC4136"/>
    <w:rsid w:val="00EC44D6"/>
    <w:rsid w:val="00EC4762"/>
    <w:rsid w:val="00EC4944"/>
    <w:rsid w:val="00EC4A6A"/>
    <w:rsid w:val="00EC4D34"/>
    <w:rsid w:val="00EC5158"/>
    <w:rsid w:val="00EC5461"/>
    <w:rsid w:val="00EC598C"/>
    <w:rsid w:val="00EC59FE"/>
    <w:rsid w:val="00EC5D2E"/>
    <w:rsid w:val="00EC61F0"/>
    <w:rsid w:val="00EC6538"/>
    <w:rsid w:val="00EC65D1"/>
    <w:rsid w:val="00EC69F9"/>
    <w:rsid w:val="00EC6A1C"/>
    <w:rsid w:val="00EC6B8C"/>
    <w:rsid w:val="00EC6C15"/>
    <w:rsid w:val="00EC6C49"/>
    <w:rsid w:val="00EC708B"/>
    <w:rsid w:val="00EC73AE"/>
    <w:rsid w:val="00EC7467"/>
    <w:rsid w:val="00EC79CD"/>
    <w:rsid w:val="00EC7CC5"/>
    <w:rsid w:val="00EC7E49"/>
    <w:rsid w:val="00ED049A"/>
    <w:rsid w:val="00ED0934"/>
    <w:rsid w:val="00ED0A1F"/>
    <w:rsid w:val="00ED0B2F"/>
    <w:rsid w:val="00ED2236"/>
    <w:rsid w:val="00ED24FD"/>
    <w:rsid w:val="00ED251E"/>
    <w:rsid w:val="00ED2777"/>
    <w:rsid w:val="00ED30E6"/>
    <w:rsid w:val="00ED31F8"/>
    <w:rsid w:val="00ED335D"/>
    <w:rsid w:val="00ED37D4"/>
    <w:rsid w:val="00ED3C6D"/>
    <w:rsid w:val="00ED3D0A"/>
    <w:rsid w:val="00ED41AB"/>
    <w:rsid w:val="00ED4271"/>
    <w:rsid w:val="00ED45F2"/>
    <w:rsid w:val="00ED4649"/>
    <w:rsid w:val="00ED49C9"/>
    <w:rsid w:val="00ED4ABB"/>
    <w:rsid w:val="00ED4B73"/>
    <w:rsid w:val="00ED5345"/>
    <w:rsid w:val="00ED56FC"/>
    <w:rsid w:val="00ED5EC0"/>
    <w:rsid w:val="00ED6E5D"/>
    <w:rsid w:val="00ED6F1E"/>
    <w:rsid w:val="00ED7287"/>
    <w:rsid w:val="00ED741D"/>
    <w:rsid w:val="00ED784B"/>
    <w:rsid w:val="00ED7BAE"/>
    <w:rsid w:val="00ED7D51"/>
    <w:rsid w:val="00EE04C1"/>
    <w:rsid w:val="00EE04CD"/>
    <w:rsid w:val="00EE04FF"/>
    <w:rsid w:val="00EE0BC9"/>
    <w:rsid w:val="00EE0E9E"/>
    <w:rsid w:val="00EE1720"/>
    <w:rsid w:val="00EE195A"/>
    <w:rsid w:val="00EE1D78"/>
    <w:rsid w:val="00EE1D81"/>
    <w:rsid w:val="00EE1F97"/>
    <w:rsid w:val="00EE245A"/>
    <w:rsid w:val="00EE27C4"/>
    <w:rsid w:val="00EE2B74"/>
    <w:rsid w:val="00EE3577"/>
    <w:rsid w:val="00EE390A"/>
    <w:rsid w:val="00EE427B"/>
    <w:rsid w:val="00EE4816"/>
    <w:rsid w:val="00EE4908"/>
    <w:rsid w:val="00EE507B"/>
    <w:rsid w:val="00EE53A3"/>
    <w:rsid w:val="00EE57A8"/>
    <w:rsid w:val="00EE587D"/>
    <w:rsid w:val="00EE59DD"/>
    <w:rsid w:val="00EE5E4B"/>
    <w:rsid w:val="00EE6470"/>
    <w:rsid w:val="00EE64AC"/>
    <w:rsid w:val="00EE6828"/>
    <w:rsid w:val="00EE6C22"/>
    <w:rsid w:val="00EE71CB"/>
    <w:rsid w:val="00EE7823"/>
    <w:rsid w:val="00EE7CC8"/>
    <w:rsid w:val="00EE7E8A"/>
    <w:rsid w:val="00EF024F"/>
    <w:rsid w:val="00EF057C"/>
    <w:rsid w:val="00EF1233"/>
    <w:rsid w:val="00EF14E5"/>
    <w:rsid w:val="00EF1EC6"/>
    <w:rsid w:val="00EF215D"/>
    <w:rsid w:val="00EF237C"/>
    <w:rsid w:val="00EF2518"/>
    <w:rsid w:val="00EF2799"/>
    <w:rsid w:val="00EF305C"/>
    <w:rsid w:val="00EF3709"/>
    <w:rsid w:val="00EF37F7"/>
    <w:rsid w:val="00EF39E4"/>
    <w:rsid w:val="00EF4342"/>
    <w:rsid w:val="00EF4B4E"/>
    <w:rsid w:val="00EF4F76"/>
    <w:rsid w:val="00EF55F5"/>
    <w:rsid w:val="00EF5916"/>
    <w:rsid w:val="00EF5ACE"/>
    <w:rsid w:val="00EF6578"/>
    <w:rsid w:val="00EF6713"/>
    <w:rsid w:val="00EF69F5"/>
    <w:rsid w:val="00EF70A1"/>
    <w:rsid w:val="00EF74DB"/>
    <w:rsid w:val="00EF7DCB"/>
    <w:rsid w:val="00EF7EE1"/>
    <w:rsid w:val="00F003BB"/>
    <w:rsid w:val="00F004BC"/>
    <w:rsid w:val="00F006E4"/>
    <w:rsid w:val="00F00867"/>
    <w:rsid w:val="00F009E4"/>
    <w:rsid w:val="00F00D8F"/>
    <w:rsid w:val="00F00DCF"/>
    <w:rsid w:val="00F00DE6"/>
    <w:rsid w:val="00F012B7"/>
    <w:rsid w:val="00F01874"/>
    <w:rsid w:val="00F0215C"/>
    <w:rsid w:val="00F02B12"/>
    <w:rsid w:val="00F032A1"/>
    <w:rsid w:val="00F03381"/>
    <w:rsid w:val="00F0406F"/>
    <w:rsid w:val="00F041E4"/>
    <w:rsid w:val="00F04C50"/>
    <w:rsid w:val="00F04F66"/>
    <w:rsid w:val="00F050F8"/>
    <w:rsid w:val="00F05444"/>
    <w:rsid w:val="00F058BD"/>
    <w:rsid w:val="00F05C5E"/>
    <w:rsid w:val="00F05DA0"/>
    <w:rsid w:val="00F07923"/>
    <w:rsid w:val="00F07E32"/>
    <w:rsid w:val="00F07E6B"/>
    <w:rsid w:val="00F1001B"/>
    <w:rsid w:val="00F10AC2"/>
    <w:rsid w:val="00F10F45"/>
    <w:rsid w:val="00F10F9E"/>
    <w:rsid w:val="00F11086"/>
    <w:rsid w:val="00F1108C"/>
    <w:rsid w:val="00F11171"/>
    <w:rsid w:val="00F1118B"/>
    <w:rsid w:val="00F11332"/>
    <w:rsid w:val="00F117C7"/>
    <w:rsid w:val="00F1181E"/>
    <w:rsid w:val="00F11BF7"/>
    <w:rsid w:val="00F11F86"/>
    <w:rsid w:val="00F1263B"/>
    <w:rsid w:val="00F127BA"/>
    <w:rsid w:val="00F12A2C"/>
    <w:rsid w:val="00F13C8C"/>
    <w:rsid w:val="00F14384"/>
    <w:rsid w:val="00F1504F"/>
    <w:rsid w:val="00F151D3"/>
    <w:rsid w:val="00F15480"/>
    <w:rsid w:val="00F158EA"/>
    <w:rsid w:val="00F15C65"/>
    <w:rsid w:val="00F16E84"/>
    <w:rsid w:val="00F1738F"/>
    <w:rsid w:val="00F17724"/>
    <w:rsid w:val="00F17A20"/>
    <w:rsid w:val="00F203A3"/>
    <w:rsid w:val="00F207FD"/>
    <w:rsid w:val="00F2089C"/>
    <w:rsid w:val="00F20C32"/>
    <w:rsid w:val="00F20F6A"/>
    <w:rsid w:val="00F21AE5"/>
    <w:rsid w:val="00F21DB9"/>
    <w:rsid w:val="00F21F35"/>
    <w:rsid w:val="00F21FC9"/>
    <w:rsid w:val="00F221DF"/>
    <w:rsid w:val="00F2342F"/>
    <w:rsid w:val="00F23CDD"/>
    <w:rsid w:val="00F23FBD"/>
    <w:rsid w:val="00F24BDA"/>
    <w:rsid w:val="00F2564A"/>
    <w:rsid w:val="00F25699"/>
    <w:rsid w:val="00F257B0"/>
    <w:rsid w:val="00F25B24"/>
    <w:rsid w:val="00F25EC8"/>
    <w:rsid w:val="00F26130"/>
    <w:rsid w:val="00F26727"/>
    <w:rsid w:val="00F271CD"/>
    <w:rsid w:val="00F27403"/>
    <w:rsid w:val="00F27B62"/>
    <w:rsid w:val="00F27CB2"/>
    <w:rsid w:val="00F27D06"/>
    <w:rsid w:val="00F27DA0"/>
    <w:rsid w:val="00F300B5"/>
    <w:rsid w:val="00F30717"/>
    <w:rsid w:val="00F30E8A"/>
    <w:rsid w:val="00F31573"/>
    <w:rsid w:val="00F31715"/>
    <w:rsid w:val="00F31A82"/>
    <w:rsid w:val="00F31C63"/>
    <w:rsid w:val="00F31DC9"/>
    <w:rsid w:val="00F320AE"/>
    <w:rsid w:val="00F325F3"/>
    <w:rsid w:val="00F32A43"/>
    <w:rsid w:val="00F32D6A"/>
    <w:rsid w:val="00F3322F"/>
    <w:rsid w:val="00F3325D"/>
    <w:rsid w:val="00F3325E"/>
    <w:rsid w:val="00F33742"/>
    <w:rsid w:val="00F33A52"/>
    <w:rsid w:val="00F34004"/>
    <w:rsid w:val="00F343D3"/>
    <w:rsid w:val="00F343D5"/>
    <w:rsid w:val="00F34E9C"/>
    <w:rsid w:val="00F35AAB"/>
    <w:rsid w:val="00F35C45"/>
    <w:rsid w:val="00F35E9D"/>
    <w:rsid w:val="00F369CC"/>
    <w:rsid w:val="00F36A1E"/>
    <w:rsid w:val="00F36CD1"/>
    <w:rsid w:val="00F37CE0"/>
    <w:rsid w:val="00F37E45"/>
    <w:rsid w:val="00F37F42"/>
    <w:rsid w:val="00F4005B"/>
    <w:rsid w:val="00F406F9"/>
    <w:rsid w:val="00F40935"/>
    <w:rsid w:val="00F40AE6"/>
    <w:rsid w:val="00F40D0D"/>
    <w:rsid w:val="00F40F0E"/>
    <w:rsid w:val="00F42088"/>
    <w:rsid w:val="00F420DA"/>
    <w:rsid w:val="00F42A60"/>
    <w:rsid w:val="00F430A5"/>
    <w:rsid w:val="00F43210"/>
    <w:rsid w:val="00F4393B"/>
    <w:rsid w:val="00F444E2"/>
    <w:rsid w:val="00F4452A"/>
    <w:rsid w:val="00F44A3E"/>
    <w:rsid w:val="00F44DE2"/>
    <w:rsid w:val="00F4521E"/>
    <w:rsid w:val="00F455E3"/>
    <w:rsid w:val="00F45A13"/>
    <w:rsid w:val="00F45AE8"/>
    <w:rsid w:val="00F45B3A"/>
    <w:rsid w:val="00F45F95"/>
    <w:rsid w:val="00F4638F"/>
    <w:rsid w:val="00F4657F"/>
    <w:rsid w:val="00F46686"/>
    <w:rsid w:val="00F468B2"/>
    <w:rsid w:val="00F46999"/>
    <w:rsid w:val="00F4761E"/>
    <w:rsid w:val="00F47E1F"/>
    <w:rsid w:val="00F50024"/>
    <w:rsid w:val="00F50100"/>
    <w:rsid w:val="00F51298"/>
    <w:rsid w:val="00F51A07"/>
    <w:rsid w:val="00F51A98"/>
    <w:rsid w:val="00F51C68"/>
    <w:rsid w:val="00F5271B"/>
    <w:rsid w:val="00F52744"/>
    <w:rsid w:val="00F528DB"/>
    <w:rsid w:val="00F53310"/>
    <w:rsid w:val="00F53E0F"/>
    <w:rsid w:val="00F54506"/>
    <w:rsid w:val="00F551AC"/>
    <w:rsid w:val="00F557F7"/>
    <w:rsid w:val="00F559FB"/>
    <w:rsid w:val="00F55C95"/>
    <w:rsid w:val="00F55E73"/>
    <w:rsid w:val="00F5602D"/>
    <w:rsid w:val="00F5644F"/>
    <w:rsid w:val="00F56A29"/>
    <w:rsid w:val="00F56A66"/>
    <w:rsid w:val="00F56B0D"/>
    <w:rsid w:val="00F570DC"/>
    <w:rsid w:val="00F575AA"/>
    <w:rsid w:val="00F5794B"/>
    <w:rsid w:val="00F57B94"/>
    <w:rsid w:val="00F57E09"/>
    <w:rsid w:val="00F600A3"/>
    <w:rsid w:val="00F6010F"/>
    <w:rsid w:val="00F60863"/>
    <w:rsid w:val="00F60CBA"/>
    <w:rsid w:val="00F611EE"/>
    <w:rsid w:val="00F61752"/>
    <w:rsid w:val="00F6183E"/>
    <w:rsid w:val="00F61C1B"/>
    <w:rsid w:val="00F62409"/>
    <w:rsid w:val="00F62709"/>
    <w:rsid w:val="00F62FEB"/>
    <w:rsid w:val="00F63304"/>
    <w:rsid w:val="00F63323"/>
    <w:rsid w:val="00F63B4B"/>
    <w:rsid w:val="00F63CE7"/>
    <w:rsid w:val="00F64540"/>
    <w:rsid w:val="00F645B3"/>
    <w:rsid w:val="00F64B7B"/>
    <w:rsid w:val="00F65897"/>
    <w:rsid w:val="00F65FE0"/>
    <w:rsid w:val="00F6639F"/>
    <w:rsid w:val="00F66478"/>
    <w:rsid w:val="00F6686E"/>
    <w:rsid w:val="00F66B7F"/>
    <w:rsid w:val="00F66C32"/>
    <w:rsid w:val="00F6706E"/>
    <w:rsid w:val="00F67457"/>
    <w:rsid w:val="00F67C50"/>
    <w:rsid w:val="00F701BF"/>
    <w:rsid w:val="00F7059D"/>
    <w:rsid w:val="00F70848"/>
    <w:rsid w:val="00F70D8F"/>
    <w:rsid w:val="00F7135F"/>
    <w:rsid w:val="00F7285B"/>
    <w:rsid w:val="00F72871"/>
    <w:rsid w:val="00F72CD2"/>
    <w:rsid w:val="00F7346A"/>
    <w:rsid w:val="00F754AE"/>
    <w:rsid w:val="00F75504"/>
    <w:rsid w:val="00F75B37"/>
    <w:rsid w:val="00F75BAD"/>
    <w:rsid w:val="00F76085"/>
    <w:rsid w:val="00F76609"/>
    <w:rsid w:val="00F7670A"/>
    <w:rsid w:val="00F7759C"/>
    <w:rsid w:val="00F77666"/>
    <w:rsid w:val="00F7774C"/>
    <w:rsid w:val="00F777E2"/>
    <w:rsid w:val="00F80041"/>
    <w:rsid w:val="00F801EC"/>
    <w:rsid w:val="00F803D3"/>
    <w:rsid w:val="00F805EE"/>
    <w:rsid w:val="00F80C4D"/>
    <w:rsid w:val="00F80D5E"/>
    <w:rsid w:val="00F80F66"/>
    <w:rsid w:val="00F81020"/>
    <w:rsid w:val="00F81175"/>
    <w:rsid w:val="00F8189B"/>
    <w:rsid w:val="00F819BB"/>
    <w:rsid w:val="00F81BC7"/>
    <w:rsid w:val="00F81EA4"/>
    <w:rsid w:val="00F81F0C"/>
    <w:rsid w:val="00F826A9"/>
    <w:rsid w:val="00F826CE"/>
    <w:rsid w:val="00F82B14"/>
    <w:rsid w:val="00F82EDF"/>
    <w:rsid w:val="00F82FAC"/>
    <w:rsid w:val="00F83510"/>
    <w:rsid w:val="00F840B4"/>
    <w:rsid w:val="00F841D2"/>
    <w:rsid w:val="00F84436"/>
    <w:rsid w:val="00F8468E"/>
    <w:rsid w:val="00F8476A"/>
    <w:rsid w:val="00F84838"/>
    <w:rsid w:val="00F859D1"/>
    <w:rsid w:val="00F85B8C"/>
    <w:rsid w:val="00F861E8"/>
    <w:rsid w:val="00F86398"/>
    <w:rsid w:val="00F8670D"/>
    <w:rsid w:val="00F86779"/>
    <w:rsid w:val="00F87459"/>
    <w:rsid w:val="00F87BBE"/>
    <w:rsid w:val="00F87CDB"/>
    <w:rsid w:val="00F90125"/>
    <w:rsid w:val="00F90389"/>
    <w:rsid w:val="00F9066D"/>
    <w:rsid w:val="00F90895"/>
    <w:rsid w:val="00F90C6F"/>
    <w:rsid w:val="00F90EFB"/>
    <w:rsid w:val="00F90F56"/>
    <w:rsid w:val="00F90FD6"/>
    <w:rsid w:val="00F91377"/>
    <w:rsid w:val="00F91652"/>
    <w:rsid w:val="00F926A1"/>
    <w:rsid w:val="00F92B60"/>
    <w:rsid w:val="00F92BA5"/>
    <w:rsid w:val="00F9345B"/>
    <w:rsid w:val="00F9352B"/>
    <w:rsid w:val="00F9378A"/>
    <w:rsid w:val="00F93FA7"/>
    <w:rsid w:val="00F9436B"/>
    <w:rsid w:val="00F9470E"/>
    <w:rsid w:val="00F94778"/>
    <w:rsid w:val="00F94C7F"/>
    <w:rsid w:val="00F952EE"/>
    <w:rsid w:val="00F95568"/>
    <w:rsid w:val="00F955EC"/>
    <w:rsid w:val="00F95CC8"/>
    <w:rsid w:val="00F95F65"/>
    <w:rsid w:val="00F961C6"/>
    <w:rsid w:val="00F96263"/>
    <w:rsid w:val="00F966C9"/>
    <w:rsid w:val="00F96885"/>
    <w:rsid w:val="00F96BD4"/>
    <w:rsid w:val="00F96EB6"/>
    <w:rsid w:val="00F976D1"/>
    <w:rsid w:val="00F97CF7"/>
    <w:rsid w:val="00F97E0E"/>
    <w:rsid w:val="00FA0399"/>
    <w:rsid w:val="00FA0570"/>
    <w:rsid w:val="00FA077B"/>
    <w:rsid w:val="00FA0CDC"/>
    <w:rsid w:val="00FA0D8E"/>
    <w:rsid w:val="00FA0E05"/>
    <w:rsid w:val="00FA0F78"/>
    <w:rsid w:val="00FA1047"/>
    <w:rsid w:val="00FA10E5"/>
    <w:rsid w:val="00FA1198"/>
    <w:rsid w:val="00FA1449"/>
    <w:rsid w:val="00FA1725"/>
    <w:rsid w:val="00FA1867"/>
    <w:rsid w:val="00FA1CEA"/>
    <w:rsid w:val="00FA2705"/>
    <w:rsid w:val="00FA278C"/>
    <w:rsid w:val="00FA3186"/>
    <w:rsid w:val="00FA3297"/>
    <w:rsid w:val="00FA3733"/>
    <w:rsid w:val="00FA37D9"/>
    <w:rsid w:val="00FA4107"/>
    <w:rsid w:val="00FA423A"/>
    <w:rsid w:val="00FA4573"/>
    <w:rsid w:val="00FA48E8"/>
    <w:rsid w:val="00FA4E52"/>
    <w:rsid w:val="00FA5CBB"/>
    <w:rsid w:val="00FA60DD"/>
    <w:rsid w:val="00FA6C49"/>
    <w:rsid w:val="00FA6DB1"/>
    <w:rsid w:val="00FB01D8"/>
    <w:rsid w:val="00FB089F"/>
    <w:rsid w:val="00FB09D7"/>
    <w:rsid w:val="00FB0E6A"/>
    <w:rsid w:val="00FB19D3"/>
    <w:rsid w:val="00FB1CFC"/>
    <w:rsid w:val="00FB1DE0"/>
    <w:rsid w:val="00FB1EFA"/>
    <w:rsid w:val="00FB20C8"/>
    <w:rsid w:val="00FB2B30"/>
    <w:rsid w:val="00FB2E32"/>
    <w:rsid w:val="00FB3611"/>
    <w:rsid w:val="00FB3C43"/>
    <w:rsid w:val="00FB4040"/>
    <w:rsid w:val="00FB40FC"/>
    <w:rsid w:val="00FB46C1"/>
    <w:rsid w:val="00FB4938"/>
    <w:rsid w:val="00FB4E8C"/>
    <w:rsid w:val="00FB5101"/>
    <w:rsid w:val="00FB5788"/>
    <w:rsid w:val="00FB5A74"/>
    <w:rsid w:val="00FB5B01"/>
    <w:rsid w:val="00FB5CC1"/>
    <w:rsid w:val="00FB5FB6"/>
    <w:rsid w:val="00FB65D3"/>
    <w:rsid w:val="00FB6615"/>
    <w:rsid w:val="00FB6AF7"/>
    <w:rsid w:val="00FB7004"/>
    <w:rsid w:val="00FB70B6"/>
    <w:rsid w:val="00FB7362"/>
    <w:rsid w:val="00FB7396"/>
    <w:rsid w:val="00FB7963"/>
    <w:rsid w:val="00FC01CA"/>
    <w:rsid w:val="00FC02EB"/>
    <w:rsid w:val="00FC02F4"/>
    <w:rsid w:val="00FC05F9"/>
    <w:rsid w:val="00FC0801"/>
    <w:rsid w:val="00FC08D2"/>
    <w:rsid w:val="00FC09E2"/>
    <w:rsid w:val="00FC1B99"/>
    <w:rsid w:val="00FC245F"/>
    <w:rsid w:val="00FC2794"/>
    <w:rsid w:val="00FC2C14"/>
    <w:rsid w:val="00FC2D81"/>
    <w:rsid w:val="00FC33B1"/>
    <w:rsid w:val="00FC33BB"/>
    <w:rsid w:val="00FC3AD9"/>
    <w:rsid w:val="00FC459C"/>
    <w:rsid w:val="00FC573A"/>
    <w:rsid w:val="00FC5A42"/>
    <w:rsid w:val="00FC5BCF"/>
    <w:rsid w:val="00FC5FDC"/>
    <w:rsid w:val="00FC6031"/>
    <w:rsid w:val="00FC6389"/>
    <w:rsid w:val="00FC68A7"/>
    <w:rsid w:val="00FC6ADA"/>
    <w:rsid w:val="00FC72FF"/>
    <w:rsid w:val="00FC73BC"/>
    <w:rsid w:val="00FC7730"/>
    <w:rsid w:val="00FC7B06"/>
    <w:rsid w:val="00FD0100"/>
    <w:rsid w:val="00FD083D"/>
    <w:rsid w:val="00FD0AFF"/>
    <w:rsid w:val="00FD0C3F"/>
    <w:rsid w:val="00FD0D9A"/>
    <w:rsid w:val="00FD1513"/>
    <w:rsid w:val="00FD1664"/>
    <w:rsid w:val="00FD1ADD"/>
    <w:rsid w:val="00FD1D35"/>
    <w:rsid w:val="00FD1F40"/>
    <w:rsid w:val="00FD24BE"/>
    <w:rsid w:val="00FD2D7D"/>
    <w:rsid w:val="00FD32E5"/>
    <w:rsid w:val="00FD3658"/>
    <w:rsid w:val="00FD40F5"/>
    <w:rsid w:val="00FD4EC0"/>
    <w:rsid w:val="00FD526D"/>
    <w:rsid w:val="00FD5DBD"/>
    <w:rsid w:val="00FD5E0E"/>
    <w:rsid w:val="00FD6761"/>
    <w:rsid w:val="00FD6B51"/>
    <w:rsid w:val="00FD6E23"/>
    <w:rsid w:val="00FD6E83"/>
    <w:rsid w:val="00FD7BE0"/>
    <w:rsid w:val="00FD7CBB"/>
    <w:rsid w:val="00FE0B6F"/>
    <w:rsid w:val="00FE0D22"/>
    <w:rsid w:val="00FE124B"/>
    <w:rsid w:val="00FE1B50"/>
    <w:rsid w:val="00FE1FAD"/>
    <w:rsid w:val="00FE2086"/>
    <w:rsid w:val="00FE2564"/>
    <w:rsid w:val="00FE27B7"/>
    <w:rsid w:val="00FE29CC"/>
    <w:rsid w:val="00FE2E1D"/>
    <w:rsid w:val="00FE33D7"/>
    <w:rsid w:val="00FE3496"/>
    <w:rsid w:val="00FE3B97"/>
    <w:rsid w:val="00FE3C8E"/>
    <w:rsid w:val="00FE3E71"/>
    <w:rsid w:val="00FE43CC"/>
    <w:rsid w:val="00FE4519"/>
    <w:rsid w:val="00FE4C61"/>
    <w:rsid w:val="00FE4E95"/>
    <w:rsid w:val="00FE552D"/>
    <w:rsid w:val="00FE55D0"/>
    <w:rsid w:val="00FE5A96"/>
    <w:rsid w:val="00FE6124"/>
    <w:rsid w:val="00FE6695"/>
    <w:rsid w:val="00FE68ED"/>
    <w:rsid w:val="00FE6E82"/>
    <w:rsid w:val="00FE7023"/>
    <w:rsid w:val="00FE74D2"/>
    <w:rsid w:val="00FE772E"/>
    <w:rsid w:val="00FE7989"/>
    <w:rsid w:val="00FF03F2"/>
    <w:rsid w:val="00FF13CE"/>
    <w:rsid w:val="00FF1756"/>
    <w:rsid w:val="00FF1C9A"/>
    <w:rsid w:val="00FF2180"/>
    <w:rsid w:val="00FF21B9"/>
    <w:rsid w:val="00FF22E8"/>
    <w:rsid w:val="00FF2AD8"/>
    <w:rsid w:val="00FF2B26"/>
    <w:rsid w:val="00FF31B8"/>
    <w:rsid w:val="00FF373D"/>
    <w:rsid w:val="00FF37EE"/>
    <w:rsid w:val="00FF3B29"/>
    <w:rsid w:val="00FF3BE2"/>
    <w:rsid w:val="00FF3D23"/>
    <w:rsid w:val="00FF3EAC"/>
    <w:rsid w:val="00FF455F"/>
    <w:rsid w:val="00FF4760"/>
    <w:rsid w:val="00FF4C5B"/>
    <w:rsid w:val="00FF4DCB"/>
    <w:rsid w:val="00FF51BA"/>
    <w:rsid w:val="00FF5663"/>
    <w:rsid w:val="00FF5C2D"/>
    <w:rsid w:val="00FF658A"/>
    <w:rsid w:val="00FF675C"/>
    <w:rsid w:val="00FF6BEC"/>
    <w:rsid w:val="00FF748D"/>
    <w:rsid w:val="00FF7C9E"/>
    <w:rsid w:val="00FF7DFE"/>
    <w:rsid w:val="010469A2"/>
    <w:rsid w:val="013030AB"/>
    <w:rsid w:val="0130749D"/>
    <w:rsid w:val="016C7F52"/>
    <w:rsid w:val="017EE08B"/>
    <w:rsid w:val="017EE3D2"/>
    <w:rsid w:val="017FD369"/>
    <w:rsid w:val="018C951A"/>
    <w:rsid w:val="0190786F"/>
    <w:rsid w:val="01921C9C"/>
    <w:rsid w:val="019A68E3"/>
    <w:rsid w:val="019CEAD2"/>
    <w:rsid w:val="01CE3D9B"/>
    <w:rsid w:val="01D302B8"/>
    <w:rsid w:val="01D794A5"/>
    <w:rsid w:val="01DDD585"/>
    <w:rsid w:val="01FB5489"/>
    <w:rsid w:val="02079F1C"/>
    <w:rsid w:val="02291E88"/>
    <w:rsid w:val="02411BDD"/>
    <w:rsid w:val="0246EE37"/>
    <w:rsid w:val="0248AE84"/>
    <w:rsid w:val="025A23D9"/>
    <w:rsid w:val="026A5662"/>
    <w:rsid w:val="028D4A12"/>
    <w:rsid w:val="028F1D99"/>
    <w:rsid w:val="02A25471"/>
    <w:rsid w:val="02B1F762"/>
    <w:rsid w:val="02D61BD9"/>
    <w:rsid w:val="02EC51EF"/>
    <w:rsid w:val="0312B364"/>
    <w:rsid w:val="0315134A"/>
    <w:rsid w:val="03254C7B"/>
    <w:rsid w:val="033B2459"/>
    <w:rsid w:val="0370FF23"/>
    <w:rsid w:val="0376FEAF"/>
    <w:rsid w:val="0390E994"/>
    <w:rsid w:val="03928065"/>
    <w:rsid w:val="03B133B1"/>
    <w:rsid w:val="03D229D8"/>
    <w:rsid w:val="03D3BBF9"/>
    <w:rsid w:val="03E83E63"/>
    <w:rsid w:val="03E9F727"/>
    <w:rsid w:val="03EC4B87"/>
    <w:rsid w:val="03F2036E"/>
    <w:rsid w:val="03FD8D5F"/>
    <w:rsid w:val="04000877"/>
    <w:rsid w:val="04138EF0"/>
    <w:rsid w:val="041518FD"/>
    <w:rsid w:val="04168B35"/>
    <w:rsid w:val="0434121C"/>
    <w:rsid w:val="043705A1"/>
    <w:rsid w:val="045BDA14"/>
    <w:rsid w:val="047132AE"/>
    <w:rsid w:val="0481B8A5"/>
    <w:rsid w:val="0483F8E7"/>
    <w:rsid w:val="04A09EB3"/>
    <w:rsid w:val="04BBFE9B"/>
    <w:rsid w:val="04CE403F"/>
    <w:rsid w:val="04D293AE"/>
    <w:rsid w:val="04D49978"/>
    <w:rsid w:val="04EBAAB8"/>
    <w:rsid w:val="04EF0140"/>
    <w:rsid w:val="04F43CF1"/>
    <w:rsid w:val="04F6CBC8"/>
    <w:rsid w:val="04FEC787"/>
    <w:rsid w:val="05049CA7"/>
    <w:rsid w:val="050CFAEC"/>
    <w:rsid w:val="053686CA"/>
    <w:rsid w:val="054DF36C"/>
    <w:rsid w:val="055309E8"/>
    <w:rsid w:val="056BF6D5"/>
    <w:rsid w:val="056E200F"/>
    <w:rsid w:val="05A07628"/>
    <w:rsid w:val="05A2E8D6"/>
    <w:rsid w:val="05A37984"/>
    <w:rsid w:val="05B9327B"/>
    <w:rsid w:val="05C2B53B"/>
    <w:rsid w:val="05C89506"/>
    <w:rsid w:val="05F691FA"/>
    <w:rsid w:val="05FA119F"/>
    <w:rsid w:val="060F3BEE"/>
    <w:rsid w:val="061911DD"/>
    <w:rsid w:val="062799C2"/>
    <w:rsid w:val="063F18C9"/>
    <w:rsid w:val="06594DE2"/>
    <w:rsid w:val="066D12E7"/>
    <w:rsid w:val="06719D4F"/>
    <w:rsid w:val="0672D647"/>
    <w:rsid w:val="0675132B"/>
    <w:rsid w:val="0675E2F8"/>
    <w:rsid w:val="069BF045"/>
    <w:rsid w:val="069DFA5D"/>
    <w:rsid w:val="06A8F350"/>
    <w:rsid w:val="06B13FCE"/>
    <w:rsid w:val="06B21AE2"/>
    <w:rsid w:val="06B54EBB"/>
    <w:rsid w:val="06BA2C3A"/>
    <w:rsid w:val="06DEC1C6"/>
    <w:rsid w:val="06F130DF"/>
    <w:rsid w:val="06F410CA"/>
    <w:rsid w:val="06F90E8F"/>
    <w:rsid w:val="06FF9C9F"/>
    <w:rsid w:val="07021AE2"/>
    <w:rsid w:val="070B76BD"/>
    <w:rsid w:val="070DCA4D"/>
    <w:rsid w:val="071BA322"/>
    <w:rsid w:val="071ED204"/>
    <w:rsid w:val="0725262C"/>
    <w:rsid w:val="072AFD9E"/>
    <w:rsid w:val="074E714C"/>
    <w:rsid w:val="075AFF9F"/>
    <w:rsid w:val="07728854"/>
    <w:rsid w:val="0774D34F"/>
    <w:rsid w:val="078698CD"/>
    <w:rsid w:val="078C2929"/>
    <w:rsid w:val="079C7A99"/>
    <w:rsid w:val="07A87719"/>
    <w:rsid w:val="07CA1E69"/>
    <w:rsid w:val="07CF6980"/>
    <w:rsid w:val="07CF8F5E"/>
    <w:rsid w:val="07D75C53"/>
    <w:rsid w:val="07DD85AF"/>
    <w:rsid w:val="07DF0C53"/>
    <w:rsid w:val="07DFF754"/>
    <w:rsid w:val="08036C0F"/>
    <w:rsid w:val="08406889"/>
    <w:rsid w:val="08408258"/>
    <w:rsid w:val="085AC821"/>
    <w:rsid w:val="08639B4B"/>
    <w:rsid w:val="08718F2F"/>
    <w:rsid w:val="08909B6F"/>
    <w:rsid w:val="0898409D"/>
    <w:rsid w:val="08AFBB31"/>
    <w:rsid w:val="08B9E71B"/>
    <w:rsid w:val="08D63BD1"/>
    <w:rsid w:val="08D6B438"/>
    <w:rsid w:val="08D8DD7C"/>
    <w:rsid w:val="08F4D80C"/>
    <w:rsid w:val="09691C42"/>
    <w:rsid w:val="09A3120B"/>
    <w:rsid w:val="09A4620C"/>
    <w:rsid w:val="09AB18AD"/>
    <w:rsid w:val="09BDBDEF"/>
    <w:rsid w:val="09C8798B"/>
    <w:rsid w:val="09D37EBF"/>
    <w:rsid w:val="09FA3B51"/>
    <w:rsid w:val="0A131F97"/>
    <w:rsid w:val="0A35022A"/>
    <w:rsid w:val="0A38571E"/>
    <w:rsid w:val="0A47D442"/>
    <w:rsid w:val="0A671C83"/>
    <w:rsid w:val="0A673555"/>
    <w:rsid w:val="0A9093C4"/>
    <w:rsid w:val="0A9ADB3C"/>
    <w:rsid w:val="0A9CA126"/>
    <w:rsid w:val="0A9D721B"/>
    <w:rsid w:val="0AA865AE"/>
    <w:rsid w:val="0ABAEECD"/>
    <w:rsid w:val="0ABF439F"/>
    <w:rsid w:val="0AE0881D"/>
    <w:rsid w:val="0AE53E7A"/>
    <w:rsid w:val="0AE8BD29"/>
    <w:rsid w:val="0AF40867"/>
    <w:rsid w:val="0B0A5E38"/>
    <w:rsid w:val="0B11C2BC"/>
    <w:rsid w:val="0B1828AA"/>
    <w:rsid w:val="0B1C6078"/>
    <w:rsid w:val="0B44002C"/>
    <w:rsid w:val="0B44E638"/>
    <w:rsid w:val="0B57DB2E"/>
    <w:rsid w:val="0B6F473C"/>
    <w:rsid w:val="0B7851F7"/>
    <w:rsid w:val="0B7F739B"/>
    <w:rsid w:val="0B977B55"/>
    <w:rsid w:val="0B9D7AA6"/>
    <w:rsid w:val="0BC7F1AB"/>
    <w:rsid w:val="0BF20CFD"/>
    <w:rsid w:val="0BFE5D48"/>
    <w:rsid w:val="0C248605"/>
    <w:rsid w:val="0C36D425"/>
    <w:rsid w:val="0C3BDA9A"/>
    <w:rsid w:val="0C87B40B"/>
    <w:rsid w:val="0CA072FA"/>
    <w:rsid w:val="0CA25822"/>
    <w:rsid w:val="0CB2AF38"/>
    <w:rsid w:val="0CB88ED7"/>
    <w:rsid w:val="0CC4049A"/>
    <w:rsid w:val="0CC88E40"/>
    <w:rsid w:val="0CD668C6"/>
    <w:rsid w:val="0CF81B97"/>
    <w:rsid w:val="0D022ABA"/>
    <w:rsid w:val="0D0CA88C"/>
    <w:rsid w:val="0D1754D1"/>
    <w:rsid w:val="0D29E62C"/>
    <w:rsid w:val="0D2D8185"/>
    <w:rsid w:val="0D3383FE"/>
    <w:rsid w:val="0D4D37E7"/>
    <w:rsid w:val="0D574B5F"/>
    <w:rsid w:val="0D5FAD5F"/>
    <w:rsid w:val="0D64DB23"/>
    <w:rsid w:val="0D748380"/>
    <w:rsid w:val="0D7AF6A9"/>
    <w:rsid w:val="0D882728"/>
    <w:rsid w:val="0DA7B78F"/>
    <w:rsid w:val="0DAF40EE"/>
    <w:rsid w:val="0DB0F509"/>
    <w:rsid w:val="0DB16F1D"/>
    <w:rsid w:val="0DC39FD2"/>
    <w:rsid w:val="0DC974A2"/>
    <w:rsid w:val="0DDCF797"/>
    <w:rsid w:val="0DF1D0E0"/>
    <w:rsid w:val="0DF5A0C4"/>
    <w:rsid w:val="0E0969E1"/>
    <w:rsid w:val="0E171A51"/>
    <w:rsid w:val="0E21FEDD"/>
    <w:rsid w:val="0E351BE1"/>
    <w:rsid w:val="0E39475D"/>
    <w:rsid w:val="0E653BBB"/>
    <w:rsid w:val="0E6BA337"/>
    <w:rsid w:val="0E6DB4B2"/>
    <w:rsid w:val="0E85DCCC"/>
    <w:rsid w:val="0E8DE3F8"/>
    <w:rsid w:val="0E93A02D"/>
    <w:rsid w:val="0E9B0C0B"/>
    <w:rsid w:val="0EAE2674"/>
    <w:rsid w:val="0ECB83C1"/>
    <w:rsid w:val="0EDDE351"/>
    <w:rsid w:val="0EF9AD19"/>
    <w:rsid w:val="0EFB0D80"/>
    <w:rsid w:val="0EFD3CAE"/>
    <w:rsid w:val="0EFF3B64"/>
    <w:rsid w:val="0F070CD5"/>
    <w:rsid w:val="0F1A845C"/>
    <w:rsid w:val="0F2FF943"/>
    <w:rsid w:val="0F4CC1CD"/>
    <w:rsid w:val="0F57337A"/>
    <w:rsid w:val="0F6031B3"/>
    <w:rsid w:val="0F641312"/>
    <w:rsid w:val="0F722781"/>
    <w:rsid w:val="0F87AC8C"/>
    <w:rsid w:val="0F88CF09"/>
    <w:rsid w:val="0F9DC328"/>
    <w:rsid w:val="0FACF3AA"/>
    <w:rsid w:val="0FB26CB7"/>
    <w:rsid w:val="0FB3CBAC"/>
    <w:rsid w:val="0FCB221C"/>
    <w:rsid w:val="0FCDF579"/>
    <w:rsid w:val="0FD68C68"/>
    <w:rsid w:val="0FDB88BD"/>
    <w:rsid w:val="0FF1FEC5"/>
    <w:rsid w:val="0FFD80B4"/>
    <w:rsid w:val="102C126E"/>
    <w:rsid w:val="10641834"/>
    <w:rsid w:val="106C7A2F"/>
    <w:rsid w:val="10770226"/>
    <w:rsid w:val="10811A19"/>
    <w:rsid w:val="10914E50"/>
    <w:rsid w:val="10A6D5A2"/>
    <w:rsid w:val="10C12A66"/>
    <w:rsid w:val="10C1FB73"/>
    <w:rsid w:val="10DC496D"/>
    <w:rsid w:val="10DEE4FF"/>
    <w:rsid w:val="10E626A8"/>
    <w:rsid w:val="10E7718A"/>
    <w:rsid w:val="10FE31C6"/>
    <w:rsid w:val="10FE9E76"/>
    <w:rsid w:val="111F6EBD"/>
    <w:rsid w:val="1125F465"/>
    <w:rsid w:val="11378BB6"/>
    <w:rsid w:val="11584C37"/>
    <w:rsid w:val="115D7340"/>
    <w:rsid w:val="1185DD84"/>
    <w:rsid w:val="1197DD7D"/>
    <w:rsid w:val="11A3FCCC"/>
    <w:rsid w:val="11ACD77A"/>
    <w:rsid w:val="11C4905D"/>
    <w:rsid w:val="11DABA9D"/>
    <w:rsid w:val="11DEE462"/>
    <w:rsid w:val="11EE492F"/>
    <w:rsid w:val="11F21EA9"/>
    <w:rsid w:val="11F59A85"/>
    <w:rsid w:val="11FBAFDB"/>
    <w:rsid w:val="11FCB8C6"/>
    <w:rsid w:val="1210BE1D"/>
    <w:rsid w:val="1232E9BD"/>
    <w:rsid w:val="123FEDF4"/>
    <w:rsid w:val="1253178E"/>
    <w:rsid w:val="125E64D8"/>
    <w:rsid w:val="129004BB"/>
    <w:rsid w:val="1291F9B6"/>
    <w:rsid w:val="129C6BF3"/>
    <w:rsid w:val="12B29C60"/>
    <w:rsid w:val="12DD3655"/>
    <w:rsid w:val="130059F8"/>
    <w:rsid w:val="13089FD0"/>
    <w:rsid w:val="13498BEC"/>
    <w:rsid w:val="1359738B"/>
    <w:rsid w:val="135A2FDE"/>
    <w:rsid w:val="138287FE"/>
    <w:rsid w:val="138D9879"/>
    <w:rsid w:val="139C6B7D"/>
    <w:rsid w:val="13A88378"/>
    <w:rsid w:val="13B24A82"/>
    <w:rsid w:val="13CB0E95"/>
    <w:rsid w:val="13CC83B3"/>
    <w:rsid w:val="13D641FA"/>
    <w:rsid w:val="13D6C224"/>
    <w:rsid w:val="13E94157"/>
    <w:rsid w:val="14217BB7"/>
    <w:rsid w:val="1428F8D8"/>
    <w:rsid w:val="14290BE3"/>
    <w:rsid w:val="142D09EB"/>
    <w:rsid w:val="143FFA74"/>
    <w:rsid w:val="144389CC"/>
    <w:rsid w:val="1447D3C1"/>
    <w:rsid w:val="14512D25"/>
    <w:rsid w:val="14565D6B"/>
    <w:rsid w:val="1461D3BF"/>
    <w:rsid w:val="148C1FED"/>
    <w:rsid w:val="14B2BB6D"/>
    <w:rsid w:val="14CF8343"/>
    <w:rsid w:val="14D05BF6"/>
    <w:rsid w:val="14E1FE5C"/>
    <w:rsid w:val="14E608B5"/>
    <w:rsid w:val="14EAFA44"/>
    <w:rsid w:val="14ECCB85"/>
    <w:rsid w:val="14EFCAC8"/>
    <w:rsid w:val="14F9B6E1"/>
    <w:rsid w:val="15015E85"/>
    <w:rsid w:val="1501ACCE"/>
    <w:rsid w:val="15032CF2"/>
    <w:rsid w:val="1507E50C"/>
    <w:rsid w:val="1511692A"/>
    <w:rsid w:val="1511BD71"/>
    <w:rsid w:val="152E5F21"/>
    <w:rsid w:val="153346DE"/>
    <w:rsid w:val="15544D59"/>
    <w:rsid w:val="155757B5"/>
    <w:rsid w:val="156ECD74"/>
    <w:rsid w:val="15804C5E"/>
    <w:rsid w:val="15982F84"/>
    <w:rsid w:val="159BDF17"/>
    <w:rsid w:val="15BFBA31"/>
    <w:rsid w:val="15D9DD52"/>
    <w:rsid w:val="15E1127A"/>
    <w:rsid w:val="15FA3E16"/>
    <w:rsid w:val="161773F5"/>
    <w:rsid w:val="1621420C"/>
    <w:rsid w:val="1635A237"/>
    <w:rsid w:val="163FA4A9"/>
    <w:rsid w:val="164528E7"/>
    <w:rsid w:val="164BC6E5"/>
    <w:rsid w:val="165D5159"/>
    <w:rsid w:val="167D7E49"/>
    <w:rsid w:val="1683930D"/>
    <w:rsid w:val="168BB876"/>
    <w:rsid w:val="16932A0F"/>
    <w:rsid w:val="16945BFA"/>
    <w:rsid w:val="169B9249"/>
    <w:rsid w:val="16A0654B"/>
    <w:rsid w:val="16AFEE6E"/>
    <w:rsid w:val="16B1633E"/>
    <w:rsid w:val="16E7DEDC"/>
    <w:rsid w:val="16F87065"/>
    <w:rsid w:val="16FF7088"/>
    <w:rsid w:val="170489DA"/>
    <w:rsid w:val="171D7E46"/>
    <w:rsid w:val="17203AD6"/>
    <w:rsid w:val="172429D3"/>
    <w:rsid w:val="175202AA"/>
    <w:rsid w:val="176C9947"/>
    <w:rsid w:val="17AE65A7"/>
    <w:rsid w:val="17BC1306"/>
    <w:rsid w:val="17C8C620"/>
    <w:rsid w:val="17C8F354"/>
    <w:rsid w:val="17C97446"/>
    <w:rsid w:val="17DC4746"/>
    <w:rsid w:val="1802AA58"/>
    <w:rsid w:val="18096B71"/>
    <w:rsid w:val="181F249B"/>
    <w:rsid w:val="182888D9"/>
    <w:rsid w:val="182EE24F"/>
    <w:rsid w:val="184613CD"/>
    <w:rsid w:val="18897496"/>
    <w:rsid w:val="1890F861"/>
    <w:rsid w:val="1895D7CC"/>
    <w:rsid w:val="18A68900"/>
    <w:rsid w:val="18B68567"/>
    <w:rsid w:val="18C5DBC6"/>
    <w:rsid w:val="18E61AA2"/>
    <w:rsid w:val="18F83C93"/>
    <w:rsid w:val="19041796"/>
    <w:rsid w:val="190F15A5"/>
    <w:rsid w:val="1920DC82"/>
    <w:rsid w:val="19229902"/>
    <w:rsid w:val="192CEE09"/>
    <w:rsid w:val="19319D69"/>
    <w:rsid w:val="1947AEA8"/>
    <w:rsid w:val="1968F382"/>
    <w:rsid w:val="196D728C"/>
    <w:rsid w:val="1984A592"/>
    <w:rsid w:val="19BBC693"/>
    <w:rsid w:val="19CF82A7"/>
    <w:rsid w:val="19DC7D60"/>
    <w:rsid w:val="19E8F2C1"/>
    <w:rsid w:val="1A2F6A40"/>
    <w:rsid w:val="1A31F537"/>
    <w:rsid w:val="1A465C01"/>
    <w:rsid w:val="1A54D917"/>
    <w:rsid w:val="1A7F59C7"/>
    <w:rsid w:val="1A89342A"/>
    <w:rsid w:val="1AA88021"/>
    <w:rsid w:val="1AB6ACDF"/>
    <w:rsid w:val="1ABC9AC4"/>
    <w:rsid w:val="1ADCDBC2"/>
    <w:rsid w:val="1AFA1A73"/>
    <w:rsid w:val="1B082A94"/>
    <w:rsid w:val="1B147163"/>
    <w:rsid w:val="1B42CE17"/>
    <w:rsid w:val="1B435B0A"/>
    <w:rsid w:val="1B48A335"/>
    <w:rsid w:val="1B49D15D"/>
    <w:rsid w:val="1B4DBFAF"/>
    <w:rsid w:val="1B6546CD"/>
    <w:rsid w:val="1B68D890"/>
    <w:rsid w:val="1B7FA601"/>
    <w:rsid w:val="1B87C6BD"/>
    <w:rsid w:val="1B897591"/>
    <w:rsid w:val="1BA014A9"/>
    <w:rsid w:val="1BA4BEA2"/>
    <w:rsid w:val="1BC70FBB"/>
    <w:rsid w:val="1BEECB39"/>
    <w:rsid w:val="1C01D915"/>
    <w:rsid w:val="1C044011"/>
    <w:rsid w:val="1C1ADC7F"/>
    <w:rsid w:val="1C3A468E"/>
    <w:rsid w:val="1C4D048F"/>
    <w:rsid w:val="1C5206BC"/>
    <w:rsid w:val="1C5EAD55"/>
    <w:rsid w:val="1C606208"/>
    <w:rsid w:val="1C64DE73"/>
    <w:rsid w:val="1C784A19"/>
    <w:rsid w:val="1CB2AC91"/>
    <w:rsid w:val="1CB8BF34"/>
    <w:rsid w:val="1CBF1963"/>
    <w:rsid w:val="1CEE1801"/>
    <w:rsid w:val="1CFA3733"/>
    <w:rsid w:val="1CFB039C"/>
    <w:rsid w:val="1D04D9E7"/>
    <w:rsid w:val="1D0C616F"/>
    <w:rsid w:val="1D0D7A40"/>
    <w:rsid w:val="1D0F2B3D"/>
    <w:rsid w:val="1D16C1AD"/>
    <w:rsid w:val="1D1E218E"/>
    <w:rsid w:val="1D2F3E16"/>
    <w:rsid w:val="1D2F6598"/>
    <w:rsid w:val="1D999A3F"/>
    <w:rsid w:val="1DBEC828"/>
    <w:rsid w:val="1DD49B90"/>
    <w:rsid w:val="1DEFA712"/>
    <w:rsid w:val="1E106098"/>
    <w:rsid w:val="1E44E065"/>
    <w:rsid w:val="1E6430F8"/>
    <w:rsid w:val="1E82A3E2"/>
    <w:rsid w:val="1EBE1F11"/>
    <w:rsid w:val="1EBECA4D"/>
    <w:rsid w:val="1EC0EAF2"/>
    <w:rsid w:val="1ED619AA"/>
    <w:rsid w:val="1EDEF45D"/>
    <w:rsid w:val="1EEC609D"/>
    <w:rsid w:val="1EFF556B"/>
    <w:rsid w:val="1F36EB1C"/>
    <w:rsid w:val="1F4BD57A"/>
    <w:rsid w:val="1F6E348C"/>
    <w:rsid w:val="1F713879"/>
    <w:rsid w:val="1F7399B1"/>
    <w:rsid w:val="1F827385"/>
    <w:rsid w:val="1F8D82CA"/>
    <w:rsid w:val="1F9015FC"/>
    <w:rsid w:val="1FA8FBAB"/>
    <w:rsid w:val="1FB163EA"/>
    <w:rsid w:val="1FB7C0EF"/>
    <w:rsid w:val="1FC59DFE"/>
    <w:rsid w:val="1FDC8486"/>
    <w:rsid w:val="1FDD3EAC"/>
    <w:rsid w:val="1FEA2DE4"/>
    <w:rsid w:val="1FF3D291"/>
    <w:rsid w:val="1FFDDA25"/>
    <w:rsid w:val="200722E6"/>
    <w:rsid w:val="20174256"/>
    <w:rsid w:val="202056C3"/>
    <w:rsid w:val="2023790E"/>
    <w:rsid w:val="2026B6A6"/>
    <w:rsid w:val="20297ADB"/>
    <w:rsid w:val="2035877B"/>
    <w:rsid w:val="2045DE16"/>
    <w:rsid w:val="20475705"/>
    <w:rsid w:val="206C169B"/>
    <w:rsid w:val="207621DF"/>
    <w:rsid w:val="20A9DF45"/>
    <w:rsid w:val="20E3DBFA"/>
    <w:rsid w:val="21031F37"/>
    <w:rsid w:val="21108C3A"/>
    <w:rsid w:val="2112CDDB"/>
    <w:rsid w:val="2113E6CB"/>
    <w:rsid w:val="21283A6C"/>
    <w:rsid w:val="215FDE4F"/>
    <w:rsid w:val="21661A1C"/>
    <w:rsid w:val="216D868F"/>
    <w:rsid w:val="21891598"/>
    <w:rsid w:val="219EDDDA"/>
    <w:rsid w:val="21B9E388"/>
    <w:rsid w:val="21C0C829"/>
    <w:rsid w:val="21DE98A8"/>
    <w:rsid w:val="21DF4D6A"/>
    <w:rsid w:val="21E02AEE"/>
    <w:rsid w:val="21E908B9"/>
    <w:rsid w:val="21F5B673"/>
    <w:rsid w:val="221EFF3C"/>
    <w:rsid w:val="2221E47F"/>
    <w:rsid w:val="222D3F9B"/>
    <w:rsid w:val="2230460A"/>
    <w:rsid w:val="229BBE9D"/>
    <w:rsid w:val="22A7CDDB"/>
    <w:rsid w:val="22ADA9D2"/>
    <w:rsid w:val="22BC0EFD"/>
    <w:rsid w:val="22C1ACCD"/>
    <w:rsid w:val="22C8AF75"/>
    <w:rsid w:val="22EA2114"/>
    <w:rsid w:val="23097CA1"/>
    <w:rsid w:val="2337D7DC"/>
    <w:rsid w:val="23561E07"/>
    <w:rsid w:val="237F790E"/>
    <w:rsid w:val="23929847"/>
    <w:rsid w:val="239C8E8E"/>
    <w:rsid w:val="23BC0D2D"/>
    <w:rsid w:val="23C8AD1B"/>
    <w:rsid w:val="23DB6CE0"/>
    <w:rsid w:val="23FD3B74"/>
    <w:rsid w:val="2413C09C"/>
    <w:rsid w:val="2429A190"/>
    <w:rsid w:val="24443CF3"/>
    <w:rsid w:val="2446A0E1"/>
    <w:rsid w:val="2460CD4E"/>
    <w:rsid w:val="2465E87B"/>
    <w:rsid w:val="24786FDA"/>
    <w:rsid w:val="247B6D5B"/>
    <w:rsid w:val="24840D3A"/>
    <w:rsid w:val="248DBDA8"/>
    <w:rsid w:val="24AC6765"/>
    <w:rsid w:val="24B78486"/>
    <w:rsid w:val="24C2BE65"/>
    <w:rsid w:val="24CED1CC"/>
    <w:rsid w:val="24F469DD"/>
    <w:rsid w:val="24F572AE"/>
    <w:rsid w:val="25144388"/>
    <w:rsid w:val="25165A89"/>
    <w:rsid w:val="2526ADEB"/>
    <w:rsid w:val="25385102"/>
    <w:rsid w:val="253C9F90"/>
    <w:rsid w:val="253CC1D2"/>
    <w:rsid w:val="2546DDEC"/>
    <w:rsid w:val="254CD91F"/>
    <w:rsid w:val="2566412B"/>
    <w:rsid w:val="256D5BDD"/>
    <w:rsid w:val="25A840C3"/>
    <w:rsid w:val="25BB3303"/>
    <w:rsid w:val="25C7FAB6"/>
    <w:rsid w:val="25C8E685"/>
    <w:rsid w:val="25DBF450"/>
    <w:rsid w:val="25FF60EE"/>
    <w:rsid w:val="2629ABE7"/>
    <w:rsid w:val="26557B5B"/>
    <w:rsid w:val="266553FD"/>
    <w:rsid w:val="2679A0C4"/>
    <w:rsid w:val="267FC45E"/>
    <w:rsid w:val="26809453"/>
    <w:rsid w:val="26A4A274"/>
    <w:rsid w:val="26A95900"/>
    <w:rsid w:val="26B7377F"/>
    <w:rsid w:val="26C61A84"/>
    <w:rsid w:val="26D181E2"/>
    <w:rsid w:val="26D9A5F8"/>
    <w:rsid w:val="26E1E8D4"/>
    <w:rsid w:val="26E28D1A"/>
    <w:rsid w:val="26E2B842"/>
    <w:rsid w:val="26E56F91"/>
    <w:rsid w:val="26E9FBDE"/>
    <w:rsid w:val="26FB7F57"/>
    <w:rsid w:val="27022588"/>
    <w:rsid w:val="2707B706"/>
    <w:rsid w:val="271DBFFA"/>
    <w:rsid w:val="2721DA67"/>
    <w:rsid w:val="2725BA86"/>
    <w:rsid w:val="2725BEB9"/>
    <w:rsid w:val="273A0B98"/>
    <w:rsid w:val="273EC81D"/>
    <w:rsid w:val="2762C9A3"/>
    <w:rsid w:val="2786178B"/>
    <w:rsid w:val="278AEB53"/>
    <w:rsid w:val="27A55B05"/>
    <w:rsid w:val="27A8ED83"/>
    <w:rsid w:val="27CB69E6"/>
    <w:rsid w:val="27DC9650"/>
    <w:rsid w:val="27F3D274"/>
    <w:rsid w:val="27F9DAFD"/>
    <w:rsid w:val="281E3754"/>
    <w:rsid w:val="281E5D9E"/>
    <w:rsid w:val="283424E4"/>
    <w:rsid w:val="283666EE"/>
    <w:rsid w:val="2845FABF"/>
    <w:rsid w:val="28483AA6"/>
    <w:rsid w:val="2865C58A"/>
    <w:rsid w:val="287922AF"/>
    <w:rsid w:val="28846CD0"/>
    <w:rsid w:val="28937EED"/>
    <w:rsid w:val="28982D03"/>
    <w:rsid w:val="28A7FC59"/>
    <w:rsid w:val="28D38D19"/>
    <w:rsid w:val="28D64C82"/>
    <w:rsid w:val="28DB0A2B"/>
    <w:rsid w:val="28E5A6F4"/>
    <w:rsid w:val="28EBCA48"/>
    <w:rsid w:val="28EBEB44"/>
    <w:rsid w:val="29056C68"/>
    <w:rsid w:val="29065534"/>
    <w:rsid w:val="2906C963"/>
    <w:rsid w:val="2916F08F"/>
    <w:rsid w:val="291B87BA"/>
    <w:rsid w:val="291C2913"/>
    <w:rsid w:val="29213E07"/>
    <w:rsid w:val="292518E4"/>
    <w:rsid w:val="29330005"/>
    <w:rsid w:val="2937DA92"/>
    <w:rsid w:val="2938A157"/>
    <w:rsid w:val="293AE50D"/>
    <w:rsid w:val="294A9AED"/>
    <w:rsid w:val="297804E4"/>
    <w:rsid w:val="299B552E"/>
    <w:rsid w:val="29ABCFF1"/>
    <w:rsid w:val="29C4FD0B"/>
    <w:rsid w:val="29D754D5"/>
    <w:rsid w:val="29E79E1D"/>
    <w:rsid w:val="2A0955F9"/>
    <w:rsid w:val="2A0DBAA4"/>
    <w:rsid w:val="2A15B4F7"/>
    <w:rsid w:val="2A16418A"/>
    <w:rsid w:val="2A322B34"/>
    <w:rsid w:val="2A43BB04"/>
    <w:rsid w:val="2A539DC7"/>
    <w:rsid w:val="2A66B7FE"/>
    <w:rsid w:val="2A795418"/>
    <w:rsid w:val="2A796D76"/>
    <w:rsid w:val="2A79CE85"/>
    <w:rsid w:val="2A7A1DFB"/>
    <w:rsid w:val="2A7B0DC2"/>
    <w:rsid w:val="2A9E7AD7"/>
    <w:rsid w:val="2AA70504"/>
    <w:rsid w:val="2AC13BCC"/>
    <w:rsid w:val="2ACC28D6"/>
    <w:rsid w:val="2AE162CB"/>
    <w:rsid w:val="2AE6B80C"/>
    <w:rsid w:val="2AE7BA3D"/>
    <w:rsid w:val="2B0D7DBA"/>
    <w:rsid w:val="2B42D064"/>
    <w:rsid w:val="2B480CD4"/>
    <w:rsid w:val="2B7638E5"/>
    <w:rsid w:val="2B81705E"/>
    <w:rsid w:val="2B82C884"/>
    <w:rsid w:val="2B874C71"/>
    <w:rsid w:val="2BD358A8"/>
    <w:rsid w:val="2BD83FCA"/>
    <w:rsid w:val="2BE0F5AE"/>
    <w:rsid w:val="2BE6865B"/>
    <w:rsid w:val="2BF1383A"/>
    <w:rsid w:val="2BFF3DA8"/>
    <w:rsid w:val="2C05AB6C"/>
    <w:rsid w:val="2C0859C3"/>
    <w:rsid w:val="2C0A536F"/>
    <w:rsid w:val="2C104FDE"/>
    <w:rsid w:val="2C15E393"/>
    <w:rsid w:val="2C19F50E"/>
    <w:rsid w:val="2C21078F"/>
    <w:rsid w:val="2C3EB6F1"/>
    <w:rsid w:val="2C4FAFE0"/>
    <w:rsid w:val="2C5A437A"/>
    <w:rsid w:val="2C7560CD"/>
    <w:rsid w:val="2C7C4E28"/>
    <w:rsid w:val="2C7E09D0"/>
    <w:rsid w:val="2C7E5B08"/>
    <w:rsid w:val="2CA7E4DB"/>
    <w:rsid w:val="2CAC5B1B"/>
    <w:rsid w:val="2CBAB2C3"/>
    <w:rsid w:val="2CC12093"/>
    <w:rsid w:val="2CC20644"/>
    <w:rsid w:val="2CC22011"/>
    <w:rsid w:val="2CD8376A"/>
    <w:rsid w:val="2CF12E8F"/>
    <w:rsid w:val="2CF236D3"/>
    <w:rsid w:val="2CFB3E28"/>
    <w:rsid w:val="2D197EE3"/>
    <w:rsid w:val="2D1C6A67"/>
    <w:rsid w:val="2D208FDA"/>
    <w:rsid w:val="2D27C622"/>
    <w:rsid w:val="2D28D8A4"/>
    <w:rsid w:val="2D2A9793"/>
    <w:rsid w:val="2D55BED3"/>
    <w:rsid w:val="2D5AB652"/>
    <w:rsid w:val="2D6E742D"/>
    <w:rsid w:val="2D704A5A"/>
    <w:rsid w:val="2D828001"/>
    <w:rsid w:val="2D8C078E"/>
    <w:rsid w:val="2D8CBFD0"/>
    <w:rsid w:val="2D939FAC"/>
    <w:rsid w:val="2DAC0BEC"/>
    <w:rsid w:val="2DB90D81"/>
    <w:rsid w:val="2DC69A9B"/>
    <w:rsid w:val="2DCA7500"/>
    <w:rsid w:val="2DCB6838"/>
    <w:rsid w:val="2DCB96F6"/>
    <w:rsid w:val="2DCD0605"/>
    <w:rsid w:val="2DCE1A82"/>
    <w:rsid w:val="2DDF7782"/>
    <w:rsid w:val="2DEDEA2B"/>
    <w:rsid w:val="2E0C7006"/>
    <w:rsid w:val="2E2D6ED5"/>
    <w:rsid w:val="2E306D8C"/>
    <w:rsid w:val="2E3079B3"/>
    <w:rsid w:val="2E5E270F"/>
    <w:rsid w:val="2E62BF0A"/>
    <w:rsid w:val="2E8FAAEB"/>
    <w:rsid w:val="2E9F1B01"/>
    <w:rsid w:val="2EB8C5A8"/>
    <w:rsid w:val="2EC50FF2"/>
    <w:rsid w:val="2EEC36A2"/>
    <w:rsid w:val="2EFBC68A"/>
    <w:rsid w:val="2F09A070"/>
    <w:rsid w:val="2F1F2415"/>
    <w:rsid w:val="2F375964"/>
    <w:rsid w:val="2F4A6B5F"/>
    <w:rsid w:val="2F51C884"/>
    <w:rsid w:val="2F5B07C5"/>
    <w:rsid w:val="2F62538A"/>
    <w:rsid w:val="2F62F096"/>
    <w:rsid w:val="2F808DD6"/>
    <w:rsid w:val="2F974AED"/>
    <w:rsid w:val="2FBF56A7"/>
    <w:rsid w:val="2FDCFF28"/>
    <w:rsid w:val="2FE2C1FA"/>
    <w:rsid w:val="2FE84CFE"/>
    <w:rsid w:val="2FFE66FC"/>
    <w:rsid w:val="2FFF5F0B"/>
    <w:rsid w:val="301E01EC"/>
    <w:rsid w:val="301F0912"/>
    <w:rsid w:val="303AEA86"/>
    <w:rsid w:val="304A0B9B"/>
    <w:rsid w:val="304E64DE"/>
    <w:rsid w:val="305EDF3D"/>
    <w:rsid w:val="3073FD6C"/>
    <w:rsid w:val="308D414D"/>
    <w:rsid w:val="30A719BA"/>
    <w:rsid w:val="30CD93EC"/>
    <w:rsid w:val="310E693A"/>
    <w:rsid w:val="311D6ED3"/>
    <w:rsid w:val="3143F250"/>
    <w:rsid w:val="316B8F74"/>
    <w:rsid w:val="31739EAD"/>
    <w:rsid w:val="31882E3C"/>
    <w:rsid w:val="3190461E"/>
    <w:rsid w:val="319B23B6"/>
    <w:rsid w:val="31A62555"/>
    <w:rsid w:val="31C5F20A"/>
    <w:rsid w:val="31CDE80D"/>
    <w:rsid w:val="31D87959"/>
    <w:rsid w:val="31F4CBEC"/>
    <w:rsid w:val="31FF47BB"/>
    <w:rsid w:val="32336021"/>
    <w:rsid w:val="324128D8"/>
    <w:rsid w:val="324FD77E"/>
    <w:rsid w:val="3259049A"/>
    <w:rsid w:val="325A298F"/>
    <w:rsid w:val="325E5EE0"/>
    <w:rsid w:val="326C13DC"/>
    <w:rsid w:val="326E476F"/>
    <w:rsid w:val="3272CED2"/>
    <w:rsid w:val="32B63D86"/>
    <w:rsid w:val="32B9957A"/>
    <w:rsid w:val="32BA8EF1"/>
    <w:rsid w:val="32C581C6"/>
    <w:rsid w:val="32CFB99F"/>
    <w:rsid w:val="32D432E9"/>
    <w:rsid w:val="32E3DBFC"/>
    <w:rsid w:val="332050BB"/>
    <w:rsid w:val="332FD9A1"/>
    <w:rsid w:val="3336A7DC"/>
    <w:rsid w:val="333DBAE9"/>
    <w:rsid w:val="3357A8A2"/>
    <w:rsid w:val="336F11EB"/>
    <w:rsid w:val="337350E5"/>
    <w:rsid w:val="3376827A"/>
    <w:rsid w:val="33786BA2"/>
    <w:rsid w:val="33823343"/>
    <w:rsid w:val="338686BA"/>
    <w:rsid w:val="338FADF2"/>
    <w:rsid w:val="33C59199"/>
    <w:rsid w:val="33CDF874"/>
    <w:rsid w:val="33D09184"/>
    <w:rsid w:val="33D0D608"/>
    <w:rsid w:val="33E0831F"/>
    <w:rsid w:val="33E1CDE3"/>
    <w:rsid w:val="33EE5B25"/>
    <w:rsid w:val="33F19B20"/>
    <w:rsid w:val="33FECB83"/>
    <w:rsid w:val="340DD1E1"/>
    <w:rsid w:val="341811D1"/>
    <w:rsid w:val="3432862D"/>
    <w:rsid w:val="34345499"/>
    <w:rsid w:val="34392E87"/>
    <w:rsid w:val="343C26C5"/>
    <w:rsid w:val="3442E44B"/>
    <w:rsid w:val="3452843D"/>
    <w:rsid w:val="346070A1"/>
    <w:rsid w:val="3477EE79"/>
    <w:rsid w:val="347B557A"/>
    <w:rsid w:val="34CB336F"/>
    <w:rsid w:val="34DAC6AA"/>
    <w:rsid w:val="34F8F0BD"/>
    <w:rsid w:val="34FCF63C"/>
    <w:rsid w:val="34FDC72C"/>
    <w:rsid w:val="3500DE79"/>
    <w:rsid w:val="3501B9C3"/>
    <w:rsid w:val="3513FEA2"/>
    <w:rsid w:val="35287C2B"/>
    <w:rsid w:val="3555EC54"/>
    <w:rsid w:val="356DD642"/>
    <w:rsid w:val="3581F919"/>
    <w:rsid w:val="358AC368"/>
    <w:rsid w:val="35924640"/>
    <w:rsid w:val="359CD065"/>
    <w:rsid w:val="35A6F899"/>
    <w:rsid w:val="35B1069A"/>
    <w:rsid w:val="35DA86EA"/>
    <w:rsid w:val="35DABD41"/>
    <w:rsid w:val="35DC6161"/>
    <w:rsid w:val="35DE27F0"/>
    <w:rsid w:val="35E9F04E"/>
    <w:rsid w:val="35EB26A2"/>
    <w:rsid w:val="3617FE8B"/>
    <w:rsid w:val="36187E97"/>
    <w:rsid w:val="362431E8"/>
    <w:rsid w:val="363F0917"/>
    <w:rsid w:val="36459B7F"/>
    <w:rsid w:val="36479294"/>
    <w:rsid w:val="364F642F"/>
    <w:rsid w:val="366404C9"/>
    <w:rsid w:val="368946CB"/>
    <w:rsid w:val="36903097"/>
    <w:rsid w:val="3690F1C3"/>
    <w:rsid w:val="36948329"/>
    <w:rsid w:val="36A4ECF6"/>
    <w:rsid w:val="36AD9229"/>
    <w:rsid w:val="36B32C8E"/>
    <w:rsid w:val="36C84BA1"/>
    <w:rsid w:val="36D55B39"/>
    <w:rsid w:val="36E2E25D"/>
    <w:rsid w:val="36E839FE"/>
    <w:rsid w:val="36EF1758"/>
    <w:rsid w:val="3715F9C3"/>
    <w:rsid w:val="3725CFAC"/>
    <w:rsid w:val="37277BEA"/>
    <w:rsid w:val="37297608"/>
    <w:rsid w:val="373D28D6"/>
    <w:rsid w:val="37458EA5"/>
    <w:rsid w:val="374DDF89"/>
    <w:rsid w:val="375D42FF"/>
    <w:rsid w:val="377D1B4F"/>
    <w:rsid w:val="377FDE99"/>
    <w:rsid w:val="3781708A"/>
    <w:rsid w:val="378C7D44"/>
    <w:rsid w:val="379A5551"/>
    <w:rsid w:val="37B83B8D"/>
    <w:rsid w:val="37D720CD"/>
    <w:rsid w:val="37E8CFE1"/>
    <w:rsid w:val="37FA9A83"/>
    <w:rsid w:val="37FAA393"/>
    <w:rsid w:val="380CBF32"/>
    <w:rsid w:val="380D2A3B"/>
    <w:rsid w:val="38240341"/>
    <w:rsid w:val="3826A53F"/>
    <w:rsid w:val="382B85C5"/>
    <w:rsid w:val="3836FD4B"/>
    <w:rsid w:val="383A2307"/>
    <w:rsid w:val="386D39B7"/>
    <w:rsid w:val="3873669A"/>
    <w:rsid w:val="38CD90ED"/>
    <w:rsid w:val="38DD3AC3"/>
    <w:rsid w:val="38E6FCAD"/>
    <w:rsid w:val="38FAFB96"/>
    <w:rsid w:val="38FCDEDF"/>
    <w:rsid w:val="392E2AB4"/>
    <w:rsid w:val="39401C57"/>
    <w:rsid w:val="394A4788"/>
    <w:rsid w:val="3950993E"/>
    <w:rsid w:val="3956AFF4"/>
    <w:rsid w:val="396AF8E2"/>
    <w:rsid w:val="3970CF34"/>
    <w:rsid w:val="3994F8D9"/>
    <w:rsid w:val="39D93AD1"/>
    <w:rsid w:val="39E147B3"/>
    <w:rsid w:val="39EEC55A"/>
    <w:rsid w:val="39F3F1C8"/>
    <w:rsid w:val="39F8BFD7"/>
    <w:rsid w:val="39FDAB68"/>
    <w:rsid w:val="3A070E8E"/>
    <w:rsid w:val="3A07BB31"/>
    <w:rsid w:val="3A14AA5D"/>
    <w:rsid w:val="3A15CAA2"/>
    <w:rsid w:val="3A22B8C0"/>
    <w:rsid w:val="3A277BE5"/>
    <w:rsid w:val="3A2C85AA"/>
    <w:rsid w:val="3A2D185C"/>
    <w:rsid w:val="3A3B409B"/>
    <w:rsid w:val="3A404920"/>
    <w:rsid w:val="3A4950F7"/>
    <w:rsid w:val="3A6845C9"/>
    <w:rsid w:val="3A74449D"/>
    <w:rsid w:val="3A77B3DB"/>
    <w:rsid w:val="3A797DAE"/>
    <w:rsid w:val="3A7C4E5C"/>
    <w:rsid w:val="3A9A9C1B"/>
    <w:rsid w:val="3AAD2BC0"/>
    <w:rsid w:val="3AC32544"/>
    <w:rsid w:val="3AC8B0C7"/>
    <w:rsid w:val="3AD71AF5"/>
    <w:rsid w:val="3AECA51C"/>
    <w:rsid w:val="3AF9877B"/>
    <w:rsid w:val="3AF9DE7A"/>
    <w:rsid w:val="3AFA828B"/>
    <w:rsid w:val="3B106172"/>
    <w:rsid w:val="3B358ECA"/>
    <w:rsid w:val="3B44DA4A"/>
    <w:rsid w:val="3B67725F"/>
    <w:rsid w:val="3B6E180D"/>
    <w:rsid w:val="3B712B2A"/>
    <w:rsid w:val="3B914CC0"/>
    <w:rsid w:val="3B9E2B52"/>
    <w:rsid w:val="3BAEA882"/>
    <w:rsid w:val="3BBC8E1D"/>
    <w:rsid w:val="3BC05FB4"/>
    <w:rsid w:val="3BD75322"/>
    <w:rsid w:val="3BD8E8A1"/>
    <w:rsid w:val="3BE62BE5"/>
    <w:rsid w:val="3C0EE3E1"/>
    <w:rsid w:val="3C102BD5"/>
    <w:rsid w:val="3C1FD2D7"/>
    <w:rsid w:val="3C2E6C30"/>
    <w:rsid w:val="3C4D5411"/>
    <w:rsid w:val="3C4DE6E8"/>
    <w:rsid w:val="3C74FFCC"/>
    <w:rsid w:val="3C7902CF"/>
    <w:rsid w:val="3C7FB102"/>
    <w:rsid w:val="3CDE7435"/>
    <w:rsid w:val="3D013786"/>
    <w:rsid w:val="3D56B227"/>
    <w:rsid w:val="3D5C0003"/>
    <w:rsid w:val="3D7623FB"/>
    <w:rsid w:val="3D835525"/>
    <w:rsid w:val="3D8B88EC"/>
    <w:rsid w:val="3D90E9A2"/>
    <w:rsid w:val="3D98DBCA"/>
    <w:rsid w:val="3DA3385B"/>
    <w:rsid w:val="3DA5606E"/>
    <w:rsid w:val="3DC73D34"/>
    <w:rsid w:val="3DC7BB08"/>
    <w:rsid w:val="3DE068FA"/>
    <w:rsid w:val="3DEA021C"/>
    <w:rsid w:val="3DEE3FB7"/>
    <w:rsid w:val="3DEFABBB"/>
    <w:rsid w:val="3E10376E"/>
    <w:rsid w:val="3E2C3D38"/>
    <w:rsid w:val="3E2FF9C5"/>
    <w:rsid w:val="3E3B7BEF"/>
    <w:rsid w:val="3E3DF767"/>
    <w:rsid w:val="3E42C867"/>
    <w:rsid w:val="3E70DFB3"/>
    <w:rsid w:val="3EA2EB7C"/>
    <w:rsid w:val="3EB9051C"/>
    <w:rsid w:val="3EC0171A"/>
    <w:rsid w:val="3ED54E2F"/>
    <w:rsid w:val="3EE874C5"/>
    <w:rsid w:val="3EF02925"/>
    <w:rsid w:val="3EF6AF4B"/>
    <w:rsid w:val="3F0C9BA6"/>
    <w:rsid w:val="3F1EA658"/>
    <w:rsid w:val="3F1EF1FB"/>
    <w:rsid w:val="3F1F8DC3"/>
    <w:rsid w:val="3F22076C"/>
    <w:rsid w:val="3F303E17"/>
    <w:rsid w:val="3F31FA18"/>
    <w:rsid w:val="3F4B05D8"/>
    <w:rsid w:val="3F4CB1D0"/>
    <w:rsid w:val="3F4EA410"/>
    <w:rsid w:val="3F70CF5F"/>
    <w:rsid w:val="3F76E4D5"/>
    <w:rsid w:val="3F7F1951"/>
    <w:rsid w:val="3F91CE90"/>
    <w:rsid w:val="3F9A66B6"/>
    <w:rsid w:val="3FB76F33"/>
    <w:rsid w:val="3FB7D9E6"/>
    <w:rsid w:val="3FC3D79F"/>
    <w:rsid w:val="3FC90420"/>
    <w:rsid w:val="3FF0C55E"/>
    <w:rsid w:val="3FFC26E6"/>
    <w:rsid w:val="40216015"/>
    <w:rsid w:val="402C5E7D"/>
    <w:rsid w:val="403CB2A4"/>
    <w:rsid w:val="405A1777"/>
    <w:rsid w:val="40757B77"/>
    <w:rsid w:val="4077D3EB"/>
    <w:rsid w:val="4085F4CA"/>
    <w:rsid w:val="409AD25C"/>
    <w:rsid w:val="40A3C945"/>
    <w:rsid w:val="40A3E18F"/>
    <w:rsid w:val="40ACA962"/>
    <w:rsid w:val="40B75559"/>
    <w:rsid w:val="40BD6504"/>
    <w:rsid w:val="40C48789"/>
    <w:rsid w:val="40FE3C9C"/>
    <w:rsid w:val="41006FA8"/>
    <w:rsid w:val="410C49F4"/>
    <w:rsid w:val="410E8317"/>
    <w:rsid w:val="411A8870"/>
    <w:rsid w:val="4127F521"/>
    <w:rsid w:val="4129C0B7"/>
    <w:rsid w:val="413465B9"/>
    <w:rsid w:val="413D1EE9"/>
    <w:rsid w:val="4146B2F0"/>
    <w:rsid w:val="414D5545"/>
    <w:rsid w:val="4151CD70"/>
    <w:rsid w:val="41566039"/>
    <w:rsid w:val="417CBA98"/>
    <w:rsid w:val="4185D669"/>
    <w:rsid w:val="41964414"/>
    <w:rsid w:val="41A97F1E"/>
    <w:rsid w:val="41C2932A"/>
    <w:rsid w:val="41D6A1C4"/>
    <w:rsid w:val="41E77836"/>
    <w:rsid w:val="41EA347E"/>
    <w:rsid w:val="41F94AC1"/>
    <w:rsid w:val="420478D4"/>
    <w:rsid w:val="42085D45"/>
    <w:rsid w:val="423776D4"/>
    <w:rsid w:val="4240AEDE"/>
    <w:rsid w:val="42950CE5"/>
    <w:rsid w:val="42A80D78"/>
    <w:rsid w:val="42AE28CC"/>
    <w:rsid w:val="42BA2B7F"/>
    <w:rsid w:val="42BA68F4"/>
    <w:rsid w:val="42C6A791"/>
    <w:rsid w:val="42D99A2C"/>
    <w:rsid w:val="42F45FEE"/>
    <w:rsid w:val="42F6B927"/>
    <w:rsid w:val="432E9C92"/>
    <w:rsid w:val="4330E92D"/>
    <w:rsid w:val="435B532D"/>
    <w:rsid w:val="4366B883"/>
    <w:rsid w:val="43688451"/>
    <w:rsid w:val="4376CB2C"/>
    <w:rsid w:val="43824105"/>
    <w:rsid w:val="439C55EE"/>
    <w:rsid w:val="43A3B805"/>
    <w:rsid w:val="43BB56FE"/>
    <w:rsid w:val="43CC3908"/>
    <w:rsid w:val="43CFBDD3"/>
    <w:rsid w:val="43D86257"/>
    <w:rsid w:val="43DD9FED"/>
    <w:rsid w:val="43EA33E1"/>
    <w:rsid w:val="43F4E6B0"/>
    <w:rsid w:val="43FB77D9"/>
    <w:rsid w:val="44068D7F"/>
    <w:rsid w:val="440EC753"/>
    <w:rsid w:val="44103137"/>
    <w:rsid w:val="442079B6"/>
    <w:rsid w:val="443294F2"/>
    <w:rsid w:val="44384D88"/>
    <w:rsid w:val="4453FD2C"/>
    <w:rsid w:val="44549A6E"/>
    <w:rsid w:val="4469CA9A"/>
    <w:rsid w:val="447B93D5"/>
    <w:rsid w:val="44827271"/>
    <w:rsid w:val="4482C88D"/>
    <w:rsid w:val="4489AB03"/>
    <w:rsid w:val="448F374E"/>
    <w:rsid w:val="44990F6B"/>
    <w:rsid w:val="44A8E2FC"/>
    <w:rsid w:val="44CAC37D"/>
    <w:rsid w:val="44D9162E"/>
    <w:rsid w:val="44EBE5D6"/>
    <w:rsid w:val="44F3E874"/>
    <w:rsid w:val="44F95B19"/>
    <w:rsid w:val="451F1A71"/>
    <w:rsid w:val="452B21E7"/>
    <w:rsid w:val="452EDDFC"/>
    <w:rsid w:val="453612DC"/>
    <w:rsid w:val="45414236"/>
    <w:rsid w:val="456D3B72"/>
    <w:rsid w:val="4576182E"/>
    <w:rsid w:val="45791DFE"/>
    <w:rsid w:val="457EA27F"/>
    <w:rsid w:val="457F327F"/>
    <w:rsid w:val="458699D3"/>
    <w:rsid w:val="45A02200"/>
    <w:rsid w:val="45A75568"/>
    <w:rsid w:val="45B3416A"/>
    <w:rsid w:val="45DBCCDA"/>
    <w:rsid w:val="45DD948E"/>
    <w:rsid w:val="45EA278D"/>
    <w:rsid w:val="45F12D68"/>
    <w:rsid w:val="45F81125"/>
    <w:rsid w:val="45FB5008"/>
    <w:rsid w:val="460AB37C"/>
    <w:rsid w:val="460E1DAF"/>
    <w:rsid w:val="46114B92"/>
    <w:rsid w:val="461F709E"/>
    <w:rsid w:val="4628FBB2"/>
    <w:rsid w:val="463E6D06"/>
    <w:rsid w:val="4640B26D"/>
    <w:rsid w:val="464BF99A"/>
    <w:rsid w:val="4651FA4D"/>
    <w:rsid w:val="46620895"/>
    <w:rsid w:val="466B7BD6"/>
    <w:rsid w:val="4673F4C4"/>
    <w:rsid w:val="46A233CE"/>
    <w:rsid w:val="46A472CE"/>
    <w:rsid w:val="46EBAE4D"/>
    <w:rsid w:val="46EC0326"/>
    <w:rsid w:val="46EC7892"/>
    <w:rsid w:val="470775A3"/>
    <w:rsid w:val="4725566F"/>
    <w:rsid w:val="472B565D"/>
    <w:rsid w:val="472C525B"/>
    <w:rsid w:val="472E3621"/>
    <w:rsid w:val="474338DB"/>
    <w:rsid w:val="47442ACC"/>
    <w:rsid w:val="475A9E5A"/>
    <w:rsid w:val="476921C2"/>
    <w:rsid w:val="4777652C"/>
    <w:rsid w:val="4788CCEA"/>
    <w:rsid w:val="478F8663"/>
    <w:rsid w:val="479FB6F5"/>
    <w:rsid w:val="47AFC133"/>
    <w:rsid w:val="47B9DFC8"/>
    <w:rsid w:val="47C2CD7A"/>
    <w:rsid w:val="47C99472"/>
    <w:rsid w:val="47DBC00E"/>
    <w:rsid w:val="47F96119"/>
    <w:rsid w:val="47FB3A40"/>
    <w:rsid w:val="48092DA6"/>
    <w:rsid w:val="481A41C1"/>
    <w:rsid w:val="4840ADA9"/>
    <w:rsid w:val="485A1B18"/>
    <w:rsid w:val="485BCBB9"/>
    <w:rsid w:val="4865738C"/>
    <w:rsid w:val="4888B5A9"/>
    <w:rsid w:val="4893B313"/>
    <w:rsid w:val="48BADDAE"/>
    <w:rsid w:val="48BD26F1"/>
    <w:rsid w:val="48C5D5E3"/>
    <w:rsid w:val="48C9ACAE"/>
    <w:rsid w:val="48CD29B1"/>
    <w:rsid w:val="48EC2FF5"/>
    <w:rsid w:val="48F176C5"/>
    <w:rsid w:val="48F99985"/>
    <w:rsid w:val="49089233"/>
    <w:rsid w:val="491BECAB"/>
    <w:rsid w:val="491CC725"/>
    <w:rsid w:val="491DB40C"/>
    <w:rsid w:val="4926B9DC"/>
    <w:rsid w:val="492F3FB0"/>
    <w:rsid w:val="49323FFD"/>
    <w:rsid w:val="493877E1"/>
    <w:rsid w:val="494837EC"/>
    <w:rsid w:val="494F7472"/>
    <w:rsid w:val="4952A0EF"/>
    <w:rsid w:val="4961D39E"/>
    <w:rsid w:val="49750462"/>
    <w:rsid w:val="49768F52"/>
    <w:rsid w:val="4977BE3B"/>
    <w:rsid w:val="4981D3FD"/>
    <w:rsid w:val="49BC025E"/>
    <w:rsid w:val="49C170F4"/>
    <w:rsid w:val="49D5F02D"/>
    <w:rsid w:val="49F9C65D"/>
    <w:rsid w:val="49FB1589"/>
    <w:rsid w:val="4A0DBB1C"/>
    <w:rsid w:val="4A1F50D7"/>
    <w:rsid w:val="4A461DC5"/>
    <w:rsid w:val="4A4C2962"/>
    <w:rsid w:val="4A53ACA8"/>
    <w:rsid w:val="4A5F552C"/>
    <w:rsid w:val="4A6A947E"/>
    <w:rsid w:val="4AA0441E"/>
    <w:rsid w:val="4AA4605B"/>
    <w:rsid w:val="4AA66162"/>
    <w:rsid w:val="4AAD2739"/>
    <w:rsid w:val="4AAFD1BF"/>
    <w:rsid w:val="4AB4FBBC"/>
    <w:rsid w:val="4AB85B11"/>
    <w:rsid w:val="4AFAE35D"/>
    <w:rsid w:val="4AFBA46F"/>
    <w:rsid w:val="4B3D5FF8"/>
    <w:rsid w:val="4B51509E"/>
    <w:rsid w:val="4B59DBF6"/>
    <w:rsid w:val="4B71412A"/>
    <w:rsid w:val="4B7F4361"/>
    <w:rsid w:val="4B7FA812"/>
    <w:rsid w:val="4B8A004E"/>
    <w:rsid w:val="4B90B51D"/>
    <w:rsid w:val="4B9590C5"/>
    <w:rsid w:val="4BA8AAF0"/>
    <w:rsid w:val="4BBF695E"/>
    <w:rsid w:val="4BC748BA"/>
    <w:rsid w:val="4BE73558"/>
    <w:rsid w:val="4BF6C7FA"/>
    <w:rsid w:val="4C20124D"/>
    <w:rsid w:val="4C2A0679"/>
    <w:rsid w:val="4C37CE9F"/>
    <w:rsid w:val="4C5AF5FF"/>
    <w:rsid w:val="4C6027E7"/>
    <w:rsid w:val="4C6A5473"/>
    <w:rsid w:val="4C8138DA"/>
    <w:rsid w:val="4C91CF59"/>
    <w:rsid w:val="4C9CA815"/>
    <w:rsid w:val="4CA3F074"/>
    <w:rsid w:val="4CC5681D"/>
    <w:rsid w:val="4CCD5E4A"/>
    <w:rsid w:val="4CDD6C22"/>
    <w:rsid w:val="4CE81020"/>
    <w:rsid w:val="4CF53D52"/>
    <w:rsid w:val="4D011188"/>
    <w:rsid w:val="4D07B47E"/>
    <w:rsid w:val="4D17F8D4"/>
    <w:rsid w:val="4D197AEB"/>
    <w:rsid w:val="4D1D3573"/>
    <w:rsid w:val="4D1EB2C6"/>
    <w:rsid w:val="4D287E46"/>
    <w:rsid w:val="4D2B1678"/>
    <w:rsid w:val="4D30A53A"/>
    <w:rsid w:val="4D62865A"/>
    <w:rsid w:val="4D63498A"/>
    <w:rsid w:val="4D674ABC"/>
    <w:rsid w:val="4D79A02B"/>
    <w:rsid w:val="4D7F1D9C"/>
    <w:rsid w:val="4D7F62AB"/>
    <w:rsid w:val="4D83D967"/>
    <w:rsid w:val="4DC0A9DC"/>
    <w:rsid w:val="4DD526FA"/>
    <w:rsid w:val="4DDB2ACB"/>
    <w:rsid w:val="4DE71895"/>
    <w:rsid w:val="4DF9CD00"/>
    <w:rsid w:val="4E030C74"/>
    <w:rsid w:val="4E05E543"/>
    <w:rsid w:val="4E313927"/>
    <w:rsid w:val="4E3B077D"/>
    <w:rsid w:val="4E6006F3"/>
    <w:rsid w:val="4E66AABB"/>
    <w:rsid w:val="4E677B08"/>
    <w:rsid w:val="4E7C58D5"/>
    <w:rsid w:val="4E803AE4"/>
    <w:rsid w:val="4E804494"/>
    <w:rsid w:val="4E96D19E"/>
    <w:rsid w:val="4E9A5758"/>
    <w:rsid w:val="4EA48D5A"/>
    <w:rsid w:val="4EB8C30C"/>
    <w:rsid w:val="4EBD0544"/>
    <w:rsid w:val="4EBF1A73"/>
    <w:rsid w:val="4EBF4E27"/>
    <w:rsid w:val="4ED192BB"/>
    <w:rsid w:val="4EE11F34"/>
    <w:rsid w:val="4EF8A6E0"/>
    <w:rsid w:val="4F01CC59"/>
    <w:rsid w:val="4F0C51E1"/>
    <w:rsid w:val="4F0D3476"/>
    <w:rsid w:val="4F224AB2"/>
    <w:rsid w:val="4F35CDD1"/>
    <w:rsid w:val="4F3B4608"/>
    <w:rsid w:val="4F46D42E"/>
    <w:rsid w:val="4F4747D1"/>
    <w:rsid w:val="4F7ABE37"/>
    <w:rsid w:val="4F7FA945"/>
    <w:rsid w:val="4F89D4B7"/>
    <w:rsid w:val="4F8C0E56"/>
    <w:rsid w:val="4FA8834A"/>
    <w:rsid w:val="4FCF8AB4"/>
    <w:rsid w:val="4FDA42FC"/>
    <w:rsid w:val="4FF0D63E"/>
    <w:rsid w:val="5011F265"/>
    <w:rsid w:val="502C9D3F"/>
    <w:rsid w:val="5038313E"/>
    <w:rsid w:val="504A6B63"/>
    <w:rsid w:val="504F6736"/>
    <w:rsid w:val="50552D13"/>
    <w:rsid w:val="505C4CC7"/>
    <w:rsid w:val="505E004B"/>
    <w:rsid w:val="506B3905"/>
    <w:rsid w:val="50719F33"/>
    <w:rsid w:val="5072BF13"/>
    <w:rsid w:val="507C60DE"/>
    <w:rsid w:val="508963D7"/>
    <w:rsid w:val="50B5DB94"/>
    <w:rsid w:val="50D0D049"/>
    <w:rsid w:val="50D10925"/>
    <w:rsid w:val="50D69EB4"/>
    <w:rsid w:val="50E24388"/>
    <w:rsid w:val="50E547F0"/>
    <w:rsid w:val="5132584E"/>
    <w:rsid w:val="514FA59B"/>
    <w:rsid w:val="5157DD36"/>
    <w:rsid w:val="515921B0"/>
    <w:rsid w:val="51621B46"/>
    <w:rsid w:val="516BDF0F"/>
    <w:rsid w:val="51745C47"/>
    <w:rsid w:val="517E57D2"/>
    <w:rsid w:val="51992A8F"/>
    <w:rsid w:val="519A4305"/>
    <w:rsid w:val="51A1CD75"/>
    <w:rsid w:val="51B4F697"/>
    <w:rsid w:val="51BA387C"/>
    <w:rsid w:val="51D1D642"/>
    <w:rsid w:val="51DA5001"/>
    <w:rsid w:val="51F98682"/>
    <w:rsid w:val="5207A017"/>
    <w:rsid w:val="521AA417"/>
    <w:rsid w:val="52215A96"/>
    <w:rsid w:val="52225E08"/>
    <w:rsid w:val="5228586E"/>
    <w:rsid w:val="52320A2C"/>
    <w:rsid w:val="5233DB9E"/>
    <w:rsid w:val="525227A0"/>
    <w:rsid w:val="5259FC94"/>
    <w:rsid w:val="52754980"/>
    <w:rsid w:val="527B471B"/>
    <w:rsid w:val="527CE53C"/>
    <w:rsid w:val="527D4CCF"/>
    <w:rsid w:val="529E669C"/>
    <w:rsid w:val="52A080E4"/>
    <w:rsid w:val="52FCFF83"/>
    <w:rsid w:val="532517DD"/>
    <w:rsid w:val="534DB122"/>
    <w:rsid w:val="5356C316"/>
    <w:rsid w:val="53735E7E"/>
    <w:rsid w:val="53852CAA"/>
    <w:rsid w:val="53853268"/>
    <w:rsid w:val="538D737D"/>
    <w:rsid w:val="538DA6B5"/>
    <w:rsid w:val="538F1274"/>
    <w:rsid w:val="53C7FA24"/>
    <w:rsid w:val="53CC6893"/>
    <w:rsid w:val="540D137E"/>
    <w:rsid w:val="54189874"/>
    <w:rsid w:val="542CB871"/>
    <w:rsid w:val="5457B6B7"/>
    <w:rsid w:val="545CEC14"/>
    <w:rsid w:val="54966FC6"/>
    <w:rsid w:val="549B50D7"/>
    <w:rsid w:val="549FC93A"/>
    <w:rsid w:val="54A96387"/>
    <w:rsid w:val="54AB6ED6"/>
    <w:rsid w:val="54B2484C"/>
    <w:rsid w:val="54C5A212"/>
    <w:rsid w:val="55253F20"/>
    <w:rsid w:val="55275009"/>
    <w:rsid w:val="552C5D20"/>
    <w:rsid w:val="554266FC"/>
    <w:rsid w:val="55557720"/>
    <w:rsid w:val="55608E10"/>
    <w:rsid w:val="5570E8BE"/>
    <w:rsid w:val="55799C69"/>
    <w:rsid w:val="559E67C5"/>
    <w:rsid w:val="55A4910B"/>
    <w:rsid w:val="55A817C9"/>
    <w:rsid w:val="55B5AF13"/>
    <w:rsid w:val="55E3F1C6"/>
    <w:rsid w:val="5608B3F3"/>
    <w:rsid w:val="5610E8BB"/>
    <w:rsid w:val="5613E523"/>
    <w:rsid w:val="563F9F3E"/>
    <w:rsid w:val="565321FA"/>
    <w:rsid w:val="56C71B4D"/>
    <w:rsid w:val="56C9C532"/>
    <w:rsid w:val="56CA302E"/>
    <w:rsid w:val="56D2DAED"/>
    <w:rsid w:val="56D70B05"/>
    <w:rsid w:val="56DC04E2"/>
    <w:rsid w:val="56EC6257"/>
    <w:rsid w:val="56F56CA1"/>
    <w:rsid w:val="57177E08"/>
    <w:rsid w:val="57273485"/>
    <w:rsid w:val="573358AE"/>
    <w:rsid w:val="574B2FE4"/>
    <w:rsid w:val="5753CADA"/>
    <w:rsid w:val="57876906"/>
    <w:rsid w:val="5792D949"/>
    <w:rsid w:val="57B452E1"/>
    <w:rsid w:val="57BC54C0"/>
    <w:rsid w:val="57DA5603"/>
    <w:rsid w:val="57E04413"/>
    <w:rsid w:val="57E9C5D9"/>
    <w:rsid w:val="58090D0D"/>
    <w:rsid w:val="580DCC76"/>
    <w:rsid w:val="582EEC03"/>
    <w:rsid w:val="584216FA"/>
    <w:rsid w:val="58433CD9"/>
    <w:rsid w:val="585829AD"/>
    <w:rsid w:val="5873F270"/>
    <w:rsid w:val="587A10F8"/>
    <w:rsid w:val="589571AA"/>
    <w:rsid w:val="58A1BB1C"/>
    <w:rsid w:val="58CEB2A9"/>
    <w:rsid w:val="58DDB13E"/>
    <w:rsid w:val="59097878"/>
    <w:rsid w:val="591012D0"/>
    <w:rsid w:val="59102332"/>
    <w:rsid w:val="591A5B2A"/>
    <w:rsid w:val="59205B6A"/>
    <w:rsid w:val="592813ED"/>
    <w:rsid w:val="592DC325"/>
    <w:rsid w:val="594C0651"/>
    <w:rsid w:val="595665D5"/>
    <w:rsid w:val="59594E54"/>
    <w:rsid w:val="596D743C"/>
    <w:rsid w:val="598D7456"/>
    <w:rsid w:val="59A94067"/>
    <w:rsid w:val="59BD01CC"/>
    <w:rsid w:val="59C57B7E"/>
    <w:rsid w:val="59DA986B"/>
    <w:rsid w:val="59EB24F1"/>
    <w:rsid w:val="59F34445"/>
    <w:rsid w:val="59F57775"/>
    <w:rsid w:val="5A226815"/>
    <w:rsid w:val="5A250474"/>
    <w:rsid w:val="5A28C1C1"/>
    <w:rsid w:val="5A327F0F"/>
    <w:rsid w:val="5A460514"/>
    <w:rsid w:val="5A4870D7"/>
    <w:rsid w:val="5A4E4A6E"/>
    <w:rsid w:val="5A9D67A0"/>
    <w:rsid w:val="5AB6EDC7"/>
    <w:rsid w:val="5ACD7EB6"/>
    <w:rsid w:val="5ADF4475"/>
    <w:rsid w:val="5B0BB375"/>
    <w:rsid w:val="5B1100C7"/>
    <w:rsid w:val="5B123582"/>
    <w:rsid w:val="5B1D1D3F"/>
    <w:rsid w:val="5B3C68B7"/>
    <w:rsid w:val="5B5414CE"/>
    <w:rsid w:val="5B55C88C"/>
    <w:rsid w:val="5B721DA4"/>
    <w:rsid w:val="5B72EB85"/>
    <w:rsid w:val="5B7C85AC"/>
    <w:rsid w:val="5B997B3E"/>
    <w:rsid w:val="5B9C7050"/>
    <w:rsid w:val="5BC21B51"/>
    <w:rsid w:val="5BC8C998"/>
    <w:rsid w:val="5BCBAE1C"/>
    <w:rsid w:val="5BCC9330"/>
    <w:rsid w:val="5BCD6D4F"/>
    <w:rsid w:val="5BCEBB1F"/>
    <w:rsid w:val="5BD6B094"/>
    <w:rsid w:val="5BF5EEC1"/>
    <w:rsid w:val="5BFA5B58"/>
    <w:rsid w:val="5C1EEAE8"/>
    <w:rsid w:val="5C2B233A"/>
    <w:rsid w:val="5C36EB51"/>
    <w:rsid w:val="5C38507B"/>
    <w:rsid w:val="5C473A16"/>
    <w:rsid w:val="5C7277C5"/>
    <w:rsid w:val="5C79B024"/>
    <w:rsid w:val="5C86F27F"/>
    <w:rsid w:val="5CA40CE7"/>
    <w:rsid w:val="5CA8B7D4"/>
    <w:rsid w:val="5CBAD4A3"/>
    <w:rsid w:val="5CC9949D"/>
    <w:rsid w:val="5CCC548F"/>
    <w:rsid w:val="5CD4CDAA"/>
    <w:rsid w:val="5CD6D659"/>
    <w:rsid w:val="5CE28855"/>
    <w:rsid w:val="5CEEAF3C"/>
    <w:rsid w:val="5CF35558"/>
    <w:rsid w:val="5CF55CFA"/>
    <w:rsid w:val="5CF769D8"/>
    <w:rsid w:val="5CF8E486"/>
    <w:rsid w:val="5D075172"/>
    <w:rsid w:val="5D394BB8"/>
    <w:rsid w:val="5D4B0C90"/>
    <w:rsid w:val="5D4CE97E"/>
    <w:rsid w:val="5D58422A"/>
    <w:rsid w:val="5D67B5D2"/>
    <w:rsid w:val="5D68BD80"/>
    <w:rsid w:val="5D75CE2E"/>
    <w:rsid w:val="5D7FA917"/>
    <w:rsid w:val="5DA45500"/>
    <w:rsid w:val="5DBD10D0"/>
    <w:rsid w:val="5DC46580"/>
    <w:rsid w:val="5DCBB857"/>
    <w:rsid w:val="5DCCBD4F"/>
    <w:rsid w:val="5DD0F378"/>
    <w:rsid w:val="5DE62AF8"/>
    <w:rsid w:val="5DEE92DB"/>
    <w:rsid w:val="5E00057F"/>
    <w:rsid w:val="5E1FC927"/>
    <w:rsid w:val="5E20B74D"/>
    <w:rsid w:val="5E2D71CD"/>
    <w:rsid w:val="5E453521"/>
    <w:rsid w:val="5E4BBCE9"/>
    <w:rsid w:val="5E592999"/>
    <w:rsid w:val="5E6A2A98"/>
    <w:rsid w:val="5E6CB0F0"/>
    <w:rsid w:val="5E72F504"/>
    <w:rsid w:val="5E74C056"/>
    <w:rsid w:val="5E7562B1"/>
    <w:rsid w:val="5E98A1C4"/>
    <w:rsid w:val="5E9B8064"/>
    <w:rsid w:val="5EB17FB8"/>
    <w:rsid w:val="5EB51055"/>
    <w:rsid w:val="5EC5EA9B"/>
    <w:rsid w:val="5ECCA233"/>
    <w:rsid w:val="5ECD94A3"/>
    <w:rsid w:val="5ECE3281"/>
    <w:rsid w:val="5ED5186F"/>
    <w:rsid w:val="5F00CDF4"/>
    <w:rsid w:val="5F01D75F"/>
    <w:rsid w:val="5F086E97"/>
    <w:rsid w:val="5F32846A"/>
    <w:rsid w:val="5F4D2320"/>
    <w:rsid w:val="5F4D3944"/>
    <w:rsid w:val="5F594906"/>
    <w:rsid w:val="5F68D116"/>
    <w:rsid w:val="5F6A47B5"/>
    <w:rsid w:val="5F7A9B39"/>
    <w:rsid w:val="5FB116EE"/>
    <w:rsid w:val="5FBB40B8"/>
    <w:rsid w:val="5FC29FBE"/>
    <w:rsid w:val="5FDBC188"/>
    <w:rsid w:val="600709BB"/>
    <w:rsid w:val="60099781"/>
    <w:rsid w:val="6029D745"/>
    <w:rsid w:val="603CF88F"/>
    <w:rsid w:val="604EF4F6"/>
    <w:rsid w:val="606537FC"/>
    <w:rsid w:val="60680550"/>
    <w:rsid w:val="607B56E8"/>
    <w:rsid w:val="607C2A23"/>
    <w:rsid w:val="6098C5E9"/>
    <w:rsid w:val="60B05ED0"/>
    <w:rsid w:val="60B22DDE"/>
    <w:rsid w:val="60C1AB1F"/>
    <w:rsid w:val="60C1E2AD"/>
    <w:rsid w:val="60C3F724"/>
    <w:rsid w:val="60D15533"/>
    <w:rsid w:val="60EEE73F"/>
    <w:rsid w:val="60FBF200"/>
    <w:rsid w:val="611FE0A6"/>
    <w:rsid w:val="61243BF1"/>
    <w:rsid w:val="613EC8EA"/>
    <w:rsid w:val="6148EADE"/>
    <w:rsid w:val="6155698E"/>
    <w:rsid w:val="615E8E70"/>
    <w:rsid w:val="6171009F"/>
    <w:rsid w:val="6177ED27"/>
    <w:rsid w:val="618B04D6"/>
    <w:rsid w:val="619511D4"/>
    <w:rsid w:val="6197309B"/>
    <w:rsid w:val="619A3689"/>
    <w:rsid w:val="61B74673"/>
    <w:rsid w:val="61D2ECB4"/>
    <w:rsid w:val="61E245E9"/>
    <w:rsid w:val="620383E8"/>
    <w:rsid w:val="620FACC4"/>
    <w:rsid w:val="621AD49C"/>
    <w:rsid w:val="622B0A36"/>
    <w:rsid w:val="6230F0E1"/>
    <w:rsid w:val="623FBB56"/>
    <w:rsid w:val="6244309E"/>
    <w:rsid w:val="625F1E22"/>
    <w:rsid w:val="6262E5ED"/>
    <w:rsid w:val="626E7154"/>
    <w:rsid w:val="627ABA82"/>
    <w:rsid w:val="627F4A55"/>
    <w:rsid w:val="62A98B2B"/>
    <w:rsid w:val="62E871FF"/>
    <w:rsid w:val="62FAA3F7"/>
    <w:rsid w:val="6312A84A"/>
    <w:rsid w:val="6324156C"/>
    <w:rsid w:val="6325CD3C"/>
    <w:rsid w:val="633D22E2"/>
    <w:rsid w:val="63461047"/>
    <w:rsid w:val="63489334"/>
    <w:rsid w:val="635435A2"/>
    <w:rsid w:val="635903C4"/>
    <w:rsid w:val="636168B3"/>
    <w:rsid w:val="63659F0B"/>
    <w:rsid w:val="63919044"/>
    <w:rsid w:val="639F17EF"/>
    <w:rsid w:val="63B59219"/>
    <w:rsid w:val="63D85B21"/>
    <w:rsid w:val="63E048BF"/>
    <w:rsid w:val="63E38BDA"/>
    <w:rsid w:val="64036E5C"/>
    <w:rsid w:val="6405B939"/>
    <w:rsid w:val="6412A2DB"/>
    <w:rsid w:val="6412D5DE"/>
    <w:rsid w:val="642C19A0"/>
    <w:rsid w:val="6430E800"/>
    <w:rsid w:val="6446558F"/>
    <w:rsid w:val="6456F87D"/>
    <w:rsid w:val="645AE3AD"/>
    <w:rsid w:val="6462C212"/>
    <w:rsid w:val="646757CB"/>
    <w:rsid w:val="646C51CC"/>
    <w:rsid w:val="646DE223"/>
    <w:rsid w:val="647084CF"/>
    <w:rsid w:val="64752C8E"/>
    <w:rsid w:val="64818161"/>
    <w:rsid w:val="6494AB24"/>
    <w:rsid w:val="6498EB2A"/>
    <w:rsid w:val="64BDF727"/>
    <w:rsid w:val="64CC4F8A"/>
    <w:rsid w:val="64D0530F"/>
    <w:rsid w:val="64D17B28"/>
    <w:rsid w:val="64EF7A27"/>
    <w:rsid w:val="65054A9D"/>
    <w:rsid w:val="650F9E1C"/>
    <w:rsid w:val="65326462"/>
    <w:rsid w:val="656119F5"/>
    <w:rsid w:val="657D522A"/>
    <w:rsid w:val="65826F23"/>
    <w:rsid w:val="6582F674"/>
    <w:rsid w:val="658BD2EB"/>
    <w:rsid w:val="6593A82A"/>
    <w:rsid w:val="659C2A30"/>
    <w:rsid w:val="659CE721"/>
    <w:rsid w:val="65A3A470"/>
    <w:rsid w:val="65AD89CD"/>
    <w:rsid w:val="65B450D8"/>
    <w:rsid w:val="65DAFE81"/>
    <w:rsid w:val="65E0D03C"/>
    <w:rsid w:val="65EDA68E"/>
    <w:rsid w:val="6606E716"/>
    <w:rsid w:val="66090F2A"/>
    <w:rsid w:val="6616A435"/>
    <w:rsid w:val="661E23DA"/>
    <w:rsid w:val="6627E147"/>
    <w:rsid w:val="6641253A"/>
    <w:rsid w:val="66557CB6"/>
    <w:rsid w:val="665BB7E3"/>
    <w:rsid w:val="665FDDCA"/>
    <w:rsid w:val="6661075D"/>
    <w:rsid w:val="66713E7F"/>
    <w:rsid w:val="66760E1C"/>
    <w:rsid w:val="66949A2B"/>
    <w:rsid w:val="66A908CE"/>
    <w:rsid w:val="66B8D393"/>
    <w:rsid w:val="66DD4098"/>
    <w:rsid w:val="66DD8F59"/>
    <w:rsid w:val="66F23E72"/>
    <w:rsid w:val="67048D39"/>
    <w:rsid w:val="670F42C3"/>
    <w:rsid w:val="6715D191"/>
    <w:rsid w:val="671BF045"/>
    <w:rsid w:val="67225E99"/>
    <w:rsid w:val="6723DB59"/>
    <w:rsid w:val="672CA855"/>
    <w:rsid w:val="6744492E"/>
    <w:rsid w:val="67559EA2"/>
    <w:rsid w:val="6756D5FE"/>
    <w:rsid w:val="677ED9DD"/>
    <w:rsid w:val="67A5B5E0"/>
    <w:rsid w:val="67B397D2"/>
    <w:rsid w:val="67C69C83"/>
    <w:rsid w:val="67CFF4DA"/>
    <w:rsid w:val="67DBA542"/>
    <w:rsid w:val="67E11C3F"/>
    <w:rsid w:val="67EB63E2"/>
    <w:rsid w:val="67EC4325"/>
    <w:rsid w:val="67F6AB00"/>
    <w:rsid w:val="68025DB8"/>
    <w:rsid w:val="6806CC39"/>
    <w:rsid w:val="682C5D4A"/>
    <w:rsid w:val="68472352"/>
    <w:rsid w:val="684D18C5"/>
    <w:rsid w:val="684D21CE"/>
    <w:rsid w:val="68531A65"/>
    <w:rsid w:val="687B9C91"/>
    <w:rsid w:val="687F60C8"/>
    <w:rsid w:val="6888B31A"/>
    <w:rsid w:val="6891ECBB"/>
    <w:rsid w:val="689912E9"/>
    <w:rsid w:val="689B79E4"/>
    <w:rsid w:val="68A18B8E"/>
    <w:rsid w:val="68AC62FA"/>
    <w:rsid w:val="68ACB92F"/>
    <w:rsid w:val="68B402CE"/>
    <w:rsid w:val="68D7A7EF"/>
    <w:rsid w:val="68E4A47C"/>
    <w:rsid w:val="68EB0885"/>
    <w:rsid w:val="69098342"/>
    <w:rsid w:val="69117E2E"/>
    <w:rsid w:val="69194A42"/>
    <w:rsid w:val="691DA889"/>
    <w:rsid w:val="69409146"/>
    <w:rsid w:val="6945AE04"/>
    <w:rsid w:val="694D229E"/>
    <w:rsid w:val="69713EB4"/>
    <w:rsid w:val="697427D7"/>
    <w:rsid w:val="699C7A2F"/>
    <w:rsid w:val="69A47863"/>
    <w:rsid w:val="69C6E198"/>
    <w:rsid w:val="69E198EF"/>
    <w:rsid w:val="69F600AF"/>
    <w:rsid w:val="6A0B492E"/>
    <w:rsid w:val="6A22F2EE"/>
    <w:rsid w:val="6A30EBEF"/>
    <w:rsid w:val="6A3B2329"/>
    <w:rsid w:val="6A4A2EDD"/>
    <w:rsid w:val="6A7F1234"/>
    <w:rsid w:val="6A8A66C7"/>
    <w:rsid w:val="6A8FD71B"/>
    <w:rsid w:val="6A9732E8"/>
    <w:rsid w:val="6A9F1FFA"/>
    <w:rsid w:val="6ABDCD21"/>
    <w:rsid w:val="6AC2C396"/>
    <w:rsid w:val="6AE68A20"/>
    <w:rsid w:val="6AF9A4C2"/>
    <w:rsid w:val="6B114C87"/>
    <w:rsid w:val="6B24F908"/>
    <w:rsid w:val="6B2642D7"/>
    <w:rsid w:val="6B2E3B26"/>
    <w:rsid w:val="6B51A612"/>
    <w:rsid w:val="6B61EDF0"/>
    <w:rsid w:val="6B649AC9"/>
    <w:rsid w:val="6B89D09B"/>
    <w:rsid w:val="6B995315"/>
    <w:rsid w:val="6B9B36DD"/>
    <w:rsid w:val="6BA2274A"/>
    <w:rsid w:val="6BA59F3A"/>
    <w:rsid w:val="6BC68AB7"/>
    <w:rsid w:val="6BE68BF9"/>
    <w:rsid w:val="6BF1810E"/>
    <w:rsid w:val="6C18AE9E"/>
    <w:rsid w:val="6C27DBFE"/>
    <w:rsid w:val="6C369D33"/>
    <w:rsid w:val="6C49856B"/>
    <w:rsid w:val="6C4FE6F1"/>
    <w:rsid w:val="6C5DB3F2"/>
    <w:rsid w:val="6C6D857F"/>
    <w:rsid w:val="6C8A8EA9"/>
    <w:rsid w:val="6CA26263"/>
    <w:rsid w:val="6CA46B09"/>
    <w:rsid w:val="6CAA7E15"/>
    <w:rsid w:val="6CBD7129"/>
    <w:rsid w:val="6CD43B73"/>
    <w:rsid w:val="6CE47E94"/>
    <w:rsid w:val="6D2259C5"/>
    <w:rsid w:val="6D2615E5"/>
    <w:rsid w:val="6D343BD9"/>
    <w:rsid w:val="6D3B6E69"/>
    <w:rsid w:val="6D480793"/>
    <w:rsid w:val="6D6931ED"/>
    <w:rsid w:val="6D6FB819"/>
    <w:rsid w:val="6D76F920"/>
    <w:rsid w:val="6DA8E57F"/>
    <w:rsid w:val="6DACCE99"/>
    <w:rsid w:val="6DD3876C"/>
    <w:rsid w:val="6DE5F15E"/>
    <w:rsid w:val="6E1123C9"/>
    <w:rsid w:val="6E59BBDF"/>
    <w:rsid w:val="6E5ECCFC"/>
    <w:rsid w:val="6E78BF3F"/>
    <w:rsid w:val="6E82912A"/>
    <w:rsid w:val="6E9F190D"/>
    <w:rsid w:val="6EA8C9ED"/>
    <w:rsid w:val="6ECE36C4"/>
    <w:rsid w:val="6ED24828"/>
    <w:rsid w:val="6EFAC294"/>
    <w:rsid w:val="6F030673"/>
    <w:rsid w:val="6F0EA9EB"/>
    <w:rsid w:val="6F1602F0"/>
    <w:rsid w:val="6F20E499"/>
    <w:rsid w:val="6F24F1B4"/>
    <w:rsid w:val="6F33A974"/>
    <w:rsid w:val="6F3784D3"/>
    <w:rsid w:val="6F404534"/>
    <w:rsid w:val="6F53ED4D"/>
    <w:rsid w:val="6F6C420C"/>
    <w:rsid w:val="6F83B439"/>
    <w:rsid w:val="6F9848BD"/>
    <w:rsid w:val="6FA1937E"/>
    <w:rsid w:val="6FAD8FB0"/>
    <w:rsid w:val="6FDB422A"/>
    <w:rsid w:val="6FDBB52C"/>
    <w:rsid w:val="6FE90013"/>
    <w:rsid w:val="6FEC0E17"/>
    <w:rsid w:val="700DE1E7"/>
    <w:rsid w:val="7015FE55"/>
    <w:rsid w:val="70175EED"/>
    <w:rsid w:val="701A431A"/>
    <w:rsid w:val="701C46C4"/>
    <w:rsid w:val="7044DCD3"/>
    <w:rsid w:val="7048F014"/>
    <w:rsid w:val="704FA7CA"/>
    <w:rsid w:val="7056BDD3"/>
    <w:rsid w:val="70611940"/>
    <w:rsid w:val="70613EF4"/>
    <w:rsid w:val="7086D99C"/>
    <w:rsid w:val="7092E184"/>
    <w:rsid w:val="70A5526A"/>
    <w:rsid w:val="70B4EC29"/>
    <w:rsid w:val="70DA863F"/>
    <w:rsid w:val="70E9BA63"/>
    <w:rsid w:val="70EE783B"/>
    <w:rsid w:val="70F3C734"/>
    <w:rsid w:val="710ADE8D"/>
    <w:rsid w:val="710CCB90"/>
    <w:rsid w:val="71650E4F"/>
    <w:rsid w:val="71663A5F"/>
    <w:rsid w:val="719AAD0F"/>
    <w:rsid w:val="71AF6DBC"/>
    <w:rsid w:val="71C83E39"/>
    <w:rsid w:val="71D338DC"/>
    <w:rsid w:val="720DE24A"/>
    <w:rsid w:val="7239D2E2"/>
    <w:rsid w:val="725B1B74"/>
    <w:rsid w:val="725CFCD1"/>
    <w:rsid w:val="725F3942"/>
    <w:rsid w:val="7262639C"/>
    <w:rsid w:val="7286BF4C"/>
    <w:rsid w:val="728E5B38"/>
    <w:rsid w:val="72A61FD2"/>
    <w:rsid w:val="72B53A20"/>
    <w:rsid w:val="72C04C01"/>
    <w:rsid w:val="72C951B4"/>
    <w:rsid w:val="72DC259A"/>
    <w:rsid w:val="72EA53A3"/>
    <w:rsid w:val="72ECE5AE"/>
    <w:rsid w:val="72F493A1"/>
    <w:rsid w:val="72F6CFAC"/>
    <w:rsid w:val="730092CF"/>
    <w:rsid w:val="730D1E6D"/>
    <w:rsid w:val="73158F2E"/>
    <w:rsid w:val="732BB8E1"/>
    <w:rsid w:val="732DEA86"/>
    <w:rsid w:val="7337DBD2"/>
    <w:rsid w:val="733B5CA6"/>
    <w:rsid w:val="73488A67"/>
    <w:rsid w:val="737AFEEF"/>
    <w:rsid w:val="73870FA4"/>
    <w:rsid w:val="7393B2B3"/>
    <w:rsid w:val="739DEC34"/>
    <w:rsid w:val="73A821CE"/>
    <w:rsid w:val="73AD8DE2"/>
    <w:rsid w:val="73CDADAA"/>
    <w:rsid w:val="73D911BA"/>
    <w:rsid w:val="73D9AE35"/>
    <w:rsid w:val="73DE28A5"/>
    <w:rsid w:val="741B46F7"/>
    <w:rsid w:val="7433234C"/>
    <w:rsid w:val="745C0E9D"/>
    <w:rsid w:val="746FB6EB"/>
    <w:rsid w:val="7477B0FE"/>
    <w:rsid w:val="7482EEBA"/>
    <w:rsid w:val="7496B6FD"/>
    <w:rsid w:val="7499D357"/>
    <w:rsid w:val="74B64797"/>
    <w:rsid w:val="74B70C84"/>
    <w:rsid w:val="74BB5E39"/>
    <w:rsid w:val="74BCF8A7"/>
    <w:rsid w:val="74DB9EBA"/>
    <w:rsid w:val="74E090C8"/>
    <w:rsid w:val="74F6F318"/>
    <w:rsid w:val="74FE04C4"/>
    <w:rsid w:val="74FF021E"/>
    <w:rsid w:val="753B617E"/>
    <w:rsid w:val="753F36B5"/>
    <w:rsid w:val="755DAA79"/>
    <w:rsid w:val="75609DDD"/>
    <w:rsid w:val="7567FC2B"/>
    <w:rsid w:val="7578F359"/>
    <w:rsid w:val="7584023D"/>
    <w:rsid w:val="75A10E92"/>
    <w:rsid w:val="75F52A64"/>
    <w:rsid w:val="760690F5"/>
    <w:rsid w:val="762F7E0B"/>
    <w:rsid w:val="763AEE4B"/>
    <w:rsid w:val="7641DBAA"/>
    <w:rsid w:val="76443242"/>
    <w:rsid w:val="764AFA78"/>
    <w:rsid w:val="765485D2"/>
    <w:rsid w:val="765749AE"/>
    <w:rsid w:val="766084D3"/>
    <w:rsid w:val="766A39B7"/>
    <w:rsid w:val="766ADD8B"/>
    <w:rsid w:val="766DE6F6"/>
    <w:rsid w:val="76753629"/>
    <w:rsid w:val="76778C1C"/>
    <w:rsid w:val="76881D71"/>
    <w:rsid w:val="769376DA"/>
    <w:rsid w:val="769FDA89"/>
    <w:rsid w:val="76AC7653"/>
    <w:rsid w:val="76B270E0"/>
    <w:rsid w:val="76BCA518"/>
    <w:rsid w:val="76EE82E8"/>
    <w:rsid w:val="76F0AD3F"/>
    <w:rsid w:val="76F6CDD4"/>
    <w:rsid w:val="770304B4"/>
    <w:rsid w:val="77119A59"/>
    <w:rsid w:val="7721132C"/>
    <w:rsid w:val="77280D90"/>
    <w:rsid w:val="77380E09"/>
    <w:rsid w:val="7740107B"/>
    <w:rsid w:val="774745D9"/>
    <w:rsid w:val="774AD17A"/>
    <w:rsid w:val="777299DE"/>
    <w:rsid w:val="777AB5CB"/>
    <w:rsid w:val="777E3325"/>
    <w:rsid w:val="778EEE25"/>
    <w:rsid w:val="77CA7F6A"/>
    <w:rsid w:val="77CDF2E4"/>
    <w:rsid w:val="77DD9D76"/>
    <w:rsid w:val="77F18727"/>
    <w:rsid w:val="77F40A15"/>
    <w:rsid w:val="77F96B77"/>
    <w:rsid w:val="7815A27C"/>
    <w:rsid w:val="7819E3C8"/>
    <w:rsid w:val="781BCBA3"/>
    <w:rsid w:val="7840FBBC"/>
    <w:rsid w:val="784E06E9"/>
    <w:rsid w:val="7850B50F"/>
    <w:rsid w:val="78513A79"/>
    <w:rsid w:val="7853A042"/>
    <w:rsid w:val="7857DDC5"/>
    <w:rsid w:val="785DC0A6"/>
    <w:rsid w:val="78673FF8"/>
    <w:rsid w:val="786C1BBA"/>
    <w:rsid w:val="7889E20F"/>
    <w:rsid w:val="788C4614"/>
    <w:rsid w:val="788F017D"/>
    <w:rsid w:val="78A184AC"/>
    <w:rsid w:val="78A83A19"/>
    <w:rsid w:val="78D86BE8"/>
    <w:rsid w:val="78F47B8F"/>
    <w:rsid w:val="78FE7A70"/>
    <w:rsid w:val="790B2569"/>
    <w:rsid w:val="79122F9C"/>
    <w:rsid w:val="7920CC56"/>
    <w:rsid w:val="79250A4D"/>
    <w:rsid w:val="7927284D"/>
    <w:rsid w:val="793C9A75"/>
    <w:rsid w:val="794EAD20"/>
    <w:rsid w:val="7962F7B8"/>
    <w:rsid w:val="7973432C"/>
    <w:rsid w:val="79847153"/>
    <w:rsid w:val="798C7120"/>
    <w:rsid w:val="7993719D"/>
    <w:rsid w:val="799A9291"/>
    <w:rsid w:val="79C0606C"/>
    <w:rsid w:val="79D054DC"/>
    <w:rsid w:val="79DD613E"/>
    <w:rsid w:val="79DDE4B0"/>
    <w:rsid w:val="79E72259"/>
    <w:rsid w:val="79FB7B6E"/>
    <w:rsid w:val="7A004EC7"/>
    <w:rsid w:val="7A07E23E"/>
    <w:rsid w:val="7A0809BF"/>
    <w:rsid w:val="7A101629"/>
    <w:rsid w:val="7A106FF7"/>
    <w:rsid w:val="7A383606"/>
    <w:rsid w:val="7A3A5206"/>
    <w:rsid w:val="7A4A7112"/>
    <w:rsid w:val="7A8455A4"/>
    <w:rsid w:val="7A9672D1"/>
    <w:rsid w:val="7AAA874E"/>
    <w:rsid w:val="7AD66B95"/>
    <w:rsid w:val="7ADA49BD"/>
    <w:rsid w:val="7AE5D8F9"/>
    <w:rsid w:val="7AE9E757"/>
    <w:rsid w:val="7AEB0782"/>
    <w:rsid w:val="7B0D9CFD"/>
    <w:rsid w:val="7B13CAEC"/>
    <w:rsid w:val="7B3E780C"/>
    <w:rsid w:val="7B400000"/>
    <w:rsid w:val="7B53F85B"/>
    <w:rsid w:val="7B5CDDA4"/>
    <w:rsid w:val="7B621E64"/>
    <w:rsid w:val="7B7EF386"/>
    <w:rsid w:val="7B9CDCF0"/>
    <w:rsid w:val="7B9CE71C"/>
    <w:rsid w:val="7BAE2992"/>
    <w:rsid w:val="7BB0BB1B"/>
    <w:rsid w:val="7BE09785"/>
    <w:rsid w:val="7BF812F4"/>
    <w:rsid w:val="7C0DDACF"/>
    <w:rsid w:val="7C249A12"/>
    <w:rsid w:val="7C4439BD"/>
    <w:rsid w:val="7C484AF6"/>
    <w:rsid w:val="7C75F160"/>
    <w:rsid w:val="7C79CC32"/>
    <w:rsid w:val="7CBA4689"/>
    <w:rsid w:val="7CF99354"/>
    <w:rsid w:val="7D06C680"/>
    <w:rsid w:val="7D11D384"/>
    <w:rsid w:val="7D3AB5E8"/>
    <w:rsid w:val="7D49A85D"/>
    <w:rsid w:val="7D4E8F3E"/>
    <w:rsid w:val="7D8C62BB"/>
    <w:rsid w:val="7D9F92DE"/>
    <w:rsid w:val="7DB8F5E0"/>
    <w:rsid w:val="7DC09FE2"/>
    <w:rsid w:val="7DEE909C"/>
    <w:rsid w:val="7DF74A71"/>
    <w:rsid w:val="7E05CE31"/>
    <w:rsid w:val="7E079C95"/>
    <w:rsid w:val="7E170DFA"/>
    <w:rsid w:val="7E1CF5EE"/>
    <w:rsid w:val="7E3F57AE"/>
    <w:rsid w:val="7E4FB72C"/>
    <w:rsid w:val="7E5282F0"/>
    <w:rsid w:val="7E5E2165"/>
    <w:rsid w:val="7E96CF32"/>
    <w:rsid w:val="7EA44ED1"/>
    <w:rsid w:val="7ECB7633"/>
    <w:rsid w:val="7EE7A97B"/>
    <w:rsid w:val="7F06DF9A"/>
    <w:rsid w:val="7F10CE70"/>
    <w:rsid w:val="7F46FD2B"/>
    <w:rsid w:val="7F4CC440"/>
    <w:rsid w:val="7F56C353"/>
    <w:rsid w:val="7F5D7492"/>
    <w:rsid w:val="7F657241"/>
    <w:rsid w:val="7F69C33E"/>
    <w:rsid w:val="7F822585"/>
    <w:rsid w:val="7FBAEC5B"/>
    <w:rsid w:val="7FBB396F"/>
    <w:rsid w:val="7FCE6A1F"/>
    <w:rsid w:val="7FD39DDA"/>
    <w:rsid w:val="7FE8FA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999937"/>
  <w15:chartTrackingRefBased/>
  <w15:docId w15:val="{8187840B-0BCE-4613-8A55-76ADAE015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fr"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32289"/>
  </w:style>
  <w:style w:type="paragraph" w:styleId="Heading1">
    <w:name w:val="heading 1"/>
    <w:basedOn w:val="Normal"/>
    <w:next w:val="Normal"/>
    <w:link w:val="Heading1Char1"/>
    <w:qFormat/>
    <w:pPr>
      <w:keepNext/>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styleId="Heading2">
    <w:name w:val="heading 2"/>
    <w:basedOn w:val="Normal"/>
    <w:next w:val="Normal"/>
    <w:link w:val="Heading2Char1"/>
    <w:qFormat/>
    <w:pPr>
      <w:keepNext/>
      <w:spacing w:before="120" w:after="120" w:line="240" w:lineRule="auto"/>
      <w:ind w:left="850" w:hanging="850"/>
      <w:jc w:val="both"/>
      <w:outlineLvl w:val="1"/>
    </w:pPr>
    <w:rPr>
      <w:rFonts w:ascii="Times New Roman" w:eastAsia="Times New Roman" w:hAnsi="Times New Roman" w:cs="Times New Roman"/>
      <w:b/>
      <w:sz w:val="24"/>
      <w:szCs w:val="24"/>
    </w:rPr>
  </w:style>
  <w:style w:type="paragraph" w:styleId="Heading3">
    <w:name w:val="heading 3"/>
    <w:basedOn w:val="Normal"/>
    <w:next w:val="Normal"/>
    <w:link w:val="Heading3Char1"/>
    <w:qFormat/>
    <w:pPr>
      <w:keepNext/>
      <w:spacing w:before="120" w:after="120" w:line="240" w:lineRule="auto"/>
      <w:ind w:left="850" w:hanging="850"/>
      <w:jc w:val="both"/>
      <w:outlineLvl w:val="2"/>
    </w:pPr>
    <w:rPr>
      <w:rFonts w:ascii="Times New Roman" w:eastAsia="Times New Roman" w:hAnsi="Times New Roman" w:cs="Times New Roman"/>
      <w:i/>
      <w:sz w:val="24"/>
      <w:szCs w:val="24"/>
    </w:rPr>
  </w:style>
  <w:style w:type="paragraph" w:styleId="Heading4">
    <w:name w:val="heading 4"/>
    <w:basedOn w:val="Normal"/>
    <w:next w:val="Normal"/>
    <w:link w:val="Heading4Char1"/>
    <w:qFormat/>
    <w:pPr>
      <w:keepNext/>
      <w:spacing w:before="120" w:after="120" w:line="240" w:lineRule="auto"/>
      <w:ind w:left="850" w:hanging="850"/>
      <w:jc w:val="both"/>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14E6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714E6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714E6D"/>
    <w:pPr>
      <w:keepNext/>
      <w:keepLines/>
      <w:spacing w:after="0"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paragraph" w:styleId="Title">
    <w:name w:val="Title"/>
    <w:basedOn w:val="Normal"/>
    <w:next w:val="Normal"/>
    <w:link w:val="TitleChar"/>
    <w:qFormat/>
    <w:pPr>
      <w:keepNext/>
      <w:keepLines/>
      <w:spacing w:before="480" w:after="120"/>
    </w:pPr>
    <w:rPr>
      <w:b/>
      <w:sz w:val="72"/>
      <w:szCs w:val="72"/>
    </w:rPr>
  </w:style>
  <w:style w:type="paragraph" w:customStyle="1" w:styleId="Normal0">
    <w:name w:val="Normal0"/>
    <w:uiPriority w:val="1"/>
  </w:style>
  <w:style w:type="paragraph" w:customStyle="1" w:styleId="heading10">
    <w:name w:val="heading 10"/>
    <w:basedOn w:val="Normal0"/>
    <w:next w:val="Normal0"/>
    <w:pPr>
      <w:keepNext/>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heading20">
    <w:name w:val="heading 20"/>
    <w:basedOn w:val="Normal0"/>
    <w:next w:val="Normal0"/>
    <w:pPr>
      <w:keepNext/>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heading30">
    <w:name w:val="heading 30"/>
    <w:basedOn w:val="Normal0"/>
    <w:next w:val="Normal0"/>
    <w:pPr>
      <w:keepNext/>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heading40">
    <w:name w:val="heading 40"/>
    <w:basedOn w:val="Normal0"/>
    <w:next w:val="Normal0"/>
    <w:pPr>
      <w:keepNext/>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heading50">
    <w:name w:val="heading 50"/>
    <w:basedOn w:val="Normal0"/>
    <w:next w:val="Normal0"/>
    <w:pPr>
      <w:keepNext/>
      <w:keepLines/>
      <w:spacing w:before="220" w:after="40"/>
      <w:outlineLvl w:val="4"/>
    </w:pPr>
    <w:rPr>
      <w:b/>
    </w:rPr>
  </w:style>
  <w:style w:type="paragraph" w:customStyle="1" w:styleId="heading60">
    <w:name w:val="heading 60"/>
    <w:basedOn w:val="Normal0"/>
    <w:next w:val="Normal0"/>
    <w:pPr>
      <w:keepNext/>
      <w:keepLines/>
      <w:spacing w:before="200" w:after="40"/>
      <w:outlineLvl w:val="5"/>
    </w:pPr>
    <w:rPr>
      <w:b/>
      <w:sz w:val="20"/>
      <w:szCs w:val="20"/>
    </w:rPr>
  </w:style>
  <w:style w:type="table" w:customStyle="1" w:styleId="NormalTable0">
    <w:name w:val="Normal Table0"/>
    <w:uiPriority w:val="99"/>
    <w:semiHidden/>
    <w:unhideWhenUsed/>
    <w:tblPr>
      <w:tblCellMar>
        <w:top w:w="0" w:type="dxa"/>
        <w:left w:w="0" w:type="dxa"/>
        <w:bottom w:w="0" w:type="dxa"/>
        <w:right w:w="0" w:type="dxa"/>
      </w:tblCellMar>
    </w:tblPr>
  </w:style>
  <w:style w:type="paragraph" w:customStyle="1" w:styleId="Title0">
    <w:name w:val="Title0"/>
    <w:basedOn w:val="Normal0"/>
    <w:next w:val="Normal0"/>
    <w:pPr>
      <w:keepNext/>
      <w:keepLines/>
      <w:spacing w:before="480" w:after="120"/>
    </w:pPr>
    <w:rPr>
      <w:b/>
      <w:sz w:val="72"/>
      <w:szCs w:val="72"/>
    </w:rPr>
  </w:style>
  <w:style w:type="paragraph" w:customStyle="1" w:styleId="Normal00">
    <w:name w:val="Normal00"/>
    <w:qFormat/>
  </w:style>
  <w:style w:type="paragraph" w:customStyle="1" w:styleId="heading100">
    <w:name w:val="heading 100"/>
    <w:basedOn w:val="Normal00"/>
    <w:next w:val="Text1"/>
    <w:link w:val="Heading1Char"/>
    <w:uiPriority w:val="9"/>
    <w:qFormat/>
    <w:pPr>
      <w:keepNext/>
      <w:tabs>
        <w:tab w:val="num" w:pos="720"/>
      </w:tabs>
      <w:spacing w:before="360" w:after="120" w:line="240" w:lineRule="auto"/>
      <w:ind w:left="720" w:hanging="720"/>
      <w:jc w:val="both"/>
      <w:outlineLvl w:val="0"/>
    </w:pPr>
    <w:rPr>
      <w:rFonts w:ascii="Times New Roman" w:eastAsiaTheme="majorEastAsia" w:hAnsi="Times New Roman" w:cs="Times New Roman"/>
      <w:b/>
      <w:bCs/>
      <w:smallCaps/>
      <w:sz w:val="24"/>
      <w:szCs w:val="28"/>
    </w:rPr>
  </w:style>
  <w:style w:type="paragraph" w:customStyle="1" w:styleId="heading200">
    <w:name w:val="heading 200"/>
    <w:basedOn w:val="Normal00"/>
    <w:next w:val="Text1"/>
    <w:link w:val="Heading2Char"/>
    <w:uiPriority w:val="9"/>
    <w:semiHidden/>
    <w:unhideWhenUsed/>
    <w:qFormat/>
    <w:pPr>
      <w:keepNext/>
      <w:tabs>
        <w:tab w:val="num" w:pos="1440"/>
      </w:tabs>
      <w:spacing w:before="120" w:after="120" w:line="240" w:lineRule="auto"/>
      <w:ind w:left="1440" w:hanging="720"/>
      <w:jc w:val="both"/>
      <w:outlineLvl w:val="1"/>
    </w:pPr>
    <w:rPr>
      <w:rFonts w:ascii="Times New Roman" w:eastAsiaTheme="majorEastAsia" w:hAnsi="Times New Roman" w:cs="Times New Roman"/>
      <w:b/>
      <w:bCs/>
      <w:sz w:val="24"/>
      <w:szCs w:val="26"/>
    </w:rPr>
  </w:style>
  <w:style w:type="paragraph" w:customStyle="1" w:styleId="heading300">
    <w:name w:val="heading 300"/>
    <w:basedOn w:val="Normal00"/>
    <w:next w:val="Text1"/>
    <w:link w:val="Heading3Char"/>
    <w:uiPriority w:val="9"/>
    <w:semiHidden/>
    <w:unhideWhenUsed/>
    <w:qFormat/>
    <w:pPr>
      <w:keepNext/>
      <w:tabs>
        <w:tab w:val="num" w:pos="2160"/>
      </w:tabs>
      <w:spacing w:before="120" w:after="120" w:line="240" w:lineRule="auto"/>
      <w:ind w:left="2160" w:hanging="720"/>
      <w:jc w:val="both"/>
      <w:outlineLvl w:val="2"/>
    </w:pPr>
    <w:rPr>
      <w:rFonts w:ascii="Times New Roman" w:eastAsiaTheme="majorEastAsia" w:hAnsi="Times New Roman" w:cs="Times New Roman"/>
      <w:bCs/>
      <w:i/>
      <w:sz w:val="24"/>
    </w:rPr>
  </w:style>
  <w:style w:type="paragraph" w:customStyle="1" w:styleId="heading400">
    <w:name w:val="heading 400"/>
    <w:basedOn w:val="Normal00"/>
    <w:next w:val="Text1"/>
    <w:link w:val="Heading4Char"/>
    <w:uiPriority w:val="9"/>
    <w:semiHidden/>
    <w:unhideWhenUsed/>
    <w:qFormat/>
    <w:pPr>
      <w:keepNext/>
      <w:tabs>
        <w:tab w:val="num" w:pos="2880"/>
      </w:tabs>
      <w:spacing w:before="120" w:after="120" w:line="240" w:lineRule="auto"/>
      <w:ind w:left="2880" w:hanging="720"/>
      <w:jc w:val="both"/>
      <w:outlineLvl w:val="3"/>
    </w:pPr>
    <w:rPr>
      <w:rFonts w:ascii="Times New Roman" w:eastAsiaTheme="majorEastAsia" w:hAnsi="Times New Roman" w:cs="Times New Roman"/>
      <w:bCs/>
      <w:iCs/>
      <w:sz w:val="24"/>
    </w:rPr>
  </w:style>
  <w:style w:type="table" w:customStyle="1" w:styleId="NormalTable00">
    <w:name w:val="Normal Table00"/>
    <w:uiPriority w:val="99"/>
    <w:semiHidden/>
    <w:unhideWhenUsed/>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00"/>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00"/>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00"/>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00"/>
    <w:uiPriority w:val="9"/>
    <w:semiHidden/>
    <w:rPr>
      <w:rFonts w:ascii="Times New Roman" w:eastAsiaTheme="majorEastAsia" w:hAnsi="Times New Roman" w:cs="Times New Roman"/>
      <w:bCs/>
      <w:iCs/>
      <w:sz w:val="24"/>
    </w:rPr>
  </w:style>
  <w:style w:type="numbering" w:customStyle="1" w:styleId="NoList1">
    <w:name w:val="No List1"/>
    <w:next w:val="NoList"/>
    <w:uiPriority w:val="99"/>
    <w:semiHidden/>
    <w:unhideWhenUsed/>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00"/>
    <w:link w:val="CommentTextChar"/>
    <w:uiPriority w:val="99"/>
    <w:unhideWhenUsed/>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00"/>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style>
  <w:style w:type="character" w:styleId="IntenseEmphasis">
    <w:name w:val="Intense Emphasis"/>
    <w:basedOn w:val="DefaultParagraphFont"/>
    <w:uiPriority w:val="21"/>
    <w:qFormat/>
    <w:rPr>
      <w:i/>
      <w:iCs/>
      <w:color w:val="4F81BD" w:themeColor="accent1"/>
    </w:rPr>
  </w:style>
  <w:style w:type="paragraph" w:styleId="BalloonText">
    <w:name w:val="Balloon Text"/>
    <w:basedOn w:val="Normal00"/>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Bullet">
    <w:name w:val="List Bullet"/>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2">
    <w:name w:val="List Bullet 2"/>
    <w:basedOn w:val="Normal00"/>
    <w:uiPriority w:val="99"/>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3">
    <w:name w:val="List Bullet 3"/>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4">
    <w:name w:val="List Bullet 4"/>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00"/>
    <w:next w:val="Normal00"/>
    <w:uiPriority w:val="35"/>
    <w:semiHidden/>
    <w:unhideWhenUsed/>
    <w:qFormat/>
    <w:pPr>
      <w:spacing w:line="240" w:lineRule="auto"/>
      <w:jc w:val="both"/>
    </w:pPr>
    <w:rPr>
      <w:rFonts w:ascii="Times New Roman" w:hAnsi="Times New Roman" w:cs="Times New Roman"/>
      <w:i/>
      <w:iCs/>
      <w:color w:val="1F497D" w:themeColor="text2"/>
      <w:sz w:val="18"/>
      <w:szCs w:val="18"/>
    </w:rPr>
  </w:style>
  <w:style w:type="paragraph" w:styleId="TableofFigures">
    <w:name w:val="table of figures"/>
    <w:basedOn w:val="Normal00"/>
    <w:next w:val="Normal00"/>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2">
    <w:name w:val="List Number 2"/>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3">
    <w:name w:val="List Number 3"/>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4">
    <w:name w:val="List Number 4"/>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00"/>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00"/>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basedOn w:val="Normal00"/>
    <w:link w:val="FootnoteTextChar"/>
    <w:uiPriority w:val="99"/>
    <w:unhideWhenUsed/>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TOCHeading">
    <w:name w:val="TOC Heading"/>
    <w:basedOn w:val="Normal00"/>
    <w:next w:val="Normal00"/>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00"/>
    <w:next w:val="Normal00"/>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00"/>
    <w:next w:val="Normal00"/>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00"/>
    <w:next w:val="Normal00"/>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00"/>
    <w:next w:val="Normal00"/>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00"/>
    <w:next w:val="Normal00"/>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00"/>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00"/>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basedOn w:val="DefaultParagraphFont"/>
    <w:uiPriority w:val="99"/>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A14CA"/>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00"/>
    <w:pPr>
      <w:spacing w:before="120" w:after="120" w:line="240" w:lineRule="auto"/>
      <w:ind w:left="850"/>
      <w:jc w:val="both"/>
    </w:pPr>
    <w:rPr>
      <w:rFonts w:ascii="Times New Roman" w:hAnsi="Times New Roman" w:cs="Times New Roman"/>
      <w:sz w:val="24"/>
    </w:rPr>
  </w:style>
  <w:style w:type="paragraph" w:customStyle="1" w:styleId="Text2">
    <w:name w:val="Text 2"/>
    <w:basedOn w:val="Normal00"/>
    <w:pPr>
      <w:spacing w:before="120" w:after="120" w:line="240" w:lineRule="auto"/>
      <w:ind w:left="1417"/>
      <w:jc w:val="both"/>
    </w:pPr>
    <w:rPr>
      <w:rFonts w:ascii="Times New Roman" w:hAnsi="Times New Roman" w:cs="Times New Roman"/>
      <w:sz w:val="24"/>
    </w:rPr>
  </w:style>
  <w:style w:type="paragraph" w:customStyle="1" w:styleId="Text3">
    <w:name w:val="Text 3"/>
    <w:basedOn w:val="Normal00"/>
    <w:pPr>
      <w:spacing w:before="120" w:after="120" w:line="240" w:lineRule="auto"/>
      <w:ind w:left="1984"/>
      <w:jc w:val="both"/>
    </w:pPr>
    <w:rPr>
      <w:rFonts w:ascii="Times New Roman" w:hAnsi="Times New Roman" w:cs="Times New Roman"/>
      <w:sz w:val="24"/>
    </w:rPr>
  </w:style>
  <w:style w:type="paragraph" w:customStyle="1" w:styleId="Text4">
    <w:name w:val="Text 4"/>
    <w:basedOn w:val="Normal00"/>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00"/>
    <w:pPr>
      <w:spacing w:before="120" w:after="120" w:line="240" w:lineRule="auto"/>
      <w:jc w:val="center"/>
    </w:pPr>
    <w:rPr>
      <w:rFonts w:ascii="Times New Roman" w:hAnsi="Times New Roman" w:cs="Times New Roman"/>
      <w:sz w:val="24"/>
    </w:rPr>
  </w:style>
  <w:style w:type="paragraph" w:customStyle="1" w:styleId="NormalLeft">
    <w:name w:val="Normal Left"/>
    <w:basedOn w:val="Normal00"/>
    <w:pPr>
      <w:spacing w:before="120" w:after="120" w:line="240" w:lineRule="auto"/>
    </w:pPr>
    <w:rPr>
      <w:rFonts w:ascii="Times New Roman" w:hAnsi="Times New Roman" w:cs="Times New Roman"/>
      <w:sz w:val="24"/>
    </w:rPr>
  </w:style>
  <w:style w:type="paragraph" w:customStyle="1" w:styleId="NormalRight">
    <w:name w:val="Normal Right"/>
    <w:basedOn w:val="Normal00"/>
    <w:pPr>
      <w:spacing w:before="120" w:after="120" w:line="240" w:lineRule="auto"/>
      <w:jc w:val="right"/>
    </w:pPr>
    <w:rPr>
      <w:rFonts w:ascii="Times New Roman" w:hAnsi="Times New Roman" w:cs="Times New Roman"/>
      <w:sz w:val="24"/>
    </w:rPr>
  </w:style>
  <w:style w:type="paragraph" w:customStyle="1" w:styleId="QuotedText">
    <w:name w:val="Quoted Text"/>
    <w:basedOn w:val="Normal00"/>
    <w:pPr>
      <w:spacing w:before="120" w:after="120" w:line="240" w:lineRule="auto"/>
      <w:ind w:left="1417"/>
      <w:jc w:val="both"/>
    </w:pPr>
    <w:rPr>
      <w:rFonts w:ascii="Times New Roman" w:hAnsi="Times New Roman" w:cs="Times New Roman"/>
      <w:sz w:val="24"/>
    </w:rPr>
  </w:style>
  <w:style w:type="paragraph" w:customStyle="1" w:styleId="Point0">
    <w:name w:val="Point 0"/>
    <w:basedOn w:val="Normal00"/>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00"/>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00"/>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00"/>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00"/>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tabs>
        <w:tab w:val="num" w:pos="720"/>
      </w:tabs>
      <w:ind w:left="720" w:hanging="720"/>
    </w:pPr>
  </w:style>
  <w:style w:type="paragraph" w:customStyle="1" w:styleId="Tiret1">
    <w:name w:val="Tiret 1"/>
    <w:basedOn w:val="Point1"/>
    <w:pPr>
      <w:tabs>
        <w:tab w:val="num" w:pos="720"/>
      </w:tabs>
      <w:ind w:left="720" w:hanging="720"/>
    </w:pPr>
  </w:style>
  <w:style w:type="paragraph" w:customStyle="1" w:styleId="Tiret2">
    <w:name w:val="Tiret 2"/>
    <w:basedOn w:val="Point2"/>
    <w:pPr>
      <w:tabs>
        <w:tab w:val="num" w:pos="720"/>
      </w:tabs>
      <w:ind w:left="720" w:hanging="720"/>
    </w:pPr>
  </w:style>
  <w:style w:type="paragraph" w:customStyle="1" w:styleId="Tiret3">
    <w:name w:val="Tiret 3"/>
    <w:basedOn w:val="Point3"/>
    <w:pPr>
      <w:tabs>
        <w:tab w:val="num" w:pos="720"/>
      </w:tabs>
      <w:ind w:left="720" w:hanging="720"/>
    </w:pPr>
  </w:style>
  <w:style w:type="paragraph" w:customStyle="1" w:styleId="Tiret4">
    <w:name w:val="Tiret 4"/>
    <w:basedOn w:val="Point4"/>
    <w:pPr>
      <w:tabs>
        <w:tab w:val="num" w:pos="720"/>
      </w:tabs>
      <w:ind w:left="720" w:hanging="720"/>
    </w:pPr>
  </w:style>
  <w:style w:type="paragraph" w:customStyle="1" w:styleId="PointDouble0">
    <w:name w:val="PointDouble 0"/>
    <w:basedOn w:val="Normal00"/>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00"/>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00"/>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00"/>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00"/>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00"/>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00"/>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00"/>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00"/>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00"/>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00"/>
    <w:next w:val="Text1"/>
    <w:pPr>
      <w:tabs>
        <w:tab w:val="num" w:pos="720"/>
      </w:tabs>
      <w:spacing w:before="120" w:after="120" w:line="240" w:lineRule="auto"/>
      <w:ind w:left="720" w:hanging="720"/>
      <w:jc w:val="both"/>
    </w:pPr>
    <w:rPr>
      <w:rFonts w:ascii="Times New Roman" w:hAnsi="Times New Roman" w:cs="Times New Roman"/>
      <w:sz w:val="24"/>
    </w:rPr>
  </w:style>
  <w:style w:type="paragraph" w:customStyle="1" w:styleId="NumPar2">
    <w:name w:val="NumPar 2"/>
    <w:basedOn w:val="Normal00"/>
    <w:next w:val="Text1"/>
    <w:pPr>
      <w:tabs>
        <w:tab w:val="num" w:pos="1440"/>
      </w:tabs>
      <w:spacing w:before="120" w:after="120" w:line="240" w:lineRule="auto"/>
      <w:ind w:left="1440" w:hanging="720"/>
      <w:jc w:val="both"/>
    </w:pPr>
    <w:rPr>
      <w:rFonts w:ascii="Times New Roman" w:hAnsi="Times New Roman" w:cs="Times New Roman"/>
      <w:sz w:val="24"/>
    </w:rPr>
  </w:style>
  <w:style w:type="paragraph" w:customStyle="1" w:styleId="NumPar3">
    <w:name w:val="NumPar 3"/>
    <w:basedOn w:val="Normal00"/>
    <w:next w:val="Text1"/>
    <w:pPr>
      <w:tabs>
        <w:tab w:val="num" w:pos="2160"/>
      </w:tabs>
      <w:spacing w:before="120" w:after="120" w:line="240" w:lineRule="auto"/>
      <w:ind w:left="2160" w:hanging="720"/>
      <w:jc w:val="both"/>
    </w:pPr>
    <w:rPr>
      <w:rFonts w:ascii="Times New Roman" w:hAnsi="Times New Roman" w:cs="Times New Roman"/>
      <w:sz w:val="24"/>
    </w:rPr>
  </w:style>
  <w:style w:type="paragraph" w:customStyle="1" w:styleId="NumPar4">
    <w:name w:val="NumPar 4"/>
    <w:basedOn w:val="Normal00"/>
    <w:next w:val="Text1"/>
    <w:pPr>
      <w:tabs>
        <w:tab w:val="num" w:pos="2880"/>
      </w:tabs>
      <w:spacing w:before="120" w:after="120" w:line="240" w:lineRule="auto"/>
      <w:ind w:left="2880" w:hanging="720"/>
      <w:jc w:val="both"/>
    </w:pPr>
    <w:rPr>
      <w:rFonts w:ascii="Times New Roman" w:hAnsi="Times New Roman" w:cs="Times New Roman"/>
      <w:sz w:val="24"/>
    </w:rPr>
  </w:style>
  <w:style w:type="paragraph" w:customStyle="1" w:styleId="ManualNumPar1">
    <w:name w:val="Manual NumPar 1"/>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00"/>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00"/>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00"/>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00"/>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00"/>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00"/>
    <w:next w:val="Normal00"/>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00"/>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00"/>
    <w:next w:val="heading100"/>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00"/>
    <w:next w:val="Normal00"/>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7A34BF"/>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00"/>
    <w:pPr>
      <w:tabs>
        <w:tab w:val="num" w:pos="850"/>
      </w:tabs>
      <w:spacing w:before="120" w:after="120" w:line="240" w:lineRule="auto"/>
      <w:ind w:left="850" w:hanging="850"/>
      <w:jc w:val="both"/>
    </w:pPr>
    <w:rPr>
      <w:rFonts w:ascii="Times New Roman" w:hAnsi="Times New Roman" w:cs="Times New Roman"/>
      <w:sz w:val="24"/>
    </w:rPr>
  </w:style>
  <w:style w:type="paragraph" w:customStyle="1" w:styleId="Point1number">
    <w:name w:val="Point 1 (number)"/>
    <w:basedOn w:val="Normal00"/>
    <w:pPr>
      <w:tabs>
        <w:tab w:val="num" w:pos="2160"/>
      </w:tabs>
      <w:spacing w:before="120" w:after="120" w:line="240" w:lineRule="auto"/>
      <w:ind w:left="2160" w:hanging="720"/>
      <w:jc w:val="both"/>
    </w:pPr>
    <w:rPr>
      <w:rFonts w:ascii="Times New Roman" w:hAnsi="Times New Roman" w:cs="Times New Roman"/>
      <w:sz w:val="24"/>
    </w:rPr>
  </w:style>
  <w:style w:type="paragraph" w:customStyle="1" w:styleId="Point2number">
    <w:name w:val="Point 2 (number)"/>
    <w:basedOn w:val="Normal00"/>
    <w:pPr>
      <w:tabs>
        <w:tab w:val="num" w:pos="3600"/>
      </w:tabs>
      <w:spacing w:before="120" w:after="120" w:line="240" w:lineRule="auto"/>
      <w:ind w:left="3600" w:hanging="720"/>
      <w:jc w:val="both"/>
    </w:pPr>
    <w:rPr>
      <w:rFonts w:ascii="Times New Roman" w:hAnsi="Times New Roman" w:cs="Times New Roman"/>
      <w:sz w:val="24"/>
    </w:rPr>
  </w:style>
  <w:style w:type="paragraph" w:customStyle="1" w:styleId="Point3number">
    <w:name w:val="Point 3 (number)"/>
    <w:basedOn w:val="Normal00"/>
    <w:pPr>
      <w:tabs>
        <w:tab w:val="num" w:pos="5040"/>
      </w:tabs>
      <w:spacing w:before="120" w:after="120" w:line="240" w:lineRule="auto"/>
      <w:ind w:left="5040" w:hanging="720"/>
      <w:jc w:val="both"/>
    </w:pPr>
    <w:rPr>
      <w:rFonts w:ascii="Times New Roman" w:hAnsi="Times New Roman" w:cs="Times New Roman"/>
      <w:sz w:val="24"/>
    </w:rPr>
  </w:style>
  <w:style w:type="paragraph" w:customStyle="1" w:styleId="Point0letter">
    <w:name w:val="Point 0 (letter)"/>
    <w:basedOn w:val="Normal00"/>
    <w:pPr>
      <w:tabs>
        <w:tab w:val="num" w:pos="1440"/>
      </w:tabs>
      <w:spacing w:before="120" w:after="120" w:line="240" w:lineRule="auto"/>
      <w:ind w:left="1440" w:hanging="720"/>
      <w:jc w:val="both"/>
    </w:pPr>
    <w:rPr>
      <w:rFonts w:ascii="Times New Roman" w:hAnsi="Times New Roman" w:cs="Times New Roman"/>
      <w:sz w:val="24"/>
    </w:rPr>
  </w:style>
  <w:style w:type="paragraph" w:customStyle="1" w:styleId="Point1letter">
    <w:name w:val="Point 1 (letter)"/>
    <w:basedOn w:val="Normal00"/>
    <w:pPr>
      <w:tabs>
        <w:tab w:val="num" w:pos="2880"/>
      </w:tabs>
      <w:spacing w:before="120" w:after="120" w:line="240" w:lineRule="auto"/>
      <w:ind w:left="2880" w:hanging="720"/>
      <w:jc w:val="both"/>
    </w:pPr>
    <w:rPr>
      <w:rFonts w:ascii="Times New Roman" w:hAnsi="Times New Roman" w:cs="Times New Roman"/>
      <w:sz w:val="24"/>
    </w:rPr>
  </w:style>
  <w:style w:type="paragraph" w:customStyle="1" w:styleId="Point2letter">
    <w:name w:val="Point 2 (letter)"/>
    <w:basedOn w:val="Normal00"/>
    <w:pPr>
      <w:tabs>
        <w:tab w:val="num" w:pos="4320"/>
      </w:tabs>
      <w:spacing w:before="120" w:after="120" w:line="240" w:lineRule="auto"/>
      <w:ind w:left="4320" w:hanging="720"/>
      <w:jc w:val="both"/>
    </w:pPr>
    <w:rPr>
      <w:rFonts w:ascii="Times New Roman" w:hAnsi="Times New Roman" w:cs="Times New Roman"/>
      <w:sz w:val="24"/>
    </w:rPr>
  </w:style>
  <w:style w:type="paragraph" w:customStyle="1" w:styleId="Point3letter">
    <w:name w:val="Point 3 (letter)"/>
    <w:basedOn w:val="Normal00"/>
    <w:pPr>
      <w:tabs>
        <w:tab w:val="num" w:pos="5760"/>
      </w:tabs>
      <w:spacing w:before="120" w:after="120" w:line="240" w:lineRule="auto"/>
      <w:ind w:left="5760" w:hanging="720"/>
      <w:jc w:val="both"/>
    </w:pPr>
    <w:rPr>
      <w:rFonts w:ascii="Times New Roman" w:hAnsi="Times New Roman" w:cs="Times New Roman"/>
      <w:sz w:val="24"/>
    </w:rPr>
  </w:style>
  <w:style w:type="paragraph" w:customStyle="1" w:styleId="Point4letter">
    <w:name w:val="Point 4 (letter)"/>
    <w:basedOn w:val="Normal00"/>
    <w:pPr>
      <w:tabs>
        <w:tab w:val="num" w:pos="6480"/>
      </w:tabs>
      <w:spacing w:before="120" w:after="120" w:line="240" w:lineRule="auto"/>
      <w:ind w:left="6480" w:hanging="720"/>
      <w:jc w:val="both"/>
    </w:pPr>
    <w:rPr>
      <w:rFonts w:ascii="Times New Roman" w:hAnsi="Times New Roman" w:cs="Times New Roman"/>
      <w:sz w:val="24"/>
    </w:rPr>
  </w:style>
  <w:style w:type="paragraph" w:customStyle="1" w:styleId="Bullet0">
    <w:name w:val="Bullet 0"/>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1">
    <w:name w:val="Bullet 1"/>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2">
    <w:name w:val="Bullet 2"/>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3">
    <w:name w:val="Bullet 3"/>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4">
    <w:name w:val="Bullet 4"/>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Langue">
    <w:name w:val="Langue"/>
    <w:basedOn w:val="Normal00"/>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00"/>
    <w:next w:val="Emission"/>
    <w:pPr>
      <w:spacing w:after="0" w:line="240" w:lineRule="auto"/>
    </w:pPr>
    <w:rPr>
      <w:rFonts w:ascii="Arial" w:hAnsi="Arial" w:cs="Arial"/>
      <w:sz w:val="24"/>
    </w:rPr>
  </w:style>
  <w:style w:type="paragraph" w:customStyle="1" w:styleId="Emission">
    <w:name w:val="Emission"/>
    <w:basedOn w:val="Normal00"/>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00"/>
    <w:next w:val="Confidentialit"/>
    <w:pPr>
      <w:spacing w:after="240" w:line="240" w:lineRule="auto"/>
      <w:ind w:left="5103"/>
    </w:pPr>
    <w:rPr>
      <w:rFonts w:ascii="Times New Roman" w:hAnsi="Times New Roman" w:cs="Times New Roman"/>
      <w:sz w:val="24"/>
    </w:rPr>
  </w:style>
  <w:style w:type="paragraph" w:customStyle="1" w:styleId="Pagedecouverture">
    <w:name w:val="Page de couverture"/>
    <w:basedOn w:val="Normal00"/>
    <w:next w:val="Normal00"/>
    <w:pPr>
      <w:spacing w:after="0" w:line="240" w:lineRule="auto"/>
      <w:jc w:val="both"/>
    </w:pPr>
    <w:rPr>
      <w:rFonts w:ascii="Times New Roman" w:hAnsi="Times New Roman" w:cs="Times New Roman"/>
      <w:sz w:val="24"/>
    </w:rPr>
  </w:style>
  <w:style w:type="paragraph" w:customStyle="1" w:styleId="Declassification">
    <w:name w:val="Declassification"/>
    <w:basedOn w:val="Normal00"/>
    <w:next w:val="Normal00"/>
    <w:pPr>
      <w:spacing w:after="0" w:line="240" w:lineRule="auto"/>
      <w:jc w:val="both"/>
    </w:pPr>
    <w:rPr>
      <w:rFonts w:ascii="Times New Roman" w:hAnsi="Times New Roman" w:cs="Times New Roman"/>
      <w:sz w:val="24"/>
    </w:rPr>
  </w:style>
  <w:style w:type="paragraph" w:customStyle="1" w:styleId="Disclaimer">
    <w:name w:val="Disclaimer"/>
    <w:basedOn w:val="Normal0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A14CA"/>
    <w:pPr>
      <w:spacing w:after="0"/>
      <w:ind w:left="5103"/>
    </w:pPr>
    <w:rPr>
      <w:rFonts w:ascii="Times New Roman" w:eastAsiaTheme="minorHAnsi" w:hAnsi="Times New Roman" w:cs="Times New Roman"/>
      <w:sz w:val="28"/>
    </w:rPr>
  </w:style>
  <w:style w:type="paragraph" w:customStyle="1" w:styleId="DateMarking">
    <w:name w:val="DateMarking"/>
    <w:basedOn w:val="Normal"/>
    <w:rsid w:val="00CA14CA"/>
    <w:pPr>
      <w:spacing w:after="0"/>
      <w:ind w:left="5103"/>
    </w:pPr>
    <w:rPr>
      <w:rFonts w:ascii="Times New Roman" w:eastAsiaTheme="minorHAnsi" w:hAnsi="Times New Roman" w:cs="Times New Roman"/>
      <w:i/>
      <w:sz w:val="28"/>
    </w:rPr>
  </w:style>
  <w:style w:type="paragraph" w:customStyle="1" w:styleId="ReleasableTo">
    <w:name w:val="ReleasableTo"/>
    <w:basedOn w:val="Normal"/>
    <w:rsid w:val="00CA14CA"/>
    <w:pPr>
      <w:spacing w:after="0"/>
      <w:ind w:left="5103"/>
    </w:pPr>
    <w:rPr>
      <w:rFonts w:ascii="Times New Roman" w:eastAsiaTheme="minorHAnsi" w:hAnsi="Times New Roman" w:cs="Times New Roman"/>
      <w:i/>
      <w:sz w:val="28"/>
    </w:rPr>
  </w:style>
  <w:style w:type="paragraph" w:customStyle="1" w:styleId="Annexetitreexpos">
    <w:name w:val="Annexe titre (exposé)"/>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00"/>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00"/>
    <w:next w:val="Normal00"/>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00"/>
    <w:next w:val="Normal00"/>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00"/>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Corrigendum">
    <w:name w:val="Corrigendum"/>
    <w:basedOn w:val="Normal00"/>
    <w:next w:val="Normal00"/>
    <w:pPr>
      <w:spacing w:after="240" w:line="240" w:lineRule="auto"/>
    </w:pPr>
    <w:rPr>
      <w:rFonts w:ascii="Times New Roman" w:hAnsi="Times New Roman" w:cs="Times New Roman"/>
      <w:sz w:val="24"/>
    </w:rPr>
  </w:style>
  <w:style w:type="paragraph" w:customStyle="1" w:styleId="Datedadoption">
    <w:name w:val="Date d'adoption"/>
    <w:basedOn w:val="Normal00"/>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00"/>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00"/>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00"/>
    <w:next w:val="Normal00"/>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00"/>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00"/>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00"/>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00"/>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00"/>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00"/>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00"/>
    <w:next w:val="Normal00"/>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00"/>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00"/>
    <w:next w:val="Normal00"/>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00"/>
    <w:next w:val="Normal00"/>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00"/>
    <w:next w:val="Normal00"/>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A1628F"/>
    <w:pPr>
      <w:spacing w:before="360" w:after="240" w:line="240" w:lineRule="auto"/>
      <w:jc w:val="center"/>
    </w:pPr>
    <w:rPr>
      <w:rFonts w:ascii="Times New Roman" w:eastAsiaTheme="minorHAnsi" w:hAnsi="Times New Roman" w:cs="Times New Roman"/>
      <w:sz w:val="24"/>
    </w:rPr>
  </w:style>
  <w:style w:type="paragraph" w:customStyle="1" w:styleId="Rfrencecroise">
    <w:name w:val="Référence croisée"/>
    <w:basedOn w:val="Normal00"/>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00"/>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A1628F"/>
    <w:pPr>
      <w:spacing w:after="0"/>
    </w:pPr>
  </w:style>
  <w:style w:type="paragraph" w:customStyle="1" w:styleId="Accompagnant">
    <w:name w:val="Accompagnant"/>
    <w:basedOn w:val="Normal00"/>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00"/>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00"/>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A1628F"/>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A1628F"/>
    <w:pPr>
      <w:spacing w:before="360" w:after="240" w:line="240" w:lineRule="auto"/>
      <w:jc w:val="center"/>
    </w:pPr>
    <w:rPr>
      <w:rFonts w:ascii="Times New Roman" w:eastAsiaTheme="minorHAnsi" w:hAnsi="Times New Roman" w:cs="Times New Roman"/>
      <w:sz w:val="24"/>
    </w:rPr>
  </w:style>
  <w:style w:type="table" w:styleId="TableGrid">
    <w:name w:val="Table Grid"/>
    <w:basedOn w:val="NormalTable00"/>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Subtitle">
    <w:name w:val="Subtitle"/>
    <w:basedOn w:val="Normal00"/>
    <w:next w:val="Normal00"/>
    <w:link w:val="SubtitleChar"/>
    <w:qFormat/>
    <w:pPr>
      <w:keepNext/>
      <w:keepLines/>
      <w:spacing w:before="360" w:after="80"/>
    </w:pPr>
    <w:rPr>
      <w:rFonts w:ascii="Georgia" w:eastAsia="Georgia" w:hAnsi="Georgia" w:cs="Georgia"/>
      <w:i/>
      <w:color w:val="666666"/>
      <w:sz w:val="48"/>
      <w:szCs w:val="48"/>
    </w:rPr>
  </w:style>
  <w:style w:type="table" w:customStyle="1" w:styleId="39">
    <w:name w:val="39"/>
    <w:basedOn w:val="NormalTable00"/>
    <w:tblPr/>
  </w:style>
  <w:style w:type="table" w:customStyle="1" w:styleId="38">
    <w:name w:val="38"/>
    <w:basedOn w:val="NormalTable00"/>
    <w:tblPr/>
  </w:style>
  <w:style w:type="table" w:customStyle="1" w:styleId="37">
    <w:name w:val="37"/>
    <w:basedOn w:val="NormalTable00"/>
    <w:tblPr/>
  </w:style>
  <w:style w:type="table" w:customStyle="1" w:styleId="36">
    <w:name w:val="36"/>
    <w:basedOn w:val="NormalTable00"/>
    <w:tblPr/>
  </w:style>
  <w:style w:type="table" w:customStyle="1" w:styleId="35">
    <w:name w:val="35"/>
    <w:basedOn w:val="NormalTable00"/>
    <w:tblPr/>
  </w:style>
  <w:style w:type="table" w:customStyle="1" w:styleId="34">
    <w:name w:val="34"/>
    <w:basedOn w:val="NormalTable00"/>
    <w:tblPr/>
  </w:style>
  <w:style w:type="table" w:customStyle="1" w:styleId="33">
    <w:name w:val="33"/>
    <w:basedOn w:val="NormalTable00"/>
    <w:tblPr/>
  </w:style>
  <w:style w:type="table" w:customStyle="1" w:styleId="32">
    <w:name w:val="32"/>
    <w:basedOn w:val="NormalTable00"/>
    <w:tblPr/>
  </w:style>
  <w:style w:type="table" w:customStyle="1" w:styleId="31">
    <w:name w:val="31"/>
    <w:basedOn w:val="NormalTable00"/>
    <w:tblPr/>
  </w:style>
  <w:style w:type="table" w:customStyle="1" w:styleId="30">
    <w:name w:val="30"/>
    <w:basedOn w:val="NormalTable00"/>
    <w:tblPr/>
  </w:style>
  <w:style w:type="table" w:customStyle="1" w:styleId="29">
    <w:name w:val="29"/>
    <w:basedOn w:val="NormalTable00"/>
    <w:tblPr/>
  </w:style>
  <w:style w:type="table" w:customStyle="1" w:styleId="28">
    <w:name w:val="28"/>
    <w:basedOn w:val="NormalTable00"/>
    <w:tblPr/>
  </w:style>
  <w:style w:type="table" w:customStyle="1" w:styleId="27">
    <w:name w:val="27"/>
    <w:basedOn w:val="NormalTable00"/>
    <w:tblPr/>
  </w:style>
  <w:style w:type="table" w:customStyle="1" w:styleId="26">
    <w:name w:val="26"/>
    <w:basedOn w:val="NormalTable00"/>
    <w:tblPr/>
  </w:style>
  <w:style w:type="table" w:customStyle="1" w:styleId="25">
    <w:name w:val="25"/>
    <w:basedOn w:val="NormalTable00"/>
    <w:tblPr/>
  </w:style>
  <w:style w:type="table" w:customStyle="1" w:styleId="24">
    <w:name w:val="24"/>
    <w:basedOn w:val="NormalTable00"/>
    <w:tblPr/>
  </w:style>
  <w:style w:type="table" w:customStyle="1" w:styleId="23">
    <w:name w:val="23"/>
    <w:basedOn w:val="NormalTable00"/>
    <w:tblPr/>
  </w:style>
  <w:style w:type="table" w:customStyle="1" w:styleId="22">
    <w:name w:val="22"/>
    <w:basedOn w:val="NormalTable00"/>
    <w:tblPr/>
  </w:style>
  <w:style w:type="table" w:customStyle="1" w:styleId="21">
    <w:name w:val="21"/>
    <w:basedOn w:val="NormalTable00"/>
    <w:tblPr/>
  </w:style>
  <w:style w:type="paragraph" w:customStyle="1" w:styleId="Subtitle0">
    <w:name w:val="Subtitle0"/>
    <w:basedOn w:val="Normal0"/>
    <w:next w:val="Normal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20">
    <w:name w:val="20"/>
    <w:basedOn w:val="NormalTable0"/>
    <w:tblPr/>
  </w:style>
  <w:style w:type="table" w:customStyle="1" w:styleId="19">
    <w:name w:val="19"/>
    <w:basedOn w:val="NormalTable0"/>
    <w:tblPr/>
  </w:style>
  <w:style w:type="table" w:customStyle="1" w:styleId="18">
    <w:name w:val="18"/>
    <w:basedOn w:val="NormalTable0"/>
    <w:tblPr/>
  </w:style>
  <w:style w:type="table" w:customStyle="1" w:styleId="17">
    <w:name w:val="17"/>
    <w:basedOn w:val="NormalTable0"/>
    <w:tblPr/>
  </w:style>
  <w:style w:type="table" w:customStyle="1" w:styleId="16">
    <w:name w:val="16"/>
    <w:basedOn w:val="NormalTable0"/>
    <w:tblPr/>
  </w:style>
  <w:style w:type="table" w:customStyle="1" w:styleId="15">
    <w:name w:val="15"/>
    <w:basedOn w:val="NormalTable0"/>
    <w:tblPr/>
  </w:style>
  <w:style w:type="table" w:customStyle="1" w:styleId="14">
    <w:name w:val="14"/>
    <w:basedOn w:val="NormalTable0"/>
    <w:tblPr/>
  </w:style>
  <w:style w:type="table" w:customStyle="1" w:styleId="13">
    <w:name w:val="13"/>
    <w:basedOn w:val="NormalTable0"/>
    <w:tblPr/>
  </w:style>
  <w:style w:type="table" w:customStyle="1" w:styleId="12">
    <w:name w:val="12"/>
    <w:basedOn w:val="NormalTable0"/>
    <w:tblPr/>
  </w:style>
  <w:style w:type="table" w:customStyle="1" w:styleId="11">
    <w:name w:val="11"/>
    <w:basedOn w:val="NormalTable0"/>
    <w:tblPr/>
  </w:style>
  <w:style w:type="table" w:customStyle="1" w:styleId="10">
    <w:name w:val="10"/>
    <w:basedOn w:val="NormalTable0"/>
    <w:tblPr/>
  </w:style>
  <w:style w:type="table" w:customStyle="1" w:styleId="9">
    <w:name w:val="9"/>
    <w:basedOn w:val="NormalTable0"/>
    <w:tblPr/>
  </w:style>
  <w:style w:type="table" w:customStyle="1" w:styleId="8">
    <w:name w:val="8"/>
    <w:basedOn w:val="NormalTable0"/>
    <w:tblPr/>
  </w:style>
  <w:style w:type="table" w:customStyle="1" w:styleId="7">
    <w:name w:val="7"/>
    <w:basedOn w:val="NormalTable0"/>
    <w:tblPr/>
  </w:style>
  <w:style w:type="table" w:customStyle="1" w:styleId="6">
    <w:name w:val="6"/>
    <w:basedOn w:val="NormalTable0"/>
    <w:tblPr/>
  </w:style>
  <w:style w:type="table" w:customStyle="1" w:styleId="5">
    <w:name w:val="5"/>
    <w:basedOn w:val="NormalTable0"/>
    <w:tblPr/>
  </w:style>
  <w:style w:type="table" w:customStyle="1" w:styleId="4">
    <w:name w:val="4"/>
    <w:basedOn w:val="NormalTable0"/>
    <w:tblPr/>
  </w:style>
  <w:style w:type="table" w:customStyle="1" w:styleId="3">
    <w:name w:val="3"/>
    <w:basedOn w:val="NormalTable0"/>
    <w:tblPr/>
  </w:style>
  <w:style w:type="table" w:customStyle="1" w:styleId="1">
    <w:name w:val="1"/>
    <w:basedOn w:val="NormalTable0"/>
    <w:tblPr/>
  </w:style>
  <w:style w:type="character" w:customStyle="1" w:styleId="FootnoteCharacters">
    <w:name w:val="Footnote Characters"/>
    <w:rsid w:val="00C612C5"/>
    <w:rPr>
      <w:vertAlign w:val="superscript"/>
    </w:rPr>
  </w:style>
  <w:style w:type="character" w:customStyle="1" w:styleId="WW8Num2z0">
    <w:name w:val="WW8Num2z0"/>
    <w:rsid w:val="00463240"/>
    <w:rPr>
      <w:rFonts w:ascii="Wingdings" w:hAnsi="Wingdings" w:cs="Wingdings"/>
    </w:rPr>
  </w:style>
  <w:style w:type="character" w:customStyle="1" w:styleId="WW8Num1z1">
    <w:name w:val="WW8Num1z1"/>
    <w:rsid w:val="00D33DF2"/>
    <w:rPr>
      <w:rFonts w:ascii="Courier New" w:hAnsi="Courier New" w:cs="Courier New"/>
    </w:rPr>
  </w:style>
  <w:style w:type="character" w:customStyle="1" w:styleId="Mention2">
    <w:name w:val="Mention2"/>
    <w:basedOn w:val="DefaultParagraphFont"/>
    <w:uiPriority w:val="99"/>
    <w:unhideWhenUsed/>
    <w:rPr>
      <w:color w:val="2B579A"/>
      <w:shd w:val="clear" w:color="auto" w:fill="E6E6E6"/>
    </w:rPr>
  </w:style>
  <w:style w:type="paragraph" w:customStyle="1" w:styleId="paragraph">
    <w:name w:val="paragraph"/>
    <w:basedOn w:val="Normal"/>
    <w:rsid w:val="00D23F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23F6C"/>
  </w:style>
  <w:style w:type="character" w:customStyle="1" w:styleId="scxw147420095">
    <w:name w:val="scxw147420095"/>
    <w:basedOn w:val="DefaultParagraphFont"/>
    <w:rsid w:val="00D23F6C"/>
  </w:style>
  <w:style w:type="character" w:customStyle="1" w:styleId="eop">
    <w:name w:val="eop"/>
    <w:basedOn w:val="DefaultParagraphFont"/>
    <w:rsid w:val="00D23F6C"/>
  </w:style>
  <w:style w:type="character" w:customStyle="1" w:styleId="scxw52418636">
    <w:name w:val="scxw52418636"/>
    <w:basedOn w:val="DefaultParagraphFont"/>
    <w:rsid w:val="00D23F6C"/>
  </w:style>
  <w:style w:type="character" w:customStyle="1" w:styleId="scxw256459143">
    <w:name w:val="scxw256459143"/>
    <w:basedOn w:val="DefaultParagraphFont"/>
    <w:rsid w:val="00D23F6C"/>
  </w:style>
  <w:style w:type="paragraph" w:customStyle="1" w:styleId="TechnicalBlock">
    <w:name w:val="Technical Block"/>
    <w:basedOn w:val="Normal"/>
    <w:link w:val="TechnicalBlockChar"/>
    <w:rsid w:val="00A96869"/>
    <w:pPr>
      <w:spacing w:after="240" w:line="240" w:lineRule="auto"/>
      <w:jc w:val="center"/>
    </w:pPr>
  </w:style>
  <w:style w:type="character" w:customStyle="1" w:styleId="TechnicalBlockChar">
    <w:name w:val="Technical Block Char"/>
    <w:basedOn w:val="DefaultParagraphFont"/>
    <w:link w:val="TechnicalBlock"/>
    <w:rsid w:val="00A96869"/>
  </w:style>
  <w:style w:type="paragraph" w:customStyle="1" w:styleId="EntText">
    <w:name w:val="EntText"/>
    <w:basedOn w:val="Normal"/>
    <w:rsid w:val="007A34BF"/>
    <w:pPr>
      <w:spacing w:before="120" w:after="120" w:line="360" w:lineRule="auto"/>
    </w:pPr>
    <w:rPr>
      <w:rFonts w:ascii="Times New Roman" w:eastAsiaTheme="minorHAnsi" w:hAnsi="Times New Roman" w:cs="Times New Roman"/>
      <w:sz w:val="24"/>
    </w:rPr>
  </w:style>
  <w:style w:type="paragraph" w:customStyle="1" w:styleId="Lignefinal">
    <w:name w:val="Ligne final"/>
    <w:basedOn w:val="Normal"/>
    <w:next w:val="Normal"/>
    <w:rsid w:val="007A34BF"/>
    <w:pPr>
      <w:pBdr>
        <w:bottom w:val="single" w:sz="4" w:space="0" w:color="000000"/>
      </w:pBdr>
      <w:spacing w:before="360" w:after="120" w:line="360" w:lineRule="auto"/>
      <w:ind w:left="3400" w:right="3400"/>
      <w:jc w:val="center"/>
    </w:pPr>
    <w:rPr>
      <w:rFonts w:ascii="Times New Roman" w:eastAsiaTheme="minorHAnsi" w:hAnsi="Times New Roman" w:cs="Times New Roman"/>
      <w:b/>
      <w:sz w:val="24"/>
    </w:rPr>
  </w:style>
  <w:style w:type="paragraph" w:customStyle="1" w:styleId="pj">
    <w:name w:val="p.j."/>
    <w:basedOn w:val="Normal"/>
    <w:link w:val="pjChar"/>
    <w:rsid w:val="00A96869"/>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A96869"/>
    <w:rPr>
      <w:rFonts w:ascii="Times New Roman" w:hAnsi="Times New Roman" w:cs="Times New Roman"/>
      <w:sz w:val="24"/>
    </w:rPr>
  </w:style>
  <w:style w:type="paragraph" w:customStyle="1" w:styleId="nbbordered">
    <w:name w:val="nb bordered"/>
    <w:basedOn w:val="Normal"/>
    <w:link w:val="nbborderedChar"/>
    <w:rsid w:val="00A96869"/>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A96869"/>
    <w:rPr>
      <w:rFonts w:ascii="Times New Roman" w:hAnsi="Times New Roman" w:cs="Times New Roman"/>
      <w:b/>
      <w:sz w:val="24"/>
    </w:rPr>
  </w:style>
  <w:style w:type="paragraph" w:customStyle="1" w:styleId="HeaderCouncil">
    <w:name w:val="Header Council"/>
    <w:basedOn w:val="Normal"/>
    <w:link w:val="HeaderCouncilChar"/>
    <w:rsid w:val="00A1628F"/>
    <w:pPr>
      <w:spacing w:after="0"/>
    </w:pPr>
    <w:rPr>
      <w:rFonts w:ascii="Times New Roman" w:hAnsi="Times New Roman"/>
      <w:sz w:val="2"/>
    </w:rPr>
  </w:style>
  <w:style w:type="character" w:customStyle="1" w:styleId="HeaderCouncilChar">
    <w:name w:val="Header Council Char"/>
    <w:basedOn w:val="DefaultParagraphFont"/>
    <w:link w:val="HeaderCouncil"/>
    <w:rsid w:val="00A96869"/>
    <w:rPr>
      <w:rFonts w:ascii="Times New Roman" w:hAnsi="Times New Roman"/>
      <w:sz w:val="2"/>
    </w:rPr>
  </w:style>
  <w:style w:type="paragraph" w:customStyle="1" w:styleId="HeaderCouncilLarge">
    <w:name w:val="Header Council Large"/>
    <w:basedOn w:val="Normal"/>
    <w:link w:val="HeaderCouncilLargeChar"/>
    <w:rsid w:val="00A1628F"/>
    <w:pPr>
      <w:spacing w:after="440"/>
    </w:pPr>
    <w:rPr>
      <w:rFonts w:ascii="Times New Roman" w:hAnsi="Times New Roman"/>
      <w:sz w:val="2"/>
    </w:rPr>
  </w:style>
  <w:style w:type="character" w:customStyle="1" w:styleId="HeaderCouncilLargeChar">
    <w:name w:val="Header Council Large Char"/>
    <w:basedOn w:val="DefaultParagraphFont"/>
    <w:link w:val="HeaderCouncilLarge"/>
    <w:rsid w:val="00A96869"/>
    <w:rPr>
      <w:rFonts w:ascii="Times New Roman" w:hAnsi="Times New Roman"/>
      <w:sz w:val="2"/>
    </w:rPr>
  </w:style>
  <w:style w:type="paragraph" w:customStyle="1" w:styleId="FooterCouncil">
    <w:name w:val="Footer Council"/>
    <w:basedOn w:val="Normal"/>
    <w:link w:val="FooterCouncilChar"/>
    <w:rsid w:val="00A1628F"/>
    <w:pPr>
      <w:spacing w:after="0"/>
    </w:pPr>
    <w:rPr>
      <w:rFonts w:ascii="Times New Roman" w:hAnsi="Times New Roman"/>
      <w:sz w:val="2"/>
    </w:rPr>
  </w:style>
  <w:style w:type="character" w:customStyle="1" w:styleId="FooterCouncilChar">
    <w:name w:val="Footer Council Char"/>
    <w:basedOn w:val="DefaultParagraphFont"/>
    <w:link w:val="FooterCouncil"/>
    <w:rsid w:val="00A96869"/>
    <w:rPr>
      <w:rFonts w:ascii="Times New Roman" w:hAnsi="Times New Roman"/>
      <w:sz w:val="2"/>
    </w:rPr>
  </w:style>
  <w:style w:type="paragraph" w:customStyle="1" w:styleId="FooterText">
    <w:name w:val="Footer Text"/>
    <w:basedOn w:val="Normal"/>
    <w:rsid w:val="00A1628F"/>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96869"/>
    <w:rPr>
      <w:color w:val="808080"/>
    </w:rPr>
  </w:style>
  <w:style w:type="paragraph" w:customStyle="1" w:styleId="P68B1DB1-Normalny54">
    <w:name w:val="P68B1DB1-Normalny54"/>
    <w:basedOn w:val="Normal"/>
    <w:uiPriority w:val="1"/>
    <w:rsid w:val="1C567393"/>
    <w:pPr>
      <w:spacing w:after="160"/>
      <w:jc w:val="both"/>
    </w:pPr>
    <w:rPr>
      <w:rFonts w:ascii="Times New Roman" w:eastAsia="Times New Roman" w:hAnsi="Times New Roman" w:cs="Times New Roman"/>
      <w:color w:val="FF0000"/>
    </w:rPr>
  </w:style>
  <w:style w:type="paragraph" w:customStyle="1" w:styleId="P68B1DB1-Normalny51">
    <w:name w:val="P68B1DB1-Normalny51"/>
    <w:basedOn w:val="Normal"/>
    <w:uiPriority w:val="1"/>
    <w:rsid w:val="1C567393"/>
    <w:pPr>
      <w:spacing w:after="160"/>
      <w:jc w:val="both"/>
    </w:pPr>
    <w:rPr>
      <w:rFonts w:ascii="Times New Roman" w:eastAsia="Times New Roman" w:hAnsi="Times New Roman" w:cs="Times New Roman"/>
    </w:rPr>
  </w:style>
  <w:style w:type="character" w:customStyle="1" w:styleId="Mention3">
    <w:name w:val="Mention3"/>
    <w:basedOn w:val="DefaultParagraphFont"/>
    <w:uiPriority w:val="99"/>
    <w:unhideWhenUsed/>
    <w:rsid w:val="002912C0"/>
    <w:rPr>
      <w:color w:val="2B579A"/>
      <w:shd w:val="clear" w:color="auto" w:fill="E1DFDD"/>
    </w:rPr>
  </w:style>
  <w:style w:type="character" w:customStyle="1" w:styleId="superscript">
    <w:name w:val="superscript"/>
    <w:basedOn w:val="DefaultParagraphFont"/>
    <w:rsid w:val="00394B30"/>
  </w:style>
  <w:style w:type="paragraph" w:customStyle="1" w:styleId="LegalNumPar">
    <w:name w:val="LegalNumPar"/>
    <w:basedOn w:val="Normal"/>
    <w:rsid w:val="00597EF0"/>
    <w:pPr>
      <w:numPr>
        <w:numId w:val="1"/>
      </w:numPr>
      <w:spacing w:line="360" w:lineRule="auto"/>
    </w:pPr>
    <w:rPr>
      <w:sz w:val="24"/>
    </w:rPr>
  </w:style>
  <w:style w:type="paragraph" w:customStyle="1" w:styleId="LegalNumPar2">
    <w:name w:val="LegalNumPar2"/>
    <w:basedOn w:val="Normal"/>
    <w:rsid w:val="00597EF0"/>
    <w:pPr>
      <w:numPr>
        <w:ilvl w:val="1"/>
        <w:numId w:val="1"/>
      </w:numPr>
      <w:spacing w:line="360" w:lineRule="auto"/>
    </w:pPr>
    <w:rPr>
      <w:sz w:val="24"/>
    </w:rPr>
  </w:style>
  <w:style w:type="paragraph" w:customStyle="1" w:styleId="LegalNumPar3">
    <w:name w:val="LegalNumPar3"/>
    <w:basedOn w:val="Normal"/>
    <w:rsid w:val="00597EF0"/>
    <w:pPr>
      <w:numPr>
        <w:ilvl w:val="2"/>
        <w:numId w:val="1"/>
      </w:numPr>
      <w:spacing w:line="360" w:lineRule="auto"/>
    </w:pPr>
    <w:rPr>
      <w:sz w:val="24"/>
    </w:rPr>
  </w:style>
  <w:style w:type="paragraph" w:styleId="NormalWeb">
    <w:name w:val="Normal (Web)"/>
    <w:basedOn w:val="Normal"/>
    <w:uiPriority w:val="99"/>
    <w:semiHidden/>
    <w:unhideWhenUsed/>
    <w:rsid w:val="001C6B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2F6D90"/>
  </w:style>
  <w:style w:type="paragraph" w:customStyle="1" w:styleId="P68B1DB1-Normal7">
    <w:name w:val="P68B1DB1-Normal7"/>
    <w:basedOn w:val="Normal"/>
    <w:uiPriority w:val="1"/>
    <w:rsid w:val="00B658E3"/>
    <w:pPr>
      <w:spacing w:after="160"/>
      <w:jc w:val="both"/>
    </w:pPr>
    <w:rPr>
      <w:rFonts w:ascii="Times New Roman" w:hAnsi="Times New Roman" w:cs="Times New Roman"/>
      <w:color w:val="202124"/>
      <w:sz w:val="24"/>
      <w:szCs w:val="24"/>
    </w:rPr>
  </w:style>
  <w:style w:type="paragraph" w:customStyle="1" w:styleId="P68B1DB1-Normal6">
    <w:name w:val="P68B1DB1-Normal6"/>
    <w:basedOn w:val="Normal"/>
    <w:uiPriority w:val="1"/>
    <w:rsid w:val="00B658E3"/>
    <w:pPr>
      <w:spacing w:after="160"/>
      <w:jc w:val="both"/>
    </w:pPr>
    <w:rPr>
      <w:rFonts w:ascii="Times New Roman" w:hAnsi="Times New Roman" w:cs="Times New Roman"/>
      <w:sz w:val="24"/>
      <w:szCs w:val="24"/>
    </w:rPr>
  </w:style>
  <w:style w:type="paragraph" w:customStyle="1" w:styleId="P68B1DB1-Normal8">
    <w:name w:val="P68B1DB1-Normal8"/>
    <w:basedOn w:val="Normal"/>
    <w:uiPriority w:val="1"/>
    <w:rsid w:val="00B658E3"/>
    <w:pPr>
      <w:spacing w:after="160"/>
      <w:jc w:val="both"/>
    </w:pPr>
    <w:rPr>
      <w:rFonts w:ascii="Times New Roman" w:hAnsi="Times New Roman" w:cs="Times New Roman"/>
      <w:color w:val="FF0000"/>
      <w:sz w:val="24"/>
      <w:szCs w:val="24"/>
    </w:rPr>
  </w:style>
  <w:style w:type="character" w:customStyle="1" w:styleId="Mention4">
    <w:name w:val="Mention4"/>
    <w:basedOn w:val="DefaultParagraphFont"/>
    <w:uiPriority w:val="99"/>
    <w:unhideWhenUsed/>
    <w:rPr>
      <w:color w:val="2B579A"/>
      <w:shd w:val="clear" w:color="auto" w:fill="E6E6E6"/>
    </w:rPr>
  </w:style>
  <w:style w:type="paragraph" w:customStyle="1" w:styleId="P68B1DB1-Normal12">
    <w:name w:val="P68B1DB1-Normal12"/>
    <w:basedOn w:val="Normal"/>
    <w:uiPriority w:val="1"/>
    <w:rsid w:val="521FCB43"/>
    <w:pPr>
      <w:spacing w:after="160"/>
      <w:jc w:val="both"/>
    </w:pPr>
    <w:rPr>
      <w:rFonts w:ascii="Times New Roman" w:eastAsia="Times New Roman" w:hAnsi="Times New Roman" w:cs="Times New Roman"/>
      <w:color w:val="FF0000"/>
      <w:sz w:val="24"/>
      <w:szCs w:val="24"/>
    </w:rPr>
  </w:style>
  <w:style w:type="paragraph" w:customStyle="1" w:styleId="P68B1DB1-Bezodstpw9">
    <w:name w:val="P68B1DB1-Bezodstpw9"/>
    <w:basedOn w:val="Normal"/>
    <w:uiPriority w:val="1"/>
    <w:rsid w:val="008E2D61"/>
    <w:pPr>
      <w:spacing w:after="0"/>
    </w:pPr>
  </w:style>
  <w:style w:type="paragraph" w:styleId="NoSpacing">
    <w:name w:val="No Spacing"/>
    <w:uiPriority w:val="1"/>
    <w:qFormat/>
    <w:rsid w:val="004226AB"/>
    <w:pPr>
      <w:spacing w:after="0" w:line="240" w:lineRule="auto"/>
    </w:pPr>
  </w:style>
  <w:style w:type="character" w:customStyle="1" w:styleId="UnresolvedMention1">
    <w:name w:val="Unresolved Mention1"/>
    <w:basedOn w:val="DefaultParagraphFont"/>
    <w:uiPriority w:val="99"/>
    <w:semiHidden/>
    <w:unhideWhenUsed/>
    <w:rsid w:val="00775AD6"/>
    <w:rPr>
      <w:color w:val="605E5C"/>
      <w:shd w:val="clear" w:color="auto" w:fill="E1DFDD"/>
    </w:rPr>
  </w:style>
  <w:style w:type="paragraph" w:customStyle="1" w:styleId="Default">
    <w:name w:val="Default"/>
    <w:rsid w:val="0061688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f01">
    <w:name w:val="cf01"/>
    <w:basedOn w:val="DefaultParagraphFont"/>
    <w:rsid w:val="00305C68"/>
    <w:rPr>
      <w:rFonts w:ascii="Segoe UI" w:hAnsi="Segoe UI" w:cs="Segoe UI" w:hint="default"/>
      <w:sz w:val="18"/>
      <w:szCs w:val="18"/>
    </w:rPr>
  </w:style>
  <w:style w:type="paragraph" w:customStyle="1" w:styleId="footnotedescription">
    <w:name w:val="footnote description"/>
    <w:next w:val="Normal"/>
    <w:link w:val="footnotedescriptionChar"/>
    <w:hidden/>
    <w:rsid w:val="00F26353"/>
    <w:pPr>
      <w:spacing w:after="0" w:line="246" w:lineRule="auto"/>
      <w:ind w:right="3"/>
      <w:jc w:val="both"/>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F26353"/>
    <w:rPr>
      <w:rFonts w:ascii="Times New Roman" w:eastAsia="Times New Roman" w:hAnsi="Times New Roman" w:cs="Times New Roman"/>
      <w:color w:val="000000"/>
      <w:kern w:val="2"/>
      <w:sz w:val="18"/>
    </w:rPr>
  </w:style>
  <w:style w:type="character" w:customStyle="1" w:styleId="footnotemark">
    <w:name w:val="footnote mark"/>
    <w:hidden/>
    <w:rsid w:val="00F26353"/>
    <w:rPr>
      <w:rFonts w:ascii="Times New Roman" w:eastAsia="Times New Roman" w:hAnsi="Times New Roman" w:cs="Times New Roman"/>
      <w:color w:val="000000"/>
      <w:sz w:val="18"/>
      <w:vertAlign w:val="superscript"/>
    </w:rPr>
  </w:style>
  <w:style w:type="table" w:customStyle="1" w:styleId="TableGrid0">
    <w:name w:val="TableGrid"/>
    <w:rsid w:val="00F26353"/>
    <w:pPr>
      <w:spacing w:after="0" w:line="240" w:lineRule="auto"/>
    </w:pPr>
    <w:rPr>
      <w:rFonts w:asciiTheme="minorHAnsi" w:eastAsiaTheme="minorEastAsia" w:hAnsiTheme="minorHAnsi" w:cstheme="minorBidi"/>
      <w:kern w:val="2"/>
    </w:rPr>
    <w:tblPr>
      <w:tblCellMar>
        <w:top w:w="0" w:type="dxa"/>
        <w:left w:w="0" w:type="dxa"/>
        <w:bottom w:w="0" w:type="dxa"/>
        <w:right w:w="0" w:type="dxa"/>
      </w:tblCellMar>
    </w:tblPr>
  </w:style>
  <w:style w:type="character" w:customStyle="1" w:styleId="findhit">
    <w:name w:val="findhit"/>
    <w:basedOn w:val="DefaultParagraphFont"/>
    <w:rsid w:val="00CD7E10"/>
  </w:style>
  <w:style w:type="character" w:customStyle="1" w:styleId="Mention5">
    <w:name w:val="Mention5"/>
    <w:basedOn w:val="DefaultParagraphFont"/>
    <w:uiPriority w:val="99"/>
    <w:unhideWhenUsed/>
    <w:rsid w:val="00046683"/>
    <w:rPr>
      <w:color w:val="2B579A"/>
      <w:shd w:val="clear" w:color="auto" w:fill="E1DFDD"/>
    </w:rPr>
  </w:style>
  <w:style w:type="character" w:customStyle="1" w:styleId="UnresolvedMention2">
    <w:name w:val="Unresolved Mention2"/>
    <w:basedOn w:val="DefaultParagraphFont"/>
    <w:uiPriority w:val="99"/>
    <w:semiHidden/>
    <w:unhideWhenUsed/>
    <w:rsid w:val="006105BE"/>
    <w:rPr>
      <w:color w:val="605E5C"/>
      <w:shd w:val="clear" w:color="auto" w:fill="E1DFDD"/>
    </w:rPr>
  </w:style>
  <w:style w:type="paragraph" w:customStyle="1" w:styleId="P68B1DB1-Normalny2">
    <w:name w:val="P68B1DB1-Normalny2"/>
    <w:basedOn w:val="Normal"/>
    <w:rsid w:val="00953653"/>
    <w:pPr>
      <w:spacing w:after="160" w:line="257" w:lineRule="auto"/>
      <w:jc w:val="both"/>
    </w:pPr>
    <w:rPr>
      <w:rFonts w:ascii="Times New Roman" w:eastAsia="Times New Roman" w:hAnsi="Times New Roman" w:cs="Times New Roman"/>
    </w:rPr>
  </w:style>
  <w:style w:type="numbering" w:customStyle="1" w:styleId="NoList2">
    <w:name w:val="No List2"/>
    <w:next w:val="NoList"/>
    <w:uiPriority w:val="99"/>
    <w:semiHidden/>
    <w:unhideWhenUsed/>
    <w:rsid w:val="00FC738E"/>
  </w:style>
  <w:style w:type="paragraph" w:customStyle="1" w:styleId="msonormal0">
    <w:name w:val="msonormal"/>
    <w:basedOn w:val="Normal"/>
    <w:rsid w:val="00FC73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FC738E"/>
  </w:style>
  <w:style w:type="character" w:customStyle="1" w:styleId="pagebreakblob">
    <w:name w:val="pagebreakblob"/>
    <w:basedOn w:val="DefaultParagraphFont"/>
    <w:rsid w:val="00FC738E"/>
  </w:style>
  <w:style w:type="character" w:customStyle="1" w:styleId="pagebreaktextspan">
    <w:name w:val="pagebreaktextspan"/>
    <w:basedOn w:val="DefaultParagraphFont"/>
    <w:rsid w:val="00FC738E"/>
  </w:style>
  <w:style w:type="character" w:customStyle="1" w:styleId="pagebreakborderspan">
    <w:name w:val="pagebreakborderspan"/>
    <w:basedOn w:val="DefaultParagraphFont"/>
    <w:rsid w:val="00FC738E"/>
  </w:style>
  <w:style w:type="character" w:customStyle="1" w:styleId="trackchangetextdeletionmarker">
    <w:name w:val="trackchangetextdeletionmarker"/>
    <w:basedOn w:val="DefaultParagraphFont"/>
    <w:rsid w:val="00FC738E"/>
  </w:style>
  <w:style w:type="character" w:customStyle="1" w:styleId="trackchangetextinsertion">
    <w:name w:val="trackchangetextinsertion"/>
    <w:basedOn w:val="DefaultParagraphFont"/>
    <w:rsid w:val="00FC738E"/>
  </w:style>
  <w:style w:type="character" w:customStyle="1" w:styleId="trackedchange">
    <w:name w:val="trackedchange"/>
    <w:basedOn w:val="DefaultParagraphFont"/>
    <w:rsid w:val="00FC738E"/>
  </w:style>
  <w:style w:type="paragraph" w:customStyle="1" w:styleId="outlineelement">
    <w:name w:val="outlineelement"/>
    <w:basedOn w:val="Normal"/>
    <w:rsid w:val="00FC73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ebreakblob">
    <w:name w:val="linebreakblob"/>
    <w:basedOn w:val="DefaultParagraphFont"/>
    <w:rsid w:val="00FC738E"/>
  </w:style>
  <w:style w:type="character" w:customStyle="1" w:styleId="scxw139030638">
    <w:name w:val="scxw139030638"/>
    <w:basedOn w:val="DefaultParagraphFont"/>
    <w:rsid w:val="00FC738E"/>
  </w:style>
  <w:style w:type="character" w:customStyle="1" w:styleId="Mention6">
    <w:name w:val="Mention6"/>
    <w:basedOn w:val="DefaultParagraphFont"/>
    <w:uiPriority w:val="99"/>
    <w:unhideWhenUsed/>
    <w:rsid w:val="003C076B"/>
    <w:rPr>
      <w:color w:val="2B579A"/>
      <w:shd w:val="clear" w:color="auto" w:fill="E1DFDD"/>
    </w:rPr>
  </w:style>
  <w:style w:type="character" w:customStyle="1" w:styleId="UnresolvedMention3">
    <w:name w:val="Unresolved Mention3"/>
    <w:basedOn w:val="DefaultParagraphFont"/>
    <w:uiPriority w:val="99"/>
    <w:semiHidden/>
    <w:unhideWhenUsed/>
    <w:rsid w:val="0046630C"/>
    <w:rPr>
      <w:color w:val="605E5C"/>
      <w:shd w:val="clear" w:color="auto" w:fill="E1DFDD"/>
    </w:rPr>
  </w:style>
  <w:style w:type="character" w:customStyle="1" w:styleId="tabchar">
    <w:name w:val="tabchar"/>
    <w:basedOn w:val="DefaultParagraphFont"/>
    <w:rsid w:val="004746D5"/>
  </w:style>
  <w:style w:type="character" w:customStyle="1" w:styleId="scxw242372666">
    <w:name w:val="scxw242372666"/>
    <w:basedOn w:val="DefaultParagraphFont"/>
    <w:rsid w:val="004746D5"/>
  </w:style>
  <w:style w:type="character" w:customStyle="1" w:styleId="Heading7Char">
    <w:name w:val="Heading 7 Char"/>
    <w:basedOn w:val="DefaultParagraphFont"/>
    <w:link w:val="Heading7"/>
    <w:uiPriority w:val="9"/>
    <w:semiHidden/>
    <w:rsid w:val="00714E6D"/>
    <w:rPr>
      <w:rFonts w:asciiTheme="minorHAnsi" w:eastAsiaTheme="majorEastAsia" w:hAnsiTheme="minorHAnsi" w:cstheme="majorBidi"/>
      <w:color w:val="595959" w:themeColor="text1" w:themeTint="A6"/>
      <w:kern w:val="2"/>
      <w:sz w:val="24"/>
      <w:szCs w:val="24"/>
    </w:rPr>
  </w:style>
  <w:style w:type="character" w:customStyle="1" w:styleId="Heading8Char">
    <w:name w:val="Heading 8 Char"/>
    <w:basedOn w:val="DefaultParagraphFont"/>
    <w:link w:val="Heading8"/>
    <w:uiPriority w:val="9"/>
    <w:semiHidden/>
    <w:rsid w:val="00714E6D"/>
    <w:rPr>
      <w:rFonts w:asciiTheme="minorHAnsi" w:eastAsiaTheme="majorEastAsia" w:hAnsiTheme="minorHAnsi" w:cstheme="majorBidi"/>
      <w:i/>
      <w:iCs/>
      <w:color w:val="272727" w:themeColor="text1" w:themeTint="D8"/>
      <w:kern w:val="2"/>
      <w:sz w:val="24"/>
      <w:szCs w:val="24"/>
    </w:rPr>
  </w:style>
  <w:style w:type="character" w:customStyle="1" w:styleId="Heading9Char">
    <w:name w:val="Heading 9 Char"/>
    <w:basedOn w:val="DefaultParagraphFont"/>
    <w:link w:val="Heading9"/>
    <w:uiPriority w:val="9"/>
    <w:semiHidden/>
    <w:rsid w:val="00714E6D"/>
    <w:rPr>
      <w:rFonts w:asciiTheme="minorHAnsi" w:eastAsiaTheme="majorEastAsia" w:hAnsiTheme="minorHAnsi" w:cstheme="majorBidi"/>
      <w:color w:val="272727" w:themeColor="text1" w:themeTint="D8"/>
      <w:kern w:val="2"/>
      <w:sz w:val="24"/>
      <w:szCs w:val="24"/>
    </w:rPr>
  </w:style>
  <w:style w:type="character" w:customStyle="1" w:styleId="Heading5Char">
    <w:name w:val="Heading 5 Char"/>
    <w:basedOn w:val="DefaultParagraphFont"/>
    <w:link w:val="Heading5"/>
    <w:rsid w:val="00714E6D"/>
    <w:rPr>
      <w:b/>
    </w:rPr>
  </w:style>
  <w:style w:type="character" w:customStyle="1" w:styleId="Heading6Char">
    <w:name w:val="Heading 6 Char"/>
    <w:basedOn w:val="DefaultParagraphFont"/>
    <w:link w:val="Heading6"/>
    <w:rsid w:val="00714E6D"/>
    <w:rPr>
      <w:b/>
      <w:sz w:val="20"/>
      <w:szCs w:val="20"/>
    </w:rPr>
  </w:style>
  <w:style w:type="character" w:customStyle="1" w:styleId="TitleChar">
    <w:name w:val="Title Char"/>
    <w:basedOn w:val="DefaultParagraphFont"/>
    <w:link w:val="Title"/>
    <w:rsid w:val="00714E6D"/>
    <w:rPr>
      <w:b/>
      <w:sz w:val="72"/>
      <w:szCs w:val="72"/>
    </w:rPr>
  </w:style>
  <w:style w:type="character" w:customStyle="1" w:styleId="SubtitleChar">
    <w:name w:val="Subtitle Char"/>
    <w:basedOn w:val="DefaultParagraphFont"/>
    <w:link w:val="Subtitle"/>
    <w:rsid w:val="00714E6D"/>
    <w:rPr>
      <w:rFonts w:ascii="Georgia" w:eastAsia="Georgia" w:hAnsi="Georgia" w:cs="Georgia"/>
      <w:i/>
      <w:color w:val="666666"/>
      <w:sz w:val="48"/>
      <w:szCs w:val="48"/>
    </w:rPr>
  </w:style>
  <w:style w:type="paragraph" w:styleId="Quote">
    <w:name w:val="Quote"/>
    <w:basedOn w:val="Normal"/>
    <w:next w:val="Normal"/>
    <w:link w:val="QuoteChar"/>
    <w:uiPriority w:val="29"/>
    <w:qFormat/>
    <w:rsid w:val="00714E6D"/>
    <w:pPr>
      <w:spacing w:before="160" w:after="160" w:line="278" w:lineRule="auto"/>
      <w:jc w:val="center"/>
    </w:pPr>
    <w:rPr>
      <w:rFonts w:asciiTheme="minorHAnsi" w:eastAsia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714E6D"/>
    <w:rPr>
      <w:rFonts w:asciiTheme="minorHAnsi" w:eastAsiaTheme="minorHAnsi" w:hAnsiTheme="minorHAnsi" w:cstheme="minorBidi"/>
      <w:i/>
      <w:iCs/>
      <w:color w:val="404040" w:themeColor="text1" w:themeTint="BF"/>
      <w:kern w:val="2"/>
      <w:sz w:val="24"/>
      <w:szCs w:val="24"/>
    </w:rPr>
  </w:style>
  <w:style w:type="paragraph" w:styleId="IntenseQuote">
    <w:name w:val="Intense Quote"/>
    <w:basedOn w:val="Normal"/>
    <w:next w:val="Normal"/>
    <w:link w:val="IntenseQuoteChar"/>
    <w:uiPriority w:val="30"/>
    <w:qFormat/>
    <w:rsid w:val="00714E6D"/>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rPr>
  </w:style>
  <w:style w:type="character" w:customStyle="1" w:styleId="IntenseQuoteChar">
    <w:name w:val="Intense Quote Char"/>
    <w:basedOn w:val="DefaultParagraphFont"/>
    <w:link w:val="IntenseQuote"/>
    <w:uiPriority w:val="30"/>
    <w:rsid w:val="00714E6D"/>
    <w:rPr>
      <w:rFonts w:asciiTheme="minorHAnsi" w:eastAsiaTheme="minorHAnsi" w:hAnsiTheme="minorHAnsi" w:cstheme="minorBidi"/>
      <w:i/>
      <w:iCs/>
      <w:color w:val="365F91" w:themeColor="accent1" w:themeShade="BF"/>
      <w:kern w:val="2"/>
      <w:sz w:val="24"/>
      <w:szCs w:val="24"/>
    </w:rPr>
  </w:style>
  <w:style w:type="character" w:styleId="IntenseReference">
    <w:name w:val="Intense Reference"/>
    <w:basedOn w:val="DefaultParagraphFont"/>
    <w:uiPriority w:val="32"/>
    <w:qFormat/>
    <w:rsid w:val="00714E6D"/>
    <w:rPr>
      <w:b/>
      <w:bCs/>
      <w:smallCaps/>
      <w:color w:val="365F91" w:themeColor="accent1" w:themeShade="BF"/>
    </w:rPr>
  </w:style>
  <w:style w:type="numbering" w:customStyle="1" w:styleId="NoList11">
    <w:name w:val="No List11"/>
    <w:next w:val="NoList"/>
    <w:uiPriority w:val="99"/>
    <w:semiHidden/>
    <w:unhideWhenUsed/>
    <w:rsid w:val="00714E6D"/>
  </w:style>
  <w:style w:type="paragraph" w:customStyle="1" w:styleId="Caption1">
    <w:name w:val="Caption1"/>
    <w:basedOn w:val="Normal00"/>
    <w:next w:val="Normal00"/>
    <w:uiPriority w:val="35"/>
    <w:semiHidden/>
    <w:unhideWhenUsed/>
    <w:qFormat/>
    <w:rsid w:val="00714E6D"/>
    <w:pPr>
      <w:spacing w:line="240" w:lineRule="auto"/>
      <w:jc w:val="both"/>
    </w:pPr>
    <w:rPr>
      <w:rFonts w:ascii="Times New Roman" w:hAnsi="Times New Roman" w:cs="Times New Roman"/>
      <w:i/>
      <w:iCs/>
      <w:color w:val="1F497D"/>
      <w:sz w:val="18"/>
      <w:szCs w:val="18"/>
    </w:rPr>
  </w:style>
  <w:style w:type="character" w:customStyle="1" w:styleId="Hyperlink1">
    <w:name w:val="Hyperlink1"/>
    <w:basedOn w:val="DefaultParagraphFont"/>
    <w:uiPriority w:val="99"/>
    <w:unhideWhenUsed/>
    <w:rsid w:val="00714E6D"/>
    <w:rPr>
      <w:color w:val="0000FF"/>
      <w:u w:val="single"/>
    </w:rPr>
  </w:style>
  <w:style w:type="table" w:customStyle="1" w:styleId="TableGrid1">
    <w:name w:val="Table Grid1"/>
    <w:basedOn w:val="NormalTable00"/>
    <w:next w:val="TableGrid"/>
    <w:uiPriority w:val="59"/>
    <w:rsid w:val="00714E6D"/>
    <w:pPr>
      <w:spacing w:after="0" w:line="240" w:lineRule="auto"/>
    </w:pPr>
    <w:tblPr/>
  </w:style>
  <w:style w:type="character" w:customStyle="1" w:styleId="Heading1Char1">
    <w:name w:val="Heading 1 Char1"/>
    <w:basedOn w:val="DefaultParagraphFont"/>
    <w:link w:val="Heading1"/>
    <w:rsid w:val="008C4A4D"/>
    <w:rPr>
      <w:rFonts w:ascii="Times New Roman" w:eastAsia="Times New Roman" w:hAnsi="Times New Roman" w:cs="Times New Roman"/>
      <w:b/>
      <w:smallCaps/>
      <w:sz w:val="24"/>
      <w:szCs w:val="24"/>
    </w:rPr>
  </w:style>
  <w:style w:type="character" w:customStyle="1" w:styleId="Heading2Char1">
    <w:name w:val="Heading 2 Char1"/>
    <w:basedOn w:val="DefaultParagraphFont"/>
    <w:link w:val="Heading2"/>
    <w:rsid w:val="008C4A4D"/>
    <w:rPr>
      <w:rFonts w:ascii="Times New Roman" w:eastAsia="Times New Roman" w:hAnsi="Times New Roman" w:cs="Times New Roman"/>
      <w:b/>
      <w:sz w:val="24"/>
      <w:szCs w:val="24"/>
    </w:rPr>
  </w:style>
  <w:style w:type="character" w:customStyle="1" w:styleId="Heading3Char1">
    <w:name w:val="Heading 3 Char1"/>
    <w:basedOn w:val="DefaultParagraphFont"/>
    <w:link w:val="Heading3"/>
    <w:rsid w:val="008C4A4D"/>
    <w:rPr>
      <w:rFonts w:ascii="Times New Roman" w:eastAsia="Times New Roman" w:hAnsi="Times New Roman" w:cs="Times New Roman"/>
      <w:i/>
      <w:sz w:val="24"/>
      <w:szCs w:val="24"/>
    </w:rPr>
  </w:style>
  <w:style w:type="character" w:customStyle="1" w:styleId="Heading4Char1">
    <w:name w:val="Heading 4 Char1"/>
    <w:basedOn w:val="DefaultParagraphFont"/>
    <w:link w:val="Heading4"/>
    <w:rsid w:val="008C4A4D"/>
    <w:rPr>
      <w:rFonts w:ascii="Times New Roman" w:eastAsia="Times New Roman" w:hAnsi="Times New Roman" w:cs="Times New Roman"/>
      <w:sz w:val="24"/>
      <w:szCs w:val="24"/>
    </w:rPr>
  </w:style>
  <w:style w:type="table" w:customStyle="1" w:styleId="NormalTable01">
    <w:name w:val="Normal Table01"/>
    <w:uiPriority w:val="99"/>
    <w:semiHidden/>
    <w:unhideWhenUsed/>
    <w:rsid w:val="008C4A4D"/>
    <w:tblPr>
      <w:tblInd w:w="0" w:type="dxa"/>
      <w:tblCellMar>
        <w:top w:w="0" w:type="dxa"/>
        <w:left w:w="108" w:type="dxa"/>
        <w:bottom w:w="0" w:type="dxa"/>
        <w:right w:w="108" w:type="dxa"/>
      </w:tblCellMar>
    </w:tblPr>
  </w:style>
  <w:style w:type="table" w:customStyle="1" w:styleId="201">
    <w:name w:val="201"/>
    <w:basedOn w:val="NormalTable0"/>
    <w:rsid w:val="008C4A4D"/>
    <w:tblPr>
      <w:tblInd w:w="0" w:type="dxa"/>
      <w:tblCellMar>
        <w:left w:w="108" w:type="dxa"/>
        <w:right w:w="108" w:type="dxa"/>
      </w:tblCellMar>
    </w:tblPr>
  </w:style>
  <w:style w:type="table" w:customStyle="1" w:styleId="191">
    <w:name w:val="191"/>
    <w:basedOn w:val="NormalTable0"/>
    <w:rsid w:val="008C4A4D"/>
    <w:tblPr>
      <w:tblInd w:w="0" w:type="dxa"/>
      <w:tblCellMar>
        <w:left w:w="108" w:type="dxa"/>
        <w:right w:w="108" w:type="dxa"/>
      </w:tblCellMar>
    </w:tblPr>
  </w:style>
  <w:style w:type="table" w:customStyle="1" w:styleId="181">
    <w:name w:val="181"/>
    <w:basedOn w:val="NormalTable0"/>
    <w:rsid w:val="008C4A4D"/>
    <w:tblPr>
      <w:tblInd w:w="0" w:type="dxa"/>
      <w:tblCellMar>
        <w:left w:w="108" w:type="dxa"/>
        <w:right w:w="108" w:type="dxa"/>
      </w:tblCellMar>
    </w:tblPr>
  </w:style>
  <w:style w:type="table" w:customStyle="1" w:styleId="171">
    <w:name w:val="171"/>
    <w:basedOn w:val="NormalTable0"/>
    <w:rsid w:val="008C4A4D"/>
    <w:tblPr>
      <w:tblInd w:w="0" w:type="dxa"/>
      <w:tblCellMar>
        <w:left w:w="108" w:type="dxa"/>
        <w:right w:w="108" w:type="dxa"/>
      </w:tblCellMar>
    </w:tblPr>
  </w:style>
  <w:style w:type="table" w:customStyle="1" w:styleId="161">
    <w:name w:val="161"/>
    <w:basedOn w:val="NormalTable0"/>
    <w:rsid w:val="008C4A4D"/>
    <w:tblPr>
      <w:tblInd w:w="0" w:type="dxa"/>
      <w:tblCellMar>
        <w:left w:w="108" w:type="dxa"/>
        <w:right w:w="108" w:type="dxa"/>
      </w:tblCellMar>
    </w:tblPr>
  </w:style>
  <w:style w:type="table" w:customStyle="1" w:styleId="151">
    <w:name w:val="151"/>
    <w:basedOn w:val="NormalTable0"/>
    <w:rsid w:val="008C4A4D"/>
    <w:tblPr>
      <w:tblInd w:w="0" w:type="dxa"/>
      <w:tblCellMar>
        <w:left w:w="108" w:type="dxa"/>
        <w:right w:w="108" w:type="dxa"/>
      </w:tblCellMar>
    </w:tblPr>
  </w:style>
  <w:style w:type="table" w:customStyle="1" w:styleId="141">
    <w:name w:val="141"/>
    <w:basedOn w:val="NormalTable0"/>
    <w:rsid w:val="008C4A4D"/>
    <w:tblPr>
      <w:tblInd w:w="0" w:type="dxa"/>
      <w:tblCellMar>
        <w:left w:w="108" w:type="dxa"/>
        <w:right w:w="108" w:type="dxa"/>
      </w:tblCellMar>
    </w:tblPr>
  </w:style>
  <w:style w:type="table" w:customStyle="1" w:styleId="131">
    <w:name w:val="131"/>
    <w:basedOn w:val="NormalTable0"/>
    <w:rsid w:val="008C4A4D"/>
    <w:tblPr>
      <w:tblInd w:w="0" w:type="dxa"/>
      <w:tblCellMar>
        <w:left w:w="108" w:type="dxa"/>
        <w:right w:w="108" w:type="dxa"/>
      </w:tblCellMar>
    </w:tblPr>
  </w:style>
  <w:style w:type="table" w:customStyle="1" w:styleId="121">
    <w:name w:val="121"/>
    <w:basedOn w:val="NormalTable0"/>
    <w:rsid w:val="008C4A4D"/>
    <w:tblPr>
      <w:tblInd w:w="0" w:type="dxa"/>
      <w:tblCellMar>
        <w:left w:w="108" w:type="dxa"/>
        <w:right w:w="108" w:type="dxa"/>
      </w:tblCellMar>
    </w:tblPr>
  </w:style>
  <w:style w:type="table" w:customStyle="1" w:styleId="111">
    <w:name w:val="111"/>
    <w:basedOn w:val="NormalTable0"/>
    <w:rsid w:val="008C4A4D"/>
    <w:tblPr>
      <w:tblInd w:w="0" w:type="dxa"/>
      <w:tblCellMar>
        <w:left w:w="108" w:type="dxa"/>
        <w:right w:w="108" w:type="dxa"/>
      </w:tblCellMar>
    </w:tblPr>
  </w:style>
  <w:style w:type="table" w:customStyle="1" w:styleId="101">
    <w:name w:val="101"/>
    <w:basedOn w:val="NormalTable0"/>
    <w:rsid w:val="008C4A4D"/>
    <w:tblPr>
      <w:tblInd w:w="0" w:type="dxa"/>
      <w:tblCellMar>
        <w:left w:w="108" w:type="dxa"/>
        <w:right w:w="108" w:type="dxa"/>
      </w:tblCellMar>
    </w:tblPr>
  </w:style>
  <w:style w:type="table" w:customStyle="1" w:styleId="91">
    <w:name w:val="91"/>
    <w:basedOn w:val="NormalTable0"/>
    <w:rsid w:val="008C4A4D"/>
    <w:tblPr>
      <w:tblInd w:w="0" w:type="dxa"/>
      <w:tblCellMar>
        <w:left w:w="108" w:type="dxa"/>
        <w:right w:w="108" w:type="dxa"/>
      </w:tblCellMar>
    </w:tblPr>
  </w:style>
  <w:style w:type="table" w:customStyle="1" w:styleId="81">
    <w:name w:val="81"/>
    <w:basedOn w:val="NormalTable0"/>
    <w:rsid w:val="008C4A4D"/>
    <w:tblPr>
      <w:tblInd w:w="0" w:type="dxa"/>
      <w:tblCellMar>
        <w:left w:w="108" w:type="dxa"/>
        <w:right w:w="108" w:type="dxa"/>
      </w:tblCellMar>
    </w:tblPr>
  </w:style>
  <w:style w:type="table" w:customStyle="1" w:styleId="71">
    <w:name w:val="71"/>
    <w:basedOn w:val="NormalTable0"/>
    <w:rsid w:val="008C4A4D"/>
    <w:tblPr>
      <w:tblInd w:w="0" w:type="dxa"/>
      <w:tblCellMar>
        <w:left w:w="108" w:type="dxa"/>
        <w:right w:w="108" w:type="dxa"/>
      </w:tblCellMar>
    </w:tblPr>
  </w:style>
  <w:style w:type="table" w:customStyle="1" w:styleId="61">
    <w:name w:val="61"/>
    <w:basedOn w:val="NormalTable0"/>
    <w:rsid w:val="008C4A4D"/>
    <w:tblPr>
      <w:tblInd w:w="0" w:type="dxa"/>
      <w:tblCellMar>
        <w:left w:w="108" w:type="dxa"/>
        <w:right w:w="108" w:type="dxa"/>
      </w:tblCellMar>
    </w:tblPr>
  </w:style>
  <w:style w:type="table" w:customStyle="1" w:styleId="51">
    <w:name w:val="51"/>
    <w:basedOn w:val="NormalTable0"/>
    <w:rsid w:val="008C4A4D"/>
    <w:tblPr>
      <w:tblInd w:w="0" w:type="dxa"/>
      <w:tblCellMar>
        <w:left w:w="108" w:type="dxa"/>
        <w:right w:w="108" w:type="dxa"/>
      </w:tblCellMar>
    </w:tblPr>
  </w:style>
  <w:style w:type="table" w:customStyle="1" w:styleId="41">
    <w:name w:val="41"/>
    <w:basedOn w:val="NormalTable0"/>
    <w:rsid w:val="008C4A4D"/>
    <w:tblPr>
      <w:tblInd w:w="0" w:type="dxa"/>
      <w:tblCellMar>
        <w:left w:w="108" w:type="dxa"/>
        <w:right w:w="108" w:type="dxa"/>
      </w:tblCellMar>
    </w:tblPr>
  </w:style>
  <w:style w:type="table" w:customStyle="1" w:styleId="310">
    <w:name w:val="310"/>
    <w:basedOn w:val="NormalTable0"/>
    <w:rsid w:val="008C4A4D"/>
    <w:tblPr>
      <w:tblInd w:w="0" w:type="dxa"/>
      <w:tblCellMar>
        <w:left w:w="108" w:type="dxa"/>
        <w:right w:w="108" w:type="dxa"/>
      </w:tblCellMar>
    </w:tblPr>
  </w:style>
  <w:style w:type="table" w:customStyle="1" w:styleId="110">
    <w:name w:val="110"/>
    <w:basedOn w:val="NormalTable0"/>
    <w:rsid w:val="008C4A4D"/>
    <w:tblPr>
      <w:tblInd w:w="0" w:type="dxa"/>
      <w:tblCellMar>
        <w:left w:w="108" w:type="dxa"/>
        <w:right w:w="108" w:type="dxa"/>
      </w:tblCellMar>
    </w:tblPr>
  </w:style>
  <w:style w:type="character" w:customStyle="1" w:styleId="Wzmianka1">
    <w:name w:val="Wzmianka1"/>
    <w:basedOn w:val="DefaultParagraphFont"/>
    <w:uiPriority w:val="99"/>
    <w:unhideWhenUsed/>
    <w:rsid w:val="008C4A4D"/>
    <w:rPr>
      <w:color w:val="2B579A"/>
      <w:shd w:val="clear" w:color="auto" w:fill="E1DFDD"/>
    </w:rPr>
  </w:style>
  <w:style w:type="character" w:customStyle="1" w:styleId="Nierozpoznanawzmianka1">
    <w:name w:val="Nierozpoznana wzmianka1"/>
    <w:basedOn w:val="DefaultParagraphFont"/>
    <w:uiPriority w:val="99"/>
    <w:semiHidden/>
    <w:unhideWhenUsed/>
    <w:rsid w:val="008C4A4D"/>
    <w:rPr>
      <w:color w:val="605E5C"/>
      <w:shd w:val="clear" w:color="auto" w:fill="E1DFDD"/>
    </w:rPr>
  </w:style>
  <w:style w:type="character" w:customStyle="1" w:styleId="Mention7">
    <w:name w:val="Mention7"/>
    <w:basedOn w:val="DefaultParagraphFont"/>
    <w:uiPriority w:val="99"/>
    <w:unhideWhenUsed/>
    <w:rsid w:val="00904CFE"/>
    <w:rPr>
      <w:color w:val="2B579A"/>
      <w:shd w:val="clear" w:color="auto" w:fill="E1DFDD"/>
    </w:rPr>
  </w:style>
  <w:style w:type="character" w:customStyle="1" w:styleId="Mention">
    <w:name w:val="Mention"/>
    <w:basedOn w:val="DefaultParagraphFont"/>
    <w:uiPriority w:val="99"/>
    <w:unhideWhenUsed/>
    <w:rsid w:val="001C4EDC"/>
    <w:rPr>
      <w:color w:val="2B579A"/>
      <w:shd w:val="clear" w:color="auto" w:fill="E1DFDD"/>
    </w:rPr>
  </w:style>
  <w:style w:type="paragraph" w:customStyle="1" w:styleId="P68B1DB1-Text11">
    <w:name w:val="P68B1DB1-Text11"/>
    <w:basedOn w:val="Text1"/>
    <w:rPr>
      <w:b/>
      <w:smallCaps/>
      <w:color w:val="000000" w:themeColor="text1"/>
    </w:rPr>
  </w:style>
  <w:style w:type="paragraph" w:customStyle="1" w:styleId="P68B1DB1-Text12">
    <w:name w:val="P68B1DB1-Text12"/>
    <w:basedOn w:val="Text1"/>
    <w:rPr>
      <w:color w:val="000000" w:themeColor="text1"/>
    </w:rPr>
  </w:style>
  <w:style w:type="paragraph" w:customStyle="1" w:styleId="P68B1DB1-Text13">
    <w:name w:val="P68B1DB1-Text13"/>
    <w:basedOn w:val="Text1"/>
    <w:rPr>
      <w:b/>
    </w:rPr>
  </w:style>
  <w:style w:type="paragraph" w:customStyle="1" w:styleId="P68B1DB1-Text14">
    <w:name w:val="P68B1DB1-Text14"/>
    <w:basedOn w:val="Text1"/>
    <w:rPr>
      <w:b/>
      <w:color w:val="000000" w:themeColor="text1"/>
      <w:u w:val="single"/>
    </w:rPr>
  </w:style>
  <w:style w:type="paragraph" w:customStyle="1" w:styleId="P68B1DB1-Normal05">
    <w:name w:val="P68B1DB1-Normal05"/>
    <w:basedOn w:val="Normal0"/>
    <w:rPr>
      <w:rFonts w:ascii="Times New Roman" w:hAnsi="Times New Roman" w:cs="Times New Roman"/>
      <w:color w:val="000000" w:themeColor="text1"/>
      <w:sz w:val="24"/>
      <w:szCs w:val="24"/>
    </w:rPr>
  </w:style>
  <w:style w:type="paragraph" w:customStyle="1" w:styleId="P68B1DB1-Text16">
    <w:name w:val="P68B1DB1-Text16"/>
    <w:basedOn w:val="Text1"/>
    <w:rPr>
      <w:b/>
      <w:color w:val="000000" w:themeColor="text1"/>
    </w:rPr>
  </w:style>
  <w:style w:type="paragraph" w:customStyle="1" w:styleId="P68B1DB1-Text17">
    <w:name w:val="P68B1DB1-Text17"/>
    <w:basedOn w:val="Text1"/>
    <w:rPr>
      <w:rFonts w:eastAsia="Times New Roman"/>
      <w:color w:val="000000" w:themeColor="text1"/>
    </w:rPr>
  </w:style>
  <w:style w:type="paragraph" w:customStyle="1" w:styleId="P68B1DB1-Normal08">
    <w:name w:val="P68B1DB1-Normal08"/>
    <w:basedOn w:val="Normal0"/>
    <w:rPr>
      <w:rFonts w:ascii="Times New Roman" w:eastAsia="Times New Roman" w:hAnsi="Times New Roman" w:cs="Times New Roman"/>
      <w:color w:val="000000" w:themeColor="text1"/>
      <w:sz w:val="24"/>
      <w:szCs w:val="24"/>
    </w:rPr>
  </w:style>
  <w:style w:type="paragraph" w:customStyle="1" w:styleId="P68B1DB1-Normal9">
    <w:name w:val="P68B1DB1-Normal9"/>
    <w:basedOn w:val="Normal"/>
    <w:rPr>
      <w:color w:val="000000" w:themeColor="text1"/>
    </w:rPr>
  </w:style>
  <w:style w:type="paragraph" w:customStyle="1" w:styleId="P68B1DB1-Normal10">
    <w:name w:val="P68B1DB1-Normal10"/>
    <w:basedOn w:val="Normal"/>
    <w:rPr>
      <w:rFonts w:ascii="Times New Roman" w:eastAsia="Times New Roman" w:hAnsi="Times New Roman" w:cs="Times New Roman"/>
      <w:color w:val="000000" w:themeColor="text1"/>
      <w:sz w:val="24"/>
      <w:szCs w:val="24"/>
    </w:rPr>
  </w:style>
  <w:style w:type="paragraph" w:customStyle="1" w:styleId="P68B1DB1-Normal011">
    <w:name w:val="P68B1DB1-Normal011"/>
    <w:basedOn w:val="Normal0"/>
    <w:rPr>
      <w:rFonts w:ascii="Times New Roman" w:eastAsia="Times New Roman" w:hAnsi="Times New Roman" w:cs="Times New Roman"/>
      <w:b/>
      <w:color w:val="000000" w:themeColor="text1"/>
      <w:sz w:val="24"/>
      <w:szCs w:val="24"/>
      <w:u w:val="single"/>
    </w:rPr>
  </w:style>
  <w:style w:type="paragraph" w:customStyle="1" w:styleId="P68B1DB1-ListParagraph12">
    <w:name w:val="P68B1DB1-ListParagraph12"/>
    <w:basedOn w:val="ListParagraph"/>
    <w:rPr>
      <w:rFonts w:ascii="Times New Roman" w:eastAsia="Times New Roman" w:hAnsi="Times New Roman" w:cs="Times New Roman"/>
      <w:color w:val="000000" w:themeColor="text1"/>
      <w:sz w:val="24"/>
      <w:szCs w:val="24"/>
    </w:rPr>
  </w:style>
  <w:style w:type="paragraph" w:customStyle="1" w:styleId="P68B1DB1-Normal13">
    <w:name w:val="P68B1DB1-Normal13"/>
    <w:basedOn w:val="Normal"/>
    <w:rPr>
      <w:rFonts w:ascii="Times New Roman" w:eastAsia="Times New Roman" w:hAnsi="Times New Roman" w:cs="Times New Roman"/>
      <w:b/>
      <w:sz w:val="24"/>
      <w:szCs w:val="24"/>
    </w:rPr>
  </w:style>
  <w:style w:type="paragraph" w:customStyle="1" w:styleId="P68B1DB1-Normal14">
    <w:name w:val="P68B1DB1-Normal14"/>
    <w:basedOn w:val="Normal"/>
    <w:rPr>
      <w:rFonts w:ascii="Times New Roman" w:eastAsia="Times New Roman" w:hAnsi="Times New Roman" w:cs="Times New Roman"/>
      <w:b/>
      <w:u w:val="single"/>
    </w:rPr>
  </w:style>
  <w:style w:type="paragraph" w:customStyle="1" w:styleId="P68B1DB1-Normal15">
    <w:name w:val="P68B1DB1-Normal15"/>
    <w:basedOn w:val="Normal"/>
    <w:rPr>
      <w:rFonts w:ascii="Times New Roman" w:eastAsia="Times New Roman" w:hAnsi="Times New Roman" w:cs="Times New Roman"/>
      <w:sz w:val="24"/>
      <w:szCs w:val="24"/>
    </w:rPr>
  </w:style>
  <w:style w:type="paragraph" w:customStyle="1" w:styleId="P68B1DB1-Normal016">
    <w:name w:val="P68B1DB1-Normal016"/>
    <w:basedOn w:val="Normal0"/>
    <w:rPr>
      <w:rFonts w:ascii="Times New Roman" w:hAnsi="Times New Roman"/>
      <w:b/>
      <w:color w:val="000000"/>
      <w:sz w:val="24"/>
    </w:rPr>
  </w:style>
  <w:style w:type="paragraph" w:customStyle="1" w:styleId="P68B1DB1-Normal017">
    <w:name w:val="P68B1DB1-Normal017"/>
    <w:basedOn w:val="Normal0"/>
    <w:rPr>
      <w:rFonts w:ascii="Times New Roman" w:hAnsi="Times New Roman"/>
      <w:b/>
      <w:color w:val="000000"/>
      <w:sz w:val="18"/>
    </w:rPr>
  </w:style>
  <w:style w:type="paragraph" w:customStyle="1" w:styleId="P68B1DB1-Normal018">
    <w:name w:val="P68B1DB1-Normal018"/>
    <w:basedOn w:val="Normal0"/>
    <w:rPr>
      <w:rFonts w:ascii="Times New Roman" w:hAnsi="Times New Roman"/>
      <w:sz w:val="18"/>
      <w:szCs w:val="18"/>
    </w:rPr>
  </w:style>
  <w:style w:type="paragraph" w:customStyle="1" w:styleId="P68B1DB1-Normal019">
    <w:name w:val="P68B1DB1-Normal019"/>
    <w:basedOn w:val="Normal0"/>
    <w:rPr>
      <w:rFonts w:ascii="Times New Roman" w:hAnsi="Times New Roman"/>
      <w:color w:val="000000"/>
      <w:sz w:val="18"/>
    </w:rPr>
  </w:style>
  <w:style w:type="paragraph" w:customStyle="1" w:styleId="P68B1DB1-Normal020">
    <w:name w:val="P68B1DB1-Normal020"/>
    <w:basedOn w:val="Normal0"/>
    <w:rPr>
      <w:rFonts w:ascii="Times New Roman" w:hAnsi="Times New Roman"/>
      <w:color w:val="000000" w:themeColor="text1"/>
      <w:sz w:val="18"/>
      <w:szCs w:val="18"/>
    </w:rPr>
  </w:style>
  <w:style w:type="paragraph" w:customStyle="1" w:styleId="P68B1DB1-Normal021">
    <w:name w:val="P68B1DB1-Normal021"/>
    <w:basedOn w:val="Normal0"/>
    <w:rPr>
      <w:rFonts w:ascii="Times New Roman" w:hAnsi="Times New Roman" w:cs="Times New Roman"/>
      <w:sz w:val="18"/>
      <w:szCs w:val="18"/>
    </w:rPr>
  </w:style>
  <w:style w:type="paragraph" w:customStyle="1" w:styleId="P68B1DB1-Normal22">
    <w:name w:val="P68B1DB1-Normal22"/>
    <w:basedOn w:val="Normal"/>
    <w:rPr>
      <w:rFonts w:ascii="Times New Roman" w:hAnsi="Times New Roman" w:cs="Times New Roman"/>
      <w:sz w:val="18"/>
      <w:szCs w:val="18"/>
    </w:rPr>
  </w:style>
  <w:style w:type="paragraph" w:customStyle="1" w:styleId="P68B1DB1-Normal023">
    <w:name w:val="P68B1DB1-Normal023"/>
    <w:basedOn w:val="Normal0"/>
    <w:rPr>
      <w:rFonts w:ascii="Times New Roman" w:hAnsi="Times New Roman"/>
      <w:sz w:val="18"/>
    </w:rPr>
  </w:style>
  <w:style w:type="paragraph" w:customStyle="1" w:styleId="P68B1DB1-Normal024">
    <w:name w:val="P68B1DB1-Normal024"/>
    <w:basedOn w:val="Normal0"/>
    <w:rPr>
      <w:sz w:val="18"/>
      <w:szCs w:val="18"/>
    </w:rPr>
  </w:style>
  <w:style w:type="paragraph" w:customStyle="1" w:styleId="P68B1DB1-Normal025">
    <w:name w:val="P68B1DB1-Normal025"/>
    <w:basedOn w:val="Normal0"/>
    <w:rPr>
      <w:rFonts w:ascii="Times New Roman" w:eastAsia="Times New Roman" w:hAnsi="Times New Roman" w:cs="Times New Roman"/>
      <w:sz w:val="18"/>
      <w:szCs w:val="18"/>
    </w:rPr>
  </w:style>
  <w:style w:type="paragraph" w:customStyle="1" w:styleId="P68B1DB1-Normal26">
    <w:name w:val="P68B1DB1-Normal26"/>
    <w:basedOn w:val="Normal"/>
    <w:rPr>
      <w:rFonts w:ascii="Times New Roman" w:hAnsi="Times New Roman"/>
      <w:color w:val="000000" w:themeColor="text1"/>
      <w:sz w:val="18"/>
      <w:szCs w:val="18"/>
    </w:rPr>
  </w:style>
  <w:style w:type="paragraph" w:customStyle="1" w:styleId="P68B1DB1-Normal27">
    <w:name w:val="P68B1DB1-Normal27"/>
    <w:basedOn w:val="Normal"/>
    <w:rPr>
      <w:rFonts w:ascii="Times New Roman" w:hAnsi="Times New Roman"/>
      <w:b/>
      <w:color w:val="000000"/>
      <w:sz w:val="24"/>
      <w:u w:val="single"/>
    </w:rPr>
  </w:style>
  <w:style w:type="paragraph" w:customStyle="1" w:styleId="P68B1DB1-Text128">
    <w:name w:val="P68B1DB1-Text128"/>
    <w:basedOn w:val="Text1"/>
    <w:rPr>
      <w:rFonts w:cs="Calibri"/>
      <w:color w:val="000000" w:themeColor="text1"/>
      <w:sz w:val="18"/>
      <w:szCs w:val="18"/>
    </w:rPr>
  </w:style>
  <w:style w:type="paragraph" w:customStyle="1" w:styleId="P68B1DB1-Normal029">
    <w:name w:val="P68B1DB1-Normal029"/>
    <w:basedOn w:val="Normal0"/>
    <w:rPr>
      <w:rFonts w:ascii="Times New Roman" w:eastAsia="Times New Roman" w:hAnsi="Times New Roman" w:cs="Times New Roman"/>
      <w:color w:val="000000" w:themeColor="text1"/>
      <w:sz w:val="18"/>
      <w:szCs w:val="18"/>
    </w:rPr>
  </w:style>
  <w:style w:type="paragraph" w:customStyle="1" w:styleId="P68B1DB1-Normal30">
    <w:name w:val="P68B1DB1-Normal30"/>
    <w:basedOn w:val="Normal"/>
    <w:rPr>
      <w:rFonts w:ascii="Times New Roman" w:eastAsia="Aptos" w:hAnsi="Times New Roman" w:cs="Arial"/>
      <w:color w:val="000000"/>
      <w:sz w:val="18"/>
      <w:szCs w:val="18"/>
    </w:rPr>
  </w:style>
  <w:style w:type="paragraph" w:customStyle="1" w:styleId="P68B1DB1-Normal31">
    <w:name w:val="P68B1DB1-Normal31"/>
    <w:basedOn w:val="Normal"/>
    <w:rPr>
      <w:rFonts w:ascii="Times New Roman" w:hAnsi="Times New Roman"/>
      <w:color w:val="000000"/>
      <w:kern w:val="2"/>
      <w:sz w:val="18"/>
      <w:szCs w:val="18"/>
      <w14:ligatures w14:val="standardContextual"/>
    </w:rPr>
  </w:style>
  <w:style w:type="paragraph" w:customStyle="1" w:styleId="P68B1DB1-Normal32">
    <w:name w:val="P68B1DB1-Normal32"/>
    <w:basedOn w:val="Normal"/>
    <w:rPr>
      <w:color w:val="000000"/>
      <w:sz w:val="18"/>
      <w:szCs w:val="18"/>
    </w:rPr>
  </w:style>
  <w:style w:type="paragraph" w:customStyle="1" w:styleId="P68B1DB1-Normal033">
    <w:name w:val="P68B1DB1-Normal033"/>
    <w:basedOn w:val="Normal0"/>
    <w:rPr>
      <w:rFonts w:ascii="Times New Roman" w:eastAsia="Aptos" w:hAnsi="Times New Roman" w:cs="Arial"/>
      <w:color w:val="000000" w:themeColor="text1"/>
      <w:sz w:val="18"/>
      <w:szCs w:val="18"/>
    </w:rPr>
  </w:style>
  <w:style w:type="paragraph" w:customStyle="1" w:styleId="P68B1DB1-Normal34">
    <w:name w:val="P68B1DB1-Normal34"/>
    <w:basedOn w:val="Normal"/>
    <w:rPr>
      <w:rFonts w:ascii="Times New Roman" w:hAnsi="Times New Roman" w:cs="Times New Roman"/>
      <w:color w:val="000000" w:themeColor="text1"/>
      <w:sz w:val="18"/>
      <w:szCs w:val="18"/>
    </w:rPr>
  </w:style>
  <w:style w:type="paragraph" w:customStyle="1" w:styleId="P68B1DB1-Normal035">
    <w:name w:val="P68B1DB1-Normal035"/>
    <w:basedOn w:val="Normal0"/>
    <w:rPr>
      <w:color w:val="000000" w:themeColor="text1"/>
      <w:sz w:val="18"/>
      <w:szCs w:val="18"/>
    </w:rPr>
  </w:style>
  <w:style w:type="paragraph" w:customStyle="1" w:styleId="P68B1DB1-Normal036">
    <w:name w:val="P68B1DB1-Normal036"/>
    <w:basedOn w:val="Normal0"/>
    <w:rPr>
      <w:rFonts w:ascii="Times New Roman" w:hAnsi="Times New Roman"/>
      <w:b/>
      <w:color w:val="000000" w:themeColor="text1"/>
      <w:sz w:val="24"/>
      <w:szCs w:val="24"/>
      <w:u w:val="single"/>
    </w:rPr>
  </w:style>
  <w:style w:type="paragraph" w:customStyle="1" w:styleId="P68B1DB1-Normal037">
    <w:name w:val="P68B1DB1-Normal037"/>
    <w:basedOn w:val="Normal0"/>
    <w:rPr>
      <w:rFonts w:ascii="Times New Roman" w:hAnsi="Times New Roman"/>
      <w:color w:val="000000" w:themeColor="text1"/>
      <w:sz w:val="24"/>
      <w:szCs w:val="24"/>
    </w:rPr>
  </w:style>
  <w:style w:type="paragraph" w:customStyle="1" w:styleId="P68B1DB1-Normal38">
    <w:name w:val="P68B1DB1-Normal38"/>
    <w:basedOn w:val="Normal"/>
    <w:rPr>
      <w:rFonts w:ascii="Times New Roman" w:hAnsi="Times New Roman"/>
      <w:color w:val="000000" w:themeColor="text1"/>
      <w:sz w:val="24"/>
      <w:szCs w:val="24"/>
    </w:rPr>
  </w:style>
  <w:style w:type="paragraph" w:customStyle="1" w:styleId="P68B1DB1-Normal39">
    <w:name w:val="P68B1DB1-Normal39"/>
    <w:basedOn w:val="Normal"/>
    <w:rPr>
      <w:rFonts w:ascii="Times New Roman" w:hAnsi="Times New Roman"/>
      <w:b/>
      <w:color w:val="000000" w:themeColor="text1"/>
      <w:sz w:val="24"/>
      <w:szCs w:val="24"/>
      <w:u w:val="single"/>
    </w:rPr>
  </w:style>
  <w:style w:type="paragraph" w:customStyle="1" w:styleId="P68B1DB1-Normal40">
    <w:name w:val="P68B1DB1-Normal40"/>
    <w:basedOn w:val="Normal"/>
    <w:rPr>
      <w:rFonts w:ascii="Times New Roman" w:eastAsia="Times New Roman" w:hAnsi="Times New Roman" w:cs="Times New Roman"/>
      <w:b/>
      <w:sz w:val="24"/>
      <w:szCs w:val="24"/>
      <w:u w:val="single"/>
    </w:rPr>
  </w:style>
  <w:style w:type="paragraph" w:customStyle="1" w:styleId="P68B1DB1-Normal41">
    <w:name w:val="P68B1DB1-Normal41"/>
    <w:basedOn w:val="Normal"/>
    <w:rPr>
      <w:rFonts w:ascii="Times New Roman" w:hAnsi="Times New Roman" w:cs="Times New Roman"/>
      <w:sz w:val="24"/>
      <w:szCs w:val="24"/>
    </w:rPr>
  </w:style>
  <w:style w:type="paragraph" w:customStyle="1" w:styleId="P68B1DB1-ListParagraph42">
    <w:name w:val="P68B1DB1-ListParagraph42"/>
    <w:basedOn w:val="ListParagraph"/>
    <w:rPr>
      <w:rFonts w:ascii="Times New Roman" w:hAnsi="Times New Roman" w:cs="Times New Roman"/>
      <w:sz w:val="24"/>
      <w:szCs w:val="24"/>
    </w:rPr>
  </w:style>
  <w:style w:type="paragraph" w:customStyle="1" w:styleId="P68B1DB1-LegalNumPar343">
    <w:name w:val="P68B1DB1-LegalNumPar343"/>
    <w:basedOn w:val="LegalNumPar3"/>
    <w:rPr>
      <w:rFonts w:ascii="Times New Roman" w:hAnsi="Times New Roman" w:cs="Times New Roman"/>
    </w:rPr>
  </w:style>
  <w:style w:type="paragraph" w:customStyle="1" w:styleId="P68B1DB1-Normal44">
    <w:name w:val="P68B1DB1-Normal44"/>
    <w:basedOn w:val="Normal"/>
    <w:rPr>
      <w:rFonts w:ascii="Times New Roman" w:hAnsi="Times New Roman"/>
      <w:color w:val="000000" w:themeColor="text1"/>
      <w:sz w:val="18"/>
    </w:rPr>
  </w:style>
  <w:style w:type="paragraph" w:customStyle="1" w:styleId="P68B1DB1-Normal45">
    <w:name w:val="P68B1DB1-Normal45"/>
    <w:basedOn w:val="Normal"/>
    <w:rPr>
      <w:rFonts w:ascii="Times New Roman" w:hAnsi="Times New Roman"/>
      <w:sz w:val="18"/>
      <w:szCs w:val="18"/>
    </w:rPr>
  </w:style>
  <w:style w:type="paragraph" w:customStyle="1" w:styleId="P68B1DB1-Normal046">
    <w:name w:val="P68B1DB1-Normal046"/>
    <w:basedOn w:val="Normal0"/>
    <w:rPr>
      <w:rFonts w:ascii="Times New Roman" w:hAnsi="Times New Roman"/>
      <w:b/>
      <w:smallCaps/>
      <w:color w:val="000000" w:themeColor="text1"/>
      <w:sz w:val="24"/>
      <w:szCs w:val="24"/>
    </w:rPr>
  </w:style>
  <w:style w:type="paragraph" w:customStyle="1" w:styleId="P68B1DB1-Normal047">
    <w:name w:val="P68B1DB1-Normal047"/>
    <w:basedOn w:val="Normal0"/>
    <w:rPr>
      <w:rFonts w:ascii="Times New Roman" w:hAnsi="Times New Roman"/>
      <w:color w:val="000000" w:themeColor="text1"/>
      <w:sz w:val="24"/>
    </w:rPr>
  </w:style>
  <w:style w:type="paragraph" w:customStyle="1" w:styleId="P68B1DB1-Normal048">
    <w:name w:val="P68B1DB1-Normal048"/>
    <w:basedOn w:val="Normal0"/>
    <w:rPr>
      <w:rFonts w:ascii="Times New Roman" w:hAnsi="Times New Roman"/>
      <w:b/>
      <w:color w:val="000000"/>
      <w:sz w:val="24"/>
      <w:u w:val="single"/>
    </w:rPr>
  </w:style>
  <w:style w:type="paragraph" w:customStyle="1" w:styleId="P68B1DB1-Normal049">
    <w:name w:val="P68B1DB1-Normal049"/>
    <w:basedOn w:val="Normal0"/>
    <w:rPr>
      <w:rFonts w:ascii="Times New Roman" w:hAnsi="Times New Roman"/>
      <w:sz w:val="24"/>
    </w:rPr>
  </w:style>
  <w:style w:type="paragraph" w:customStyle="1" w:styleId="P68B1DB1-Normal050">
    <w:name w:val="P68B1DB1-Normal050"/>
    <w:basedOn w:val="Normal0"/>
    <w:rPr>
      <w:rFonts w:ascii="Times New Roman" w:hAnsi="Times New Roman"/>
      <w:sz w:val="24"/>
      <w:szCs w:val="24"/>
    </w:rPr>
  </w:style>
  <w:style w:type="paragraph" w:customStyle="1" w:styleId="P68B1DB1-Normal051">
    <w:name w:val="P68B1DB1-Normal051"/>
    <w:basedOn w:val="Normal0"/>
    <w:rPr>
      <w:rFonts w:ascii="Times New Roman" w:hAnsi="Times New Roman"/>
      <w:b/>
      <w:sz w:val="24"/>
      <w:u w:val="single"/>
    </w:rPr>
  </w:style>
  <w:style w:type="paragraph" w:customStyle="1" w:styleId="P68B1DB1-Normal052">
    <w:name w:val="P68B1DB1-Normal052"/>
    <w:basedOn w:val="Normal0"/>
    <w:rPr>
      <w:rFonts w:ascii="Times New Roman" w:hAnsi="Times New Roman"/>
    </w:rPr>
  </w:style>
  <w:style w:type="paragraph" w:customStyle="1" w:styleId="P68B1DB1-paragraph53">
    <w:name w:val="P68B1DB1-paragraph53"/>
    <w:basedOn w:val="paragraph"/>
    <w:rPr>
      <w:rFonts w:eastAsia="Calibri" w:cs="Calibri"/>
      <w:color w:val="000000" w:themeColor="text1"/>
    </w:rPr>
  </w:style>
  <w:style w:type="paragraph" w:customStyle="1" w:styleId="P68B1DB1-paragraph54">
    <w:name w:val="P68B1DB1-paragraph54"/>
    <w:basedOn w:val="paragraph"/>
    <w:rPr>
      <w:rFonts w:ascii="Times" w:hAnsi="Times"/>
    </w:rPr>
  </w:style>
  <w:style w:type="paragraph" w:customStyle="1" w:styleId="P68B1DB1-ListParagraph55">
    <w:name w:val="P68B1DB1-ListParagraph55"/>
    <w:basedOn w:val="ListParagraph"/>
    <w:rPr>
      <w:rFonts w:ascii="Times" w:hAnsi="Times"/>
      <w:sz w:val="24"/>
      <w:szCs w:val="24"/>
    </w:rPr>
  </w:style>
  <w:style w:type="paragraph" w:customStyle="1" w:styleId="P68B1DB1-Normal56">
    <w:name w:val="P68B1DB1-Normal56"/>
    <w:basedOn w:val="Normal"/>
    <w:rPr>
      <w:rFonts w:ascii="Times New Roman" w:hAnsi="Times New Roman"/>
      <w:sz w:val="24"/>
    </w:rPr>
  </w:style>
  <w:style w:type="paragraph" w:customStyle="1" w:styleId="P68B1DB1-Normal57">
    <w:name w:val="P68B1DB1-Normal57"/>
    <w:basedOn w:val="Normal"/>
    <w:rPr>
      <w:rFonts w:ascii="Times New Roman" w:hAnsi="Times New Roman"/>
      <w:sz w:val="24"/>
      <w:szCs w:val="24"/>
    </w:rPr>
  </w:style>
  <w:style w:type="paragraph" w:customStyle="1" w:styleId="P68B1DB1-Normal058">
    <w:name w:val="P68B1DB1-Normal058"/>
    <w:basedOn w:val="Normal0"/>
    <w:rPr>
      <w:rFonts w:ascii="Times New Roman" w:hAnsi="Times New Roman"/>
      <w:b/>
      <w:smallCaps/>
      <w:color w:val="000000"/>
      <w:sz w:val="24"/>
    </w:rPr>
  </w:style>
  <w:style w:type="paragraph" w:customStyle="1" w:styleId="P68B1DB1-Normal059">
    <w:name w:val="P68B1DB1-Normal059"/>
    <w:basedOn w:val="Normal0"/>
    <w:rPr>
      <w:color w:val="000000" w:themeColor="text1"/>
      <w:sz w:val="18"/>
    </w:rPr>
  </w:style>
  <w:style w:type="paragraph" w:customStyle="1" w:styleId="P68B1DB1-Normal60">
    <w:name w:val="P68B1DB1-Normal60"/>
    <w:basedOn w:val="Normal"/>
    <w:rPr>
      <w:rFonts w:ascii="Times New Roman" w:hAnsi="Times New Roman"/>
      <w:color w:val="000000" w:themeColor="text1"/>
      <w:sz w:val="24"/>
    </w:rPr>
  </w:style>
  <w:style w:type="paragraph" w:customStyle="1" w:styleId="P68B1DB1-Normal061">
    <w:name w:val="P68B1DB1-Normal061"/>
    <w:basedOn w:val="Normal0"/>
    <w:rPr>
      <w:rFonts w:ascii="Times New Roman" w:hAnsi="Times New Roman" w:cs="Times New Roman"/>
      <w:b/>
      <w:color w:val="000000"/>
      <w:sz w:val="18"/>
      <w:szCs w:val="18"/>
    </w:rPr>
  </w:style>
  <w:style w:type="paragraph" w:customStyle="1" w:styleId="P68B1DB1-Normal062">
    <w:name w:val="P68B1DB1-Normal062"/>
    <w:basedOn w:val="Normal0"/>
    <w:rPr>
      <w:rFonts w:ascii="Times New Roman" w:hAnsi="Times New Roman" w:cs="Times New Roman"/>
      <w:color w:val="000000"/>
      <w:sz w:val="18"/>
      <w:szCs w:val="18"/>
    </w:rPr>
  </w:style>
  <w:style w:type="paragraph" w:customStyle="1" w:styleId="P68B1DB1-Normal063">
    <w:name w:val="P68B1DB1-Normal063"/>
    <w:basedOn w:val="Normal0"/>
    <w:rPr>
      <w:rFonts w:ascii="Times New Roman" w:hAnsi="Times New Roman"/>
      <w:color w:val="000000" w:themeColor="text1"/>
    </w:rPr>
  </w:style>
  <w:style w:type="paragraph" w:customStyle="1" w:styleId="P68B1DB1-Normal064">
    <w:name w:val="P68B1DB1-Normal064"/>
    <w:basedOn w:val="Normal0"/>
    <w:rPr>
      <w:rFonts w:ascii="Times New Roman" w:eastAsia="Times New Roman" w:hAnsi="Times New Roman" w:cs="Times New Roman"/>
      <w:sz w:val="24"/>
      <w:szCs w:val="24"/>
    </w:rPr>
  </w:style>
  <w:style w:type="paragraph" w:customStyle="1" w:styleId="P68B1DB1-NoSpacing65">
    <w:name w:val="P68B1DB1-NoSpacing65"/>
    <w:basedOn w:val="NoSpacing"/>
    <w:rPr>
      <w:sz w:val="18"/>
      <w:szCs w:val="18"/>
    </w:rPr>
  </w:style>
  <w:style w:type="paragraph" w:customStyle="1" w:styleId="P68B1DB1-Normal66">
    <w:name w:val="P68B1DB1-Normal66"/>
    <w:basedOn w:val="Normal"/>
    <w:rPr>
      <w:sz w:val="18"/>
      <w:szCs w:val="18"/>
    </w:rPr>
  </w:style>
  <w:style w:type="paragraph" w:customStyle="1" w:styleId="P68B1DB1-Normal67">
    <w:name w:val="P68B1DB1-Normal67"/>
    <w:basedOn w:val="Normal"/>
    <w:rPr>
      <w:rFonts w:ascii="Times New Roman" w:eastAsia="Times New Roman" w:hAnsi="Times New Roman" w:cs="Times New Roman"/>
      <w:b/>
      <w:color w:val="000000" w:themeColor="text1"/>
      <w:sz w:val="24"/>
      <w:szCs w:val="24"/>
      <w:u w:val="single"/>
    </w:rPr>
  </w:style>
  <w:style w:type="paragraph" w:customStyle="1" w:styleId="P68B1DB1-ListParagraph68">
    <w:name w:val="P68B1DB1-ListParagraph68"/>
    <w:basedOn w:val="ListParagraph"/>
    <w:rPr>
      <w:rFonts w:ascii="Times New Roman" w:eastAsia="Times New Roman" w:hAnsi="Times New Roman" w:cs="Times New Roman"/>
      <w:sz w:val="24"/>
      <w:szCs w:val="24"/>
    </w:rPr>
  </w:style>
  <w:style w:type="paragraph" w:customStyle="1" w:styleId="P68B1DB1-Normal69">
    <w:name w:val="P68B1DB1-Normal69"/>
    <w:basedOn w:val="Normal"/>
    <w:rPr>
      <w:sz w:val="24"/>
      <w:szCs w:val="24"/>
    </w:rPr>
  </w:style>
  <w:style w:type="paragraph" w:customStyle="1" w:styleId="P68B1DB1-Normal70">
    <w:name w:val="P68B1DB1-Normal70"/>
    <w:basedOn w:val="Normal"/>
    <w:rPr>
      <w:rFonts w:ascii="Times New Roman" w:hAnsi="Times New Roman"/>
      <w:b/>
      <w:color w:val="000000"/>
    </w:rPr>
  </w:style>
  <w:style w:type="paragraph" w:customStyle="1" w:styleId="P68B1DB1-Normal71">
    <w:name w:val="P68B1DB1-Normal71"/>
    <w:basedOn w:val="Normal"/>
    <w:rPr>
      <w:rFonts w:ascii="Times New Roman" w:hAnsi="Times New Roman"/>
      <w:color w:val="000000"/>
    </w:rPr>
  </w:style>
  <w:style w:type="paragraph" w:customStyle="1" w:styleId="P68B1DB1-Normal72">
    <w:name w:val="P68B1DB1-Normal72"/>
    <w:basedOn w:val="Normal"/>
    <w:rPr>
      <w:rFonts w:ascii="Times New Roman" w:hAnsi="Times New Roman"/>
      <w:b/>
      <w:color w:val="000000" w:themeColor="text1"/>
      <w:u w:val="single"/>
    </w:rPr>
  </w:style>
  <w:style w:type="paragraph" w:customStyle="1" w:styleId="P68B1DB1-Normal73">
    <w:name w:val="P68B1DB1-Normal73"/>
    <w:basedOn w:val="Normal"/>
    <w:rPr>
      <w:rFonts w:ascii="Times New Roman" w:hAnsi="Times New Roman"/>
      <w:color w:val="000000" w:themeColor="text1"/>
      <w:u w:val="single"/>
    </w:rPr>
  </w:style>
  <w:style w:type="paragraph" w:customStyle="1" w:styleId="P68B1DB1-Normal74">
    <w:name w:val="P68B1DB1-Normal74"/>
    <w:basedOn w:val="Normal"/>
    <w:rPr>
      <w:rFonts w:ascii="Times New Roman" w:hAnsi="Times New Roman"/>
      <w:b/>
      <w:color w:val="000000"/>
      <w:sz w:val="18"/>
      <w:szCs w:val="18"/>
    </w:rPr>
  </w:style>
  <w:style w:type="paragraph" w:customStyle="1" w:styleId="P68B1DB1-Normal75">
    <w:name w:val="P68B1DB1-Normal75"/>
    <w:basedOn w:val="Normal"/>
    <w:rPr>
      <w:rFonts w:ascii="Times New Roman" w:eastAsia="Times New Roman" w:hAnsi="Times New Roman" w:cs="Times New Roman"/>
      <w:color w:val="000000"/>
      <w:sz w:val="18"/>
      <w:szCs w:val="18"/>
    </w:rPr>
  </w:style>
  <w:style w:type="paragraph" w:customStyle="1" w:styleId="P68B1DB1-ListParagraph76">
    <w:name w:val="P68B1DB1-ListParagraph76"/>
    <w:basedOn w:val="ListParagraph"/>
    <w:rPr>
      <w:rFonts w:ascii="Times New Roman" w:eastAsia="Times New Roman" w:hAnsi="Times New Roman" w:cs="Times New Roman"/>
      <w:color w:val="000000" w:themeColor="text1"/>
      <w:sz w:val="18"/>
      <w:szCs w:val="18"/>
    </w:rPr>
  </w:style>
  <w:style w:type="paragraph" w:customStyle="1" w:styleId="P68B1DB1-Normal077">
    <w:name w:val="P68B1DB1-Normal077"/>
    <w:basedOn w:val="Normal0"/>
    <w:rPr>
      <w:rFonts w:ascii="Times" w:hAnsi="Times" w:cs="Times"/>
      <w:b/>
      <w:color w:val="000000" w:themeColor="text1"/>
      <w:sz w:val="24"/>
      <w:szCs w:val="24"/>
      <w:u w:val="single"/>
    </w:rPr>
  </w:style>
  <w:style w:type="paragraph" w:customStyle="1" w:styleId="P68B1DB1-paragraph78">
    <w:name w:val="P68B1DB1-paragraph78"/>
    <w:basedOn w:val="paragraph"/>
    <w:rPr>
      <w:sz w:val="18"/>
      <w:szCs w:val="18"/>
    </w:rPr>
  </w:style>
  <w:style w:type="paragraph" w:customStyle="1" w:styleId="P68B1DB1-P68B1DB1-Normalny279">
    <w:name w:val="P68B1DB1-P68B1DB1-Normalny279"/>
    <w:basedOn w:val="P68B1DB1-Normalny2"/>
    <w:rPr>
      <w:sz w:val="18"/>
      <w:szCs w:val="18"/>
    </w:rPr>
  </w:style>
  <w:style w:type="paragraph" w:customStyle="1" w:styleId="P68B1DB1-Normal080">
    <w:name w:val="P68B1DB1-Normal080"/>
    <w:basedOn w:val="Normal0"/>
    <w:rPr>
      <w:rFonts w:ascii="Times New Roman" w:hAnsi="Times New Roman"/>
      <w:sz w:val="24"/>
      <w:u w:val="single"/>
    </w:rPr>
  </w:style>
  <w:style w:type="paragraph" w:customStyle="1" w:styleId="P68B1DB1-Normal081">
    <w:name w:val="P68B1DB1-Normal081"/>
    <w:basedOn w:val="Normal0"/>
    <w:rPr>
      <w:rFonts w:ascii="Times New Roman" w:hAnsi="Times New Roman"/>
      <w:b/>
      <w:sz w:val="24"/>
      <w:szCs w:val="24"/>
      <w:u w:val="single"/>
    </w:rPr>
  </w:style>
  <w:style w:type="paragraph" w:customStyle="1" w:styleId="P68B1DB1-Normal82">
    <w:name w:val="P68B1DB1-Normal82"/>
    <w:basedOn w:val="Normal"/>
    <w:rPr>
      <w:rFonts w:ascii="Times New Roman" w:eastAsia="Times New Roman" w:hAnsi="Times New Roman" w:cs="Times New Roman"/>
      <w:sz w:val="18"/>
      <w:szCs w:val="18"/>
    </w:rPr>
  </w:style>
  <w:style w:type="paragraph" w:customStyle="1" w:styleId="P68B1DB1-ListParagraph83">
    <w:name w:val="P68B1DB1-ListParagraph83"/>
    <w:basedOn w:val="ListParagraph"/>
    <w:rPr>
      <w:rFonts w:ascii="Times New Roman" w:eastAsia="Times New Roman" w:hAnsi="Times New Roman" w:cs="Times New Roman"/>
      <w:sz w:val="18"/>
      <w:szCs w:val="18"/>
    </w:rPr>
  </w:style>
  <w:style w:type="paragraph" w:customStyle="1" w:styleId="P68B1DB1-Normal84">
    <w:name w:val="P68B1DB1-Normal84"/>
    <w:basedOn w:val="Normal"/>
    <w:rPr>
      <w:rFonts w:ascii="Times New Roman" w:hAnsi="Times New Roman"/>
      <w:b/>
      <w:smallCaps/>
      <w:color w:val="000000"/>
    </w:rPr>
  </w:style>
  <w:style w:type="paragraph" w:customStyle="1" w:styleId="P68B1DB1-Normal85">
    <w:name w:val="P68B1DB1-Normal85"/>
    <w:basedOn w:val="Normal"/>
    <w:rPr>
      <w:rFonts w:ascii="Times New Roman" w:hAnsi="Times New Roman"/>
    </w:rPr>
  </w:style>
  <w:style w:type="paragraph" w:customStyle="1" w:styleId="P68B1DB1-Normal86">
    <w:name w:val="P68B1DB1-Normal86"/>
    <w:basedOn w:val="Normal"/>
    <w:rPr>
      <w:rFonts w:ascii="Times New Roman" w:hAnsi="Times New Roman"/>
      <w:b/>
      <w:u w:val="single"/>
    </w:rPr>
  </w:style>
  <w:style w:type="paragraph" w:customStyle="1" w:styleId="P68B1DB1-Normal87">
    <w:name w:val="P68B1DB1-Normal87"/>
    <w:basedOn w:val="Normal"/>
    <w:rPr>
      <w:rFonts w:ascii="Times New Roman" w:eastAsia="Times New Roman" w:hAnsi="Times New Roman" w:cs="Times New Roman"/>
    </w:rPr>
  </w:style>
  <w:style w:type="paragraph" w:customStyle="1" w:styleId="P68B1DB1-Normal88">
    <w:name w:val="P68B1DB1-Normal88"/>
    <w:basedOn w:val="Normal"/>
    <w:rPr>
      <w:rFonts w:ascii="Times New Roman" w:hAnsi="Times New Roman"/>
      <w:b/>
      <w:color w:val="000000"/>
      <w:sz w:val="18"/>
    </w:rPr>
  </w:style>
  <w:style w:type="paragraph" w:customStyle="1" w:styleId="P68B1DB1-Normal89">
    <w:name w:val="P68B1DB1-Normal89"/>
    <w:basedOn w:val="Normal"/>
    <w:rPr>
      <w:rFonts w:ascii="Times New Roman" w:hAnsi="Times New Roman"/>
      <w:sz w:val="18"/>
    </w:rPr>
  </w:style>
  <w:style w:type="paragraph" w:customStyle="1" w:styleId="P68B1DB1-Normal90">
    <w:name w:val="P68B1DB1-Normal90"/>
    <w:basedOn w:val="Normal"/>
    <w:rPr>
      <w:rFonts w:ascii="Times New Roman" w:hAnsi="Times New Roman" w:cs="Times New Roman"/>
      <w:b/>
      <w:smallCaps/>
    </w:rPr>
  </w:style>
  <w:style w:type="paragraph" w:customStyle="1" w:styleId="P68B1DB1-Normal91">
    <w:name w:val="P68B1DB1-Normal91"/>
    <w:basedOn w:val="Normal"/>
    <w:rPr>
      <w:rFonts w:ascii="Times New Roman" w:hAnsi="Times New Roman" w:cs="Times New Roman"/>
    </w:rPr>
  </w:style>
  <w:style w:type="paragraph" w:customStyle="1" w:styleId="P68B1DB1-Normal92">
    <w:name w:val="P68B1DB1-Normal92"/>
    <w:basedOn w:val="Normal"/>
    <w:rPr>
      <w:rFonts w:ascii="Times New Roman" w:hAnsi="Times New Roman" w:cs="Times New Roman"/>
      <w:b/>
      <w:u w:val="single"/>
    </w:rPr>
  </w:style>
  <w:style w:type="paragraph" w:customStyle="1" w:styleId="P68B1DB1-Normal93">
    <w:name w:val="P68B1DB1-Normal93"/>
    <w:basedOn w:val="Normal"/>
    <w:rPr>
      <w:rFonts w:ascii="Times New Roman" w:hAnsi="Times New Roman" w:cs="Times New Roman"/>
      <w:b/>
    </w:rPr>
  </w:style>
  <w:style w:type="paragraph" w:customStyle="1" w:styleId="P68B1DB1-Normal94">
    <w:name w:val="P68B1DB1-Normal94"/>
    <w:basedOn w:val="Normal"/>
    <w:rPr>
      <w:rFonts w:ascii="Times New Roman" w:hAnsi="Times New Roman" w:cs="Times New Roman"/>
      <w:b/>
      <w:sz w:val="18"/>
      <w:szCs w:val="18"/>
    </w:rPr>
  </w:style>
  <w:style w:type="paragraph" w:customStyle="1" w:styleId="P68B1DB1-Normal95">
    <w:name w:val="P68B1DB1-Normal95"/>
    <w:basedOn w:val="Normal"/>
    <w:rPr>
      <w:rFonts w:ascii="Times New Roman" w:hAnsi="Times New Roman" w:cs="Times New Roman"/>
      <w:b/>
      <w:color w:val="000000"/>
      <w:sz w:val="18"/>
      <w:szCs w:val="18"/>
    </w:rPr>
  </w:style>
  <w:style w:type="paragraph" w:customStyle="1" w:styleId="P68B1DB1-Normal96">
    <w:name w:val="P68B1DB1-Normal96"/>
    <w:basedOn w:val="Normal"/>
    <w:rPr>
      <w:rFonts w:ascii="Times New Roman" w:hAnsi="Times New Roman"/>
      <w:b/>
      <w:sz w:val="18"/>
    </w:rPr>
  </w:style>
  <w:style w:type="paragraph" w:customStyle="1" w:styleId="P68B1DB1-ListParagraph97">
    <w:name w:val="P68B1DB1-ListParagraph97"/>
    <w:basedOn w:val="ListParagraph"/>
    <w:rPr>
      <w:rFonts w:ascii="Times New Roman" w:hAnsi="Times New Roman"/>
      <w:sz w:val="18"/>
      <w:szCs w:val="18"/>
    </w:rPr>
  </w:style>
  <w:style w:type="paragraph" w:customStyle="1" w:styleId="P68B1DB1-Normal98">
    <w:name w:val="P68B1DB1-Normal98"/>
    <w:basedOn w:val="Normal"/>
    <w:rPr>
      <w:rFonts w:ascii="Times New Roman" w:hAnsi="Times New Roman" w:cs="Times New Roman"/>
      <w:color w:val="000000"/>
    </w:rPr>
  </w:style>
  <w:style w:type="paragraph" w:customStyle="1" w:styleId="P68B1DB1-Normal99">
    <w:name w:val="P68B1DB1-Normal99"/>
    <w:basedOn w:val="Normal"/>
    <w:rPr>
      <w:rFonts w:ascii="Times New Roman" w:hAnsi="Times New Roman"/>
      <w:b/>
    </w:rPr>
  </w:style>
  <w:style w:type="paragraph" w:customStyle="1" w:styleId="P68B1DB1-Normal100">
    <w:name w:val="P68B1DB1-Normal100"/>
    <w:basedOn w:val="Normal"/>
    <w:rPr>
      <w:rFonts w:ascii="Times New Roman" w:eastAsia="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966353">
      <w:bodyDiv w:val="1"/>
      <w:marLeft w:val="0"/>
      <w:marRight w:val="0"/>
      <w:marTop w:val="0"/>
      <w:marBottom w:val="0"/>
      <w:divBdr>
        <w:top w:val="none" w:sz="0" w:space="0" w:color="auto"/>
        <w:left w:val="none" w:sz="0" w:space="0" w:color="auto"/>
        <w:bottom w:val="none" w:sz="0" w:space="0" w:color="auto"/>
        <w:right w:val="none" w:sz="0" w:space="0" w:color="auto"/>
      </w:divBdr>
    </w:div>
    <w:div w:id="1562401158">
      <w:bodyDiv w:val="1"/>
      <w:marLeft w:val="0"/>
      <w:marRight w:val="0"/>
      <w:marTop w:val="0"/>
      <w:marBottom w:val="0"/>
      <w:divBdr>
        <w:top w:val="none" w:sz="0" w:space="0" w:color="auto"/>
        <w:left w:val="none" w:sz="0" w:space="0" w:color="auto"/>
        <w:bottom w:val="none" w:sz="0" w:space="0" w:color="auto"/>
        <w:right w:val="none" w:sz="0" w:space="0" w:color="auto"/>
      </w:divBdr>
      <w:divsChild>
        <w:div w:id="1300645009">
          <w:marLeft w:val="0"/>
          <w:marRight w:val="0"/>
          <w:marTop w:val="0"/>
          <w:marBottom w:val="0"/>
          <w:divBdr>
            <w:top w:val="none" w:sz="0" w:space="0" w:color="auto"/>
            <w:left w:val="none" w:sz="0" w:space="0" w:color="auto"/>
            <w:bottom w:val="none" w:sz="0" w:space="0" w:color="auto"/>
            <w:right w:val="none" w:sz="0" w:space="0" w:color="auto"/>
          </w:divBdr>
          <w:divsChild>
            <w:div w:id="506020423">
              <w:marLeft w:val="0"/>
              <w:marRight w:val="0"/>
              <w:marTop w:val="0"/>
              <w:marBottom w:val="0"/>
              <w:divBdr>
                <w:top w:val="none" w:sz="0" w:space="0" w:color="auto"/>
                <w:left w:val="none" w:sz="0" w:space="0" w:color="auto"/>
                <w:bottom w:val="none" w:sz="0" w:space="0" w:color="auto"/>
                <w:right w:val="none" w:sz="0" w:space="0" w:color="auto"/>
              </w:divBdr>
            </w:div>
            <w:div w:id="691302183">
              <w:marLeft w:val="0"/>
              <w:marRight w:val="0"/>
              <w:marTop w:val="0"/>
              <w:marBottom w:val="0"/>
              <w:divBdr>
                <w:top w:val="none" w:sz="0" w:space="0" w:color="auto"/>
                <w:left w:val="none" w:sz="0" w:space="0" w:color="auto"/>
                <w:bottom w:val="none" w:sz="0" w:space="0" w:color="auto"/>
                <w:right w:val="none" w:sz="0" w:space="0" w:color="auto"/>
              </w:divBdr>
            </w:div>
            <w:div w:id="957368900">
              <w:marLeft w:val="0"/>
              <w:marRight w:val="0"/>
              <w:marTop w:val="0"/>
              <w:marBottom w:val="0"/>
              <w:divBdr>
                <w:top w:val="none" w:sz="0" w:space="0" w:color="auto"/>
                <w:left w:val="none" w:sz="0" w:space="0" w:color="auto"/>
                <w:bottom w:val="none" w:sz="0" w:space="0" w:color="auto"/>
                <w:right w:val="none" w:sz="0" w:space="0" w:color="auto"/>
              </w:divBdr>
            </w:div>
            <w:div w:id="1300721713">
              <w:marLeft w:val="0"/>
              <w:marRight w:val="0"/>
              <w:marTop w:val="0"/>
              <w:marBottom w:val="0"/>
              <w:divBdr>
                <w:top w:val="none" w:sz="0" w:space="0" w:color="auto"/>
                <w:left w:val="none" w:sz="0" w:space="0" w:color="auto"/>
                <w:bottom w:val="none" w:sz="0" w:space="0" w:color="auto"/>
                <w:right w:val="none" w:sz="0" w:space="0" w:color="auto"/>
              </w:divBdr>
            </w:div>
            <w:div w:id="1324971880">
              <w:marLeft w:val="0"/>
              <w:marRight w:val="0"/>
              <w:marTop w:val="0"/>
              <w:marBottom w:val="0"/>
              <w:divBdr>
                <w:top w:val="none" w:sz="0" w:space="0" w:color="auto"/>
                <w:left w:val="none" w:sz="0" w:space="0" w:color="auto"/>
                <w:bottom w:val="none" w:sz="0" w:space="0" w:color="auto"/>
                <w:right w:val="none" w:sz="0" w:space="0" w:color="auto"/>
              </w:divBdr>
            </w:div>
            <w:div w:id="1422524538">
              <w:marLeft w:val="0"/>
              <w:marRight w:val="0"/>
              <w:marTop w:val="0"/>
              <w:marBottom w:val="0"/>
              <w:divBdr>
                <w:top w:val="none" w:sz="0" w:space="0" w:color="auto"/>
                <w:left w:val="none" w:sz="0" w:space="0" w:color="auto"/>
                <w:bottom w:val="none" w:sz="0" w:space="0" w:color="auto"/>
                <w:right w:val="none" w:sz="0" w:space="0" w:color="auto"/>
              </w:divBdr>
            </w:div>
            <w:div w:id="1431118124">
              <w:marLeft w:val="0"/>
              <w:marRight w:val="0"/>
              <w:marTop w:val="0"/>
              <w:marBottom w:val="0"/>
              <w:divBdr>
                <w:top w:val="none" w:sz="0" w:space="0" w:color="auto"/>
                <w:left w:val="none" w:sz="0" w:space="0" w:color="auto"/>
                <w:bottom w:val="none" w:sz="0" w:space="0" w:color="auto"/>
                <w:right w:val="none" w:sz="0" w:space="0" w:color="auto"/>
              </w:divBdr>
            </w:div>
            <w:div w:id="1724209054">
              <w:marLeft w:val="0"/>
              <w:marRight w:val="0"/>
              <w:marTop w:val="0"/>
              <w:marBottom w:val="0"/>
              <w:divBdr>
                <w:top w:val="none" w:sz="0" w:space="0" w:color="auto"/>
                <w:left w:val="none" w:sz="0" w:space="0" w:color="auto"/>
                <w:bottom w:val="none" w:sz="0" w:space="0" w:color="auto"/>
                <w:right w:val="none" w:sz="0" w:space="0" w:color="auto"/>
              </w:divBdr>
            </w:div>
            <w:div w:id="180311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2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91" Type="http://schemas.openxmlformats.org/officeDocument/2006/relationships/footer" Target="footer90.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93"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0" Type="http://schemas.openxmlformats.org/officeDocument/2006/relationships/header" Target="header90.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7260E13F24EE47816D0F26A43638A4" ma:contentTypeVersion="19" ma:contentTypeDescription="Create a new document." ma:contentTypeScope="" ma:versionID="a37efcc66657162a4fd78f61a6786a68">
  <xsd:schema xmlns:xsd="http://www.w3.org/2001/XMLSchema" xmlns:xs="http://www.w3.org/2001/XMLSchema" xmlns:p="http://schemas.microsoft.com/office/2006/metadata/properties" xmlns:ns2="7e867e16-cd10-4d7c-af76-521234807006" xmlns:ns3="198f965e-bbb6-4d10-8e04-a2531e92518f" targetNamespace="http://schemas.microsoft.com/office/2006/metadata/properties" ma:root="true" ma:fieldsID="f025cbe63ad64b82b6e79c5b1c42f184" ns2:_="" ns3:_="">
    <xsd:import namespace="7e867e16-cd10-4d7c-af76-521234807006"/>
    <xsd:import namespace="198f965e-bbb6-4d10-8e04-a2531e9251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ReviewedGCI"/>
                <xsd:element ref="ns2:Y_x002f_NreviewedGCI"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67e16-cd10-4d7c-af76-521234807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ReviewedGCI" ma:index="24" ma:displayName="Reviewed GCI" ma:default="0" ma:description="this is to make it easier to track which PAFs GCI has already reviewed" ma:format="Dropdown" ma:internalName="ReviewedGCI">
      <xsd:simpleType>
        <xsd:restriction base="dms:Boolean"/>
      </xsd:simpleType>
    </xsd:element>
    <xsd:element name="Y_x002f_NreviewedGCI" ma:index="25" nillable="true" ma:displayName="Y/N reviewed GCI" ma:default="1" ma:format="Dropdown" ma:internalName="Y_x002f_NreviewedGCI">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f965e-bbb6-4d10-8e04-a2531e9251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618139-48c2-453b-97cf-bce567d5ce84}" ma:internalName="TaxCatchAll" ma:showField="CatchAllData" ma:web="198f965e-bbb6-4d10-8e04-a2531e925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viewedGCI xmlns="7e867e16-cd10-4d7c-af76-521234807006">false</ReviewedGCI>
    <lcf76f155ced4ddcb4097134ff3c332f xmlns="7e867e16-cd10-4d7c-af76-521234807006">
      <Terms xmlns="http://schemas.microsoft.com/office/infopath/2007/PartnerControls"/>
    </lcf76f155ced4ddcb4097134ff3c332f>
    <TaxCatchAll xmlns="198f965e-bbb6-4d10-8e04-a2531e92518f" xsi:nil="true"/>
    <Y_x002f_NreviewedGCI xmlns="7e867e16-cd10-4d7c-af76-521234807006">true</Y_x002f_NreviewedGCI>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9E647-AB77-4011-86B0-2BBD7EC4A584}">
  <ds:schemaRefs>
    <ds:schemaRef ds:uri="http://schemas.microsoft.com/sharepoint/v3/contenttype/forms"/>
  </ds:schemaRefs>
</ds:datastoreItem>
</file>

<file path=customXml/itemProps2.xml><?xml version="1.0" encoding="utf-8"?>
<ds:datastoreItem xmlns:ds="http://schemas.openxmlformats.org/officeDocument/2006/customXml" ds:itemID="{EA27CEBF-B1AF-4809-B8C8-A45CE5754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67e16-cd10-4d7c-af76-521234807006"/>
    <ds:schemaRef ds:uri="198f965e-bbb6-4d10-8e04-a2531e925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D72216-7E05-4FDB-8C94-030FDC3955CF}">
  <ds:schemaRefs>
    <ds:schemaRef ds:uri="http://schemas.microsoft.com/office/2006/metadata/properties"/>
    <ds:schemaRef ds:uri="http://schemas.microsoft.com/office/infopath/2007/PartnerControls"/>
    <ds:schemaRef ds:uri="7e867e16-cd10-4d7c-af76-521234807006"/>
    <ds:schemaRef ds:uri="198f965e-bbb6-4d10-8e04-a2531e92518f"/>
  </ds:schemaRefs>
</ds:datastoreItem>
</file>

<file path=customXml/itemProps4.xml><?xml version="1.0" encoding="utf-8"?>
<ds:datastoreItem xmlns:ds="http://schemas.openxmlformats.org/officeDocument/2006/customXml" ds:itemID="{E0BD0B4D-B20F-4B5F-9BD4-3F43C7B73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13</Pages>
  <Words>65189</Words>
  <Characters>371583</Characters>
  <Application>Microsoft Office Word</Application>
  <DocSecurity>0</DocSecurity>
  <Lines>3096</Lines>
  <Paragraphs>871</Paragraphs>
  <ScaleCrop>false</ScaleCrop>
  <Manager/>
  <Company/>
  <LinksUpToDate>false</LinksUpToDate>
  <CharactersWithSpaces>435901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2026-08-11T19:41:00Z</dcterms:created>
  <dcterms:modified xsi:type="dcterms:W3CDTF">2026-08-14T09:49:00Z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Last annex">
    <vt:lpwstr>1</vt:lpwstr>
  </property>
  <property fmtid="{D5CDD505-2E9C-101B-9397-08002B2CF9AE}" pid="5" name="MSIP_Label_6bd9ddd1-4d20-43f6-abfa-fc3c07406f94_Name">
    <vt:lpwstr>Commission Use</vt:lpwstr>
  </property>
  <property fmtid="{D5CDD505-2E9C-101B-9397-08002B2CF9AE}" pid="6" name="Part">
    <vt:lpwstr>1</vt:lpwstr>
  </property>
  <property fmtid="{D5CDD505-2E9C-101B-9397-08002B2CF9AE}" pid="7" name="MediaServiceImageTags">
    <vt:lpwstr/>
  </property>
  <property fmtid="{D5CDD505-2E9C-101B-9397-08002B2CF9AE}" pid="8" name="MSIP_Label_6bd9ddd1-4d20-43f6-abfa-fc3c07406f94_ContentBits">
    <vt:lpwstr>0</vt:lpwstr>
  </property>
  <property fmtid="{D5CDD505-2E9C-101B-9397-08002B2CF9AE}" pid="9" name="ContentTypeId">
    <vt:lpwstr>0x010100957260E13F24EE47816D0F26A43638A4</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Method">
    <vt:lpwstr>Standard</vt:lpwstr>
  </property>
  <property fmtid="{D5CDD505-2E9C-101B-9397-08002B2CF9AE}" pid="12" name="MSIP_Label_af60b174-6478-47f9-866e-33f097bb6603_SiteId">
    <vt:lpwstr>03ad1c97-0a4d-4e82-8f93-27291a6a0767</vt:lpwstr>
  </property>
  <property fmtid="{D5CDD505-2E9C-101B-9397-08002B2CF9AE}" pid="13" name="MSIP_Label_6bd9ddd1-4d20-43f6-abfa-fc3c07406f94_Enabled">
    <vt:lpwstr>true</vt:lpwstr>
  </property>
  <property fmtid="{D5CDD505-2E9C-101B-9397-08002B2CF9AE}" pid="14" name="MSIP_Label_af60b174-6478-47f9-866e-33f097bb6603_Method">
    <vt:lpwstr>Privileged</vt:lpwstr>
  </property>
  <property fmtid="{D5CDD505-2E9C-101B-9397-08002B2CF9AE}" pid="15" name="MSIP_Label_af60b174-6478-47f9-866e-33f097bb6603_ContentBits">
    <vt:lpwstr>0</vt:lpwstr>
  </property>
  <property fmtid="{D5CDD505-2E9C-101B-9397-08002B2CF9AE}" pid="16" name="Created using">
    <vt:lpwstr>LW 9.2, Build 20250828</vt:lpwstr>
  </property>
  <property fmtid="{D5CDD505-2E9C-101B-9397-08002B2CF9AE}" pid="17" name="Total parts">
    <vt:lpwstr>1</vt:lpwstr>
  </property>
  <property fmtid="{D5CDD505-2E9C-101B-9397-08002B2CF9AE}" pid="18" name="Unique annex">
    <vt:lpwstr>1</vt:lpwstr>
  </property>
  <property fmtid="{D5CDD505-2E9C-101B-9397-08002B2CF9AE}" pid="19" name="MSIP_Label_af60b174-6478-47f9-866e-33f097bb6603_Name">
    <vt:lpwstr>GSCEU - PUBLIC Label</vt:lpwstr>
  </property>
  <property fmtid="{D5CDD505-2E9C-101B-9397-08002B2CF9AE}" pid="20" name="MSIP_Label_6bd9ddd1-4d20-43f6-abfa-fc3c07406f94_SetDate">
    <vt:lpwstr>2026-05-11T11:32:40Z</vt:lpwstr>
  </property>
  <property fmtid="{D5CDD505-2E9C-101B-9397-08002B2CF9AE}" pid="21" name="First annex">
    <vt:lpwstr>1</vt:lpwstr>
  </property>
  <property fmtid="{D5CDD505-2E9C-101B-9397-08002B2CF9AE}" pid="22" name="Level of sensitivity">
    <vt:lpwstr>Standard treatment</vt:lpwstr>
  </property>
  <property fmtid="{D5CDD505-2E9C-101B-9397-08002B2CF9AE}" pid="23" name="MSIP_Label_af60b174-6478-47f9-866e-33f097bb6603_Enabled">
    <vt:lpwstr>true</vt:lpwstr>
  </property>
  <property fmtid="{D5CDD505-2E9C-101B-9397-08002B2CF9AE}" pid="24" name="MSIP_Label_6bd9ddd1-4d20-43f6-abfa-fc3c07406f94_ActionId">
    <vt:lpwstr>876e9aed-dee2-4202-ac4f-eba488ab2999</vt:lpwstr>
  </property>
  <property fmtid="{D5CDD505-2E9C-101B-9397-08002B2CF9AE}" pid="25" name="CPTemplateID">
    <vt:lpwstr>CP-036</vt:lpwstr>
  </property>
  <property fmtid="{D5CDD505-2E9C-101B-9397-08002B2CF9AE}" pid="26" name="MSIP_Label_6bd9ddd1-4d20-43f6-abfa-fc3c07406f94_Tag">
    <vt:lpwstr>10, 3, 0, 1</vt:lpwstr>
  </property>
  <property fmtid="{D5CDD505-2E9C-101B-9397-08002B2CF9AE}" pid="27" name="MSIP_Label_af60b174-6478-47f9-866e-33f097bb6603_ActionId">
    <vt:lpwstr>084F11E1-6C8D-4405-B782-C0714F842605</vt:lpwstr>
  </property>
  <property fmtid="{D5CDD505-2E9C-101B-9397-08002B2CF9AE}" pid="28" name="MSIP_Label_af60b174-6478-47f9-866e-33f097bb6603_SetDate">
    <vt:lpwstr>2025-12-04T12:05:11Z</vt:lpwstr>
  </property>
</Properties>
</file>