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72F6F" w14:textId="414A59BA" w:rsidR="00A60DDE" w:rsidRDefault="00AA13FA" w:rsidP="00AA13FA">
      <w:pPr>
        <w:pStyle w:val="Pagedecouverture"/>
        <w:rPr>
          <w:noProof/>
        </w:rPr>
      </w:pPr>
      <w:bookmarkStart w:id="0" w:name="LW_BM_COVERPAGE"/>
      <w:r>
        <w:rPr>
          <w:noProof/>
        </w:rPr>
        <w:pict w14:anchorId="76BE4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662072-8584-4823-9D01-9EED799D93F5" style="width:455.25pt;height:387pt">
            <v:imagedata r:id="rId11" o:title=""/>
          </v:shape>
        </w:pict>
      </w:r>
    </w:p>
    <w:bookmarkEnd w:id="0"/>
    <w:p w14:paraId="447777D9" w14:textId="77777777" w:rsidR="00A60DDE" w:rsidRDefault="00A60DDE">
      <w:pPr>
        <w:rPr>
          <w:noProof/>
        </w:rPr>
        <w:sectPr w:rsidR="00A60DDE" w:rsidSect="00AA13FA">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299"/>
        </w:sectPr>
      </w:pPr>
    </w:p>
    <w:p w14:paraId="1216B246" w14:textId="28C1DE4B" w:rsidR="00A60DDE" w:rsidRDefault="00095506">
      <w:pPr>
        <w:keepNext/>
        <w:pBdr>
          <w:top w:val="nil"/>
          <w:left w:val="nil"/>
          <w:bottom w:val="nil"/>
          <w:right w:val="nil"/>
          <w:between w:val="nil"/>
        </w:pBdr>
        <w:tabs>
          <w:tab w:val="left" w:pos="850"/>
        </w:tabs>
        <w:spacing w:before="360" w:after="120" w:line="240" w:lineRule="auto"/>
        <w:ind w:left="850" w:hanging="850"/>
        <w:jc w:val="center"/>
        <w:rPr>
          <w:rFonts w:ascii="Times New Roman" w:eastAsia="Times New Roman" w:hAnsi="Times New Roman" w:cs="Times New Roman"/>
          <w:b/>
          <w:bCs/>
          <w:noProof/>
          <w:color w:val="000000"/>
          <w:sz w:val="24"/>
          <w:szCs w:val="24"/>
        </w:rPr>
      </w:pPr>
      <w:bookmarkStart w:id="1" w:name="_GoBack"/>
      <w:bookmarkEnd w:id="1"/>
      <w:r>
        <w:rPr>
          <w:rFonts w:ascii="Times New Roman" w:hAnsi="Times New Roman"/>
          <w:b/>
          <w:noProof/>
          <w:color w:val="000000" w:themeColor="text1"/>
          <w:sz w:val="24"/>
          <w:szCs w:val="24"/>
        </w:rPr>
        <w:lastRenderedPageBreak/>
        <w:t>ANEXĂ</w:t>
      </w:r>
      <w:r>
        <w:rPr>
          <w:noProof/>
        </w:rPr>
        <w:br/>
      </w:r>
      <w:r>
        <w:rPr>
          <w:rFonts w:ascii="Times New Roman" w:hAnsi="Times New Roman"/>
          <w:b/>
          <w:noProof/>
          <w:color w:val="000000" w:themeColor="text1"/>
          <w:sz w:val="24"/>
          <w:szCs w:val="24"/>
        </w:rPr>
        <w:t>Secțiunea 1: REFORME ȘI INVESTIȚII ÎN CADRUL PLANULUI DE RE</w:t>
      </w:r>
      <w:r w:rsidR="00C32599">
        <w:rPr>
          <w:rFonts w:ascii="Times New Roman" w:hAnsi="Times New Roman"/>
          <w:b/>
          <w:noProof/>
          <w:color w:val="000000" w:themeColor="text1"/>
          <w:sz w:val="24"/>
          <w:szCs w:val="24"/>
        </w:rPr>
        <w:t>DRESARE</w:t>
      </w:r>
      <w:r>
        <w:rPr>
          <w:rFonts w:ascii="Times New Roman" w:hAnsi="Times New Roman"/>
          <w:b/>
          <w:noProof/>
          <w:color w:val="000000" w:themeColor="text1"/>
          <w:sz w:val="24"/>
          <w:szCs w:val="24"/>
        </w:rPr>
        <w:t xml:space="preserve"> ȘI RE</w:t>
      </w:r>
      <w:r w:rsidR="00C32599">
        <w:rPr>
          <w:rFonts w:ascii="Times New Roman" w:hAnsi="Times New Roman"/>
          <w:b/>
          <w:noProof/>
          <w:color w:val="000000" w:themeColor="text1"/>
          <w:sz w:val="24"/>
          <w:szCs w:val="24"/>
        </w:rPr>
        <w:t>Z</w:t>
      </w:r>
      <w:r>
        <w:rPr>
          <w:rFonts w:ascii="Times New Roman" w:hAnsi="Times New Roman"/>
          <w:b/>
          <w:noProof/>
          <w:color w:val="000000" w:themeColor="text1"/>
          <w:sz w:val="24"/>
          <w:szCs w:val="24"/>
        </w:rPr>
        <w:t>ILIENȚĂ</w:t>
      </w:r>
    </w:p>
    <w:p w14:paraId="1216B247" w14:textId="77777777" w:rsidR="00A60DDE" w:rsidRDefault="00A60DDE">
      <w:pPr>
        <w:rPr>
          <w:rFonts w:ascii="Times New Roman" w:eastAsia="Times New Roman" w:hAnsi="Times New Roman" w:cs="Times New Roman"/>
          <w:noProof/>
          <w:color w:val="000000"/>
          <w:sz w:val="24"/>
          <w:szCs w:val="24"/>
        </w:rPr>
      </w:pPr>
    </w:p>
    <w:p w14:paraId="1216B248" w14:textId="77777777" w:rsidR="00A60DDE" w:rsidRDefault="00095506">
      <w:pPr>
        <w:rPr>
          <w:rFonts w:ascii="Times New Roman" w:eastAsia="Times New Roman" w:hAnsi="Times New Roman" w:cs="Times New Roman"/>
          <w:b/>
          <w:bCs/>
          <w:noProof/>
          <w:color w:val="000000"/>
          <w:sz w:val="24"/>
          <w:szCs w:val="24"/>
        </w:rPr>
      </w:pPr>
      <w:r>
        <w:rPr>
          <w:rFonts w:ascii="Times New Roman" w:hAnsi="Times New Roman"/>
          <w:b/>
          <w:noProof/>
          <w:color w:val="000000" w:themeColor="text1"/>
          <w:sz w:val="24"/>
          <w:szCs w:val="24"/>
        </w:rPr>
        <w:t>1.</w:t>
      </w:r>
      <w:r>
        <w:rPr>
          <w:noProof/>
        </w:rPr>
        <w:tab/>
      </w:r>
      <w:r>
        <w:rPr>
          <w:rFonts w:ascii="Times New Roman" w:hAnsi="Times New Roman"/>
          <w:b/>
          <w:noProof/>
          <w:color w:val="000000" w:themeColor="text1"/>
          <w:sz w:val="24"/>
          <w:szCs w:val="24"/>
        </w:rPr>
        <w:t xml:space="preserve">Descrierea reformelor și a investițiilor </w:t>
      </w:r>
    </w:p>
    <w:p w14:paraId="1216B249" w14:textId="4627FC7D" w:rsidR="00A60DDE" w:rsidRDefault="00095506">
      <w:pPr>
        <w:pStyle w:val="P68B1DB1-Text11"/>
        <w:ind w:left="0"/>
        <w:rPr>
          <w:rFonts w:eastAsia="Times New Roman"/>
          <w:bCs/>
          <w:noProof/>
          <w:color w:val="000000"/>
        </w:rPr>
      </w:pPr>
      <w:r>
        <w:rPr>
          <w:noProof/>
        </w:rPr>
        <w:t>A. Componenta A: „RE</w:t>
      </w:r>
      <w:r w:rsidR="00B430CD">
        <w:rPr>
          <w:noProof/>
        </w:rPr>
        <w:t>Z</w:t>
      </w:r>
      <w:r>
        <w:rPr>
          <w:noProof/>
        </w:rPr>
        <w:t>ILIENȚA ȘI COMPETITIVITATEA ECONOMIEI”</w:t>
      </w:r>
    </w:p>
    <w:p w14:paraId="1216B24A" w14:textId="49050BA8" w:rsidR="00A60DDE" w:rsidRDefault="00095506">
      <w:pPr>
        <w:pStyle w:val="Text1"/>
        <w:ind w:left="0"/>
        <w:rPr>
          <w:noProof/>
          <w:color w:val="000000"/>
        </w:rPr>
      </w:pPr>
      <w:bookmarkStart w:id="2" w:name="_heading=h.30j0zll"/>
      <w:bookmarkEnd w:id="2"/>
      <w:r>
        <w:rPr>
          <w:noProof/>
        </w:rPr>
        <w:t>Această componentă a planului de redresare și reziliență al Poloniei contribuie la abordarea mai multor provocări legate de reziliența și competitivitatea economiei poloneze. Prima provocare generală este legată de climatul de investiții și de mediul de afaceri, care au fost împiedicate în ultimii ani de deficiențe în materie de reglementare, de cerințe și proceduri administrative împovărătoare și de modificări frecvente ale principalelor legi. În al doilea rând, Polonia nu și-a sporit încă capacitatea de inovare pentru a-și moderniza modelul de creștere, trecând de la competitivitatea din punctul de vedere al costurilor la durabilitate și la activități cu o valoare adăugată mai mare. Cheltuielile totale pentru cercetare și dezvoltare (</w:t>
      </w:r>
      <w:r w:rsidR="005631E2">
        <w:rPr>
          <w:noProof/>
        </w:rPr>
        <w:t>C&amp;D</w:t>
      </w:r>
      <w:r>
        <w:rPr>
          <w:noProof/>
        </w:rPr>
        <w:t xml:space="preserve">) rămân scăzute, situându-se la 1,4 % din PIB față de 2,3 % în UE în 2020. Deși cheltuielile întreprinderilor pentru </w:t>
      </w:r>
      <w:r w:rsidR="005631E2">
        <w:rPr>
          <w:noProof/>
        </w:rPr>
        <w:t>C&amp;D</w:t>
      </w:r>
      <w:r>
        <w:rPr>
          <w:noProof/>
        </w:rPr>
        <w:t xml:space="preserve"> au crescut de peste patru ori în ultimii zece ani, acestea rămân sub media UE. În al treilea rând, transformarea digitală și alte tranziții economice necesită eforturi de îmbunătățire a relevanței pe piața muncii a competențelor și de modernizare a educației și formării profesionale. În al patrulea rând, femeile, persoanele în vârstă, persoanele cu handicap și cele cu calificări inferioare participă pe piața forței de muncă mult mai puțin decât în multe alte țări ale UE. Acest lucru rezultă din mai mulți factori, inclusiv un acces limitat la servicii de îngrijire a copiilor și de îngrijire pe termen lung, precum și o vârstă legală și efectivă de pensionare scăzută. În plus, flexibilitatea pieței forței de muncă este limitată de regimurile speciale de pensii și de lipsa de flexibilitate în ceea ce privește organizarea timpului de lucru. În cele din urmă, ponderea contractelor de muncă temporare rămâne ridicată, chiar dacă a scăzut în mod constant.</w:t>
      </w:r>
    </w:p>
    <w:p w14:paraId="1216B24B" w14:textId="77777777" w:rsidR="00A60DDE" w:rsidRDefault="00095506">
      <w:pPr>
        <w:pStyle w:val="P68B1DB1-Text12"/>
        <w:ind w:left="0"/>
        <w:rPr>
          <w:rFonts w:eastAsia="Times New Roman"/>
          <w:noProof/>
        </w:rPr>
      </w:pPr>
      <w:r>
        <w:rPr>
          <w:noProof/>
        </w:rPr>
        <w:t>Principalul obiectiv al componentei este de a stimula investițiile, de a crește productivitatea și de a spori competitivitatea și reziliența economiei poloneze. În acest scop, componenta vizează următoarele: i) să consolideze sustenabilitatea și caracterul adecvat al cadrului bugetar; ii) reducerea sarcinii administrative și de reglementare pentru întreprinderi și antreprenori; sprijinirea tranziției digitale și verzi și a rezilienței sectoarelor-cheie ale economiei, inclusiv a sectorului agroalimentar; iv) îmbunătățirea ecosistemului de inovare; v) să promoveze relevanța competențelor pentru piața muncii și să îmbunătățească învățarea pe tot parcursul vieții; vi) creșterea participării pe piața muncii și creșterea vârstei efective de pensionare; vii) îmbunătățirea accesului și a calității serviciilor de îngrijire a copiilor cu vârsta sub 3 ani și viii) creșterea eficacității serviciilor publice de ocupare a forței de muncă.</w:t>
      </w:r>
    </w:p>
    <w:p w14:paraId="1216B24C" w14:textId="77777777" w:rsidR="00A60DDE" w:rsidRDefault="00095506">
      <w:pPr>
        <w:pStyle w:val="P68B1DB1-Text12"/>
        <w:ind w:left="0"/>
        <w:rPr>
          <w:noProof/>
        </w:rPr>
      </w:pPr>
      <w:r>
        <w:rPr>
          <w:noProof/>
        </w:rPr>
        <w:t>Componenta abordează următoarele recomandări specifice fiecărei țări emise pentru Polonia în cadrul semestrului european în 2019 și 2020, în special: Recomandările specifice fiecărei țări 3, 2019 și 4, 2020 referitoare la îmbunătățirea climatului de investiții și a mediului de reglementare, în special prin consolidarea rolului consultărilor publice în procesul legislativ. Componenta abordează, de asemenea: Recomandările specifice fiecărei țări nr. 1, 2019 și 1, 2020 privind îmbunătățirea eficienței cheltuielilor publice și a procesului bugetar, precum și sprijinirea redresării economice prin măsuri publice; Recomandarea specifică fiecărei țări nr. 2 din 2019 referitoare la caracterul adecvat al viitoarelor prestații de pensii și la sustenabilitatea sistemului de pensii, în special prin luarea de măsuri de creștere a vârstei efective de pensionare, precum și prin luarea de măsuri de creștere a participării pe piața muncii, inclusiv prin îmbunătățirea accesului la servicii de îngrijire a copiilor și de îngrijire pe termen lung și prin eliminarea obstacolelor rămase în calea unor tipuri de locuri de muncă mai permanente și, în cele din urmă, prin măsuri de creștere a relevanței competențelor pentru piața muncii și de îmbunătățire a învățării pe tot parcursul vieții; Recomandarea specifică fiecărei țări 3, 2019 prin consolidarea capacității de inovare a economiei, inclusiv prin sprijinirea instituțiilor de cercetare și a colaborării mai strânse a acestora cu întreprinderile.</w:t>
      </w:r>
    </w:p>
    <w:p w14:paraId="1216B24D" w14:textId="77777777" w:rsidR="00A60DDE" w:rsidRDefault="00095506">
      <w:pPr>
        <w:pStyle w:val="P68B1DB1-Text12"/>
        <w:ind w:left="0"/>
        <w:rPr>
          <w:rFonts w:eastAsia="Times New Roman"/>
          <w:noProof/>
          <w:color w:val="000000"/>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de „a nu prejudicia în mod semnificativ” (2021/C 58/01).</w:t>
      </w:r>
    </w:p>
    <w:p w14:paraId="1216B24E"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4F" w14:textId="77777777" w:rsidR="00A60DDE" w:rsidRDefault="00095506">
      <w:pPr>
        <w:pStyle w:val="Text1"/>
        <w:ind w:left="0"/>
        <w:rPr>
          <w:rFonts w:eastAsia="Times New Roman"/>
          <w:b/>
          <w:bCs/>
          <w:noProof/>
          <w:color w:val="000000"/>
        </w:rPr>
      </w:pPr>
      <w:r>
        <w:rPr>
          <w:b/>
          <w:noProof/>
          <w:color w:val="000000" w:themeColor="text1"/>
        </w:rPr>
        <w:t xml:space="preserve">A.1. </w:t>
      </w:r>
      <w:r>
        <w:rPr>
          <w:noProof/>
        </w:rPr>
        <w:t xml:space="preserve"> </w:t>
      </w:r>
      <w:r>
        <w:rPr>
          <w:b/>
          <w:noProof/>
          <w:color w:val="000000" w:themeColor="text1"/>
        </w:rPr>
        <w:t>Descrierea reformelor și a investițiilor pentru sprijinul financiar nerambursabil</w:t>
      </w:r>
    </w:p>
    <w:p w14:paraId="1216B250"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rPr>
      </w:pPr>
    </w:p>
    <w:p w14:paraId="1216B251" w14:textId="77777777" w:rsidR="00A60DDE" w:rsidRDefault="00095506">
      <w:pPr>
        <w:pStyle w:val="P68B1DB1-Text13"/>
        <w:ind w:left="0"/>
        <w:rPr>
          <w:rFonts w:eastAsia="Times New Roman"/>
          <w:bCs/>
          <w:noProof/>
          <w:color w:val="000000"/>
        </w:rPr>
      </w:pPr>
      <w:r>
        <w:rPr>
          <w:noProof/>
        </w:rPr>
        <w:t>Subcomponenta</w:t>
      </w:r>
      <w:r>
        <w:rPr>
          <w:noProof/>
          <w:color w:val="000000" w:themeColor="text1"/>
        </w:rPr>
        <w:t xml:space="preserve"> A1 – Reducerea impactului pandemiei de COVID-19 asupra întreprinderilor</w:t>
      </w:r>
    </w:p>
    <w:p w14:paraId="1216B252"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53" w14:textId="7EF5E249" w:rsidR="00A60DDE" w:rsidRDefault="00095506">
      <w:pPr>
        <w:pStyle w:val="P68B1DB1-Text14"/>
        <w:ind w:left="0"/>
        <w:rPr>
          <w:rFonts w:eastAsia="Times New Roman"/>
          <w:bCs/>
          <w:noProof/>
          <w:color w:val="000000"/>
        </w:rPr>
      </w:pPr>
      <w:r>
        <w:rPr>
          <w:noProof/>
        </w:rPr>
        <w:t>A1.1 Reforma cadrului bugetar</w:t>
      </w:r>
    </w:p>
    <w:p w14:paraId="1216B254" w14:textId="77777777" w:rsidR="00A60DDE" w:rsidRDefault="00095506">
      <w:pPr>
        <w:pStyle w:val="P68B1DB1-Text12"/>
        <w:ind w:left="0"/>
        <w:rPr>
          <w:noProof/>
        </w:rPr>
      </w:pPr>
      <w:r>
        <w:rPr>
          <w:noProof/>
        </w:rPr>
        <w:t>Obiectivul reformei este de a spori transparența și eficiența cheltuielilor publice.</w:t>
      </w:r>
    </w:p>
    <w:p w14:paraId="1216B255" w14:textId="67FE433F" w:rsidR="00A60DDE" w:rsidRDefault="00095506">
      <w:pPr>
        <w:pStyle w:val="P68B1DB1-Text12"/>
        <w:ind w:left="0"/>
        <w:rPr>
          <w:noProof/>
        </w:rPr>
      </w:pPr>
      <w:r>
        <w:rPr>
          <w:noProof/>
        </w:rPr>
        <w:t>Această măsură constă în adoptarea unui (unor) act(e) juridic(e) de revizuire a regulii de stabilizare a cheltuielilor, a sistemului de clasificare bugetară, a cadrului bugetar pe termen mediu și a cadrului de revizuire a cheltuielilor, precum și în introducerea unor cerințe pentru evaluarea investițiilor publice.</w:t>
      </w:r>
    </w:p>
    <w:p w14:paraId="1216B256"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57" w14:textId="77777777" w:rsidR="00A60DDE" w:rsidRDefault="00095506">
      <w:pPr>
        <w:pStyle w:val="P68B1DB1-Text14"/>
        <w:ind w:left="0"/>
        <w:rPr>
          <w:rFonts w:eastAsia="Times New Roman"/>
          <w:bCs/>
          <w:noProof/>
          <w:color w:val="000000"/>
        </w:rPr>
      </w:pPr>
      <w:r>
        <w:rPr>
          <w:noProof/>
        </w:rPr>
        <w:t>A1.2 Reducerea în continuare a sarcinii administrative și de reglementare</w:t>
      </w:r>
    </w:p>
    <w:p w14:paraId="1216B258" w14:textId="77777777" w:rsidR="00A60DDE" w:rsidRDefault="00095506">
      <w:pPr>
        <w:pStyle w:val="P68B1DB1-Text12"/>
        <w:ind w:left="0"/>
        <w:rPr>
          <w:rFonts w:eastAsia="Times New Roman"/>
          <w:noProof/>
          <w:color w:val="000000"/>
        </w:rPr>
      </w:pPr>
      <w:r>
        <w:rPr>
          <w:noProof/>
        </w:rPr>
        <w:t xml:space="preserve">Obiectivul general al reformei este de a reduce sarcina administrativă și de reglementare care afectează întreprinderile din Polonia, precum și de a stimula investițiile private, în special în IMM-uri. În acest scop, reforma vizează (i) simplificarea procedurilor administrative și juridice, (ii) reducerea la minimum a cerințelor legale pentru întreprinderi și antreprenori, (iii) accelerarea procesului decizional. </w:t>
      </w:r>
    </w:p>
    <w:p w14:paraId="1216B259" w14:textId="2066C65E" w:rsidR="00A60DDE" w:rsidRDefault="00095506">
      <w:pPr>
        <w:pStyle w:val="P68B1DB1-Text12"/>
        <w:ind w:left="0"/>
        <w:rPr>
          <w:rFonts w:eastAsia="Times New Roman"/>
          <w:noProof/>
          <w:color w:val="000000"/>
        </w:rPr>
      </w:pPr>
      <w:r>
        <w:rPr>
          <w:noProof/>
        </w:rPr>
        <w:t>Reforma constă într-un singur pachet legislativ. „Scutul juridic” (</w:t>
      </w:r>
      <w:r>
        <w:rPr>
          <w:i/>
          <w:noProof/>
        </w:rPr>
        <w:t>Tarcza prawna</w:t>
      </w:r>
      <w:r>
        <w:rPr>
          <w:noProof/>
        </w:rPr>
        <w:t>) introduce următoarele dispoziții legale: (i) să facă din procedurile electronice canalul dominant pentru gestionarea a cel puțin opt proceduri administrative și juridice, inclusiv depunerea declarațiilor de către operatorii turistici și antreprenori la Fondul de garantare a asigurărilor; (ii) simplificarea procedurilor administrative, în special în ceea ce privește profesiile navigatorilor și comerțul cu băuturi alcoolice; (iii) reducerea utilizării procedurii în două instanțe în cel puțin zece proceduri legate în special de resursele geologice; (iv) să limiteze numărul de documente și formalități necesare în procedurile administrative, de exemplu în procesele de amenajare a teritoriului și de construcție; și (v) să prelungească termenele pentru anumite proceduri administrative, de exemplu, pentru înmatricularea unui autoturism cumpărat într-un alt stat membru.</w:t>
      </w:r>
    </w:p>
    <w:p w14:paraId="1216B25A" w14:textId="77777777" w:rsidR="00A60DDE" w:rsidRDefault="00095506">
      <w:pPr>
        <w:pStyle w:val="P68B1DB1-Text12"/>
        <w:ind w:left="0"/>
        <w:rPr>
          <w:noProof/>
        </w:rPr>
      </w:pPr>
      <w:r>
        <w:rPr>
          <w:noProof/>
        </w:rPr>
        <w:t>Punerea în aplicare a reformei se finalizează până la 30 iunie 2023.</w:t>
      </w:r>
    </w:p>
    <w:p w14:paraId="1216B25B" w14:textId="77777777" w:rsidR="00A60DDE" w:rsidRDefault="00A60DDE">
      <w:pPr>
        <w:pStyle w:val="Normal0"/>
        <w:spacing w:before="120" w:after="120" w:line="240" w:lineRule="auto"/>
        <w:rPr>
          <w:noProof/>
          <w:color w:val="000000"/>
        </w:rPr>
      </w:pPr>
    </w:p>
    <w:p w14:paraId="1216B25C" w14:textId="1E095515" w:rsidR="00A60DDE" w:rsidRDefault="00095506">
      <w:pPr>
        <w:pStyle w:val="P68B1DB1-Text14"/>
        <w:keepNext/>
        <w:ind w:left="0"/>
        <w:rPr>
          <w:bCs/>
          <w:noProof/>
        </w:rPr>
      </w:pPr>
      <w:r>
        <w:rPr>
          <w:noProof/>
        </w:rPr>
        <w:t>A1.2.1 Proiecte care vizează diversificarea sau extinderea activităților comerciale</w:t>
      </w:r>
    </w:p>
    <w:p w14:paraId="1216B25D" w14:textId="77777777" w:rsidR="00A60DDE" w:rsidRDefault="00095506">
      <w:pPr>
        <w:pStyle w:val="P68B1DB1-Text12"/>
        <w:ind w:left="0"/>
        <w:rPr>
          <w:rFonts w:eastAsia="Times New Roman"/>
          <w:noProof/>
        </w:rPr>
      </w:pPr>
      <w:r>
        <w:rPr>
          <w:noProof/>
        </w:rPr>
        <w:t xml:space="preserve">Această investiție urmărește să sprijine întreprinderile din sectoarele HoReCa, turismului sau culturii. </w:t>
      </w:r>
    </w:p>
    <w:p w14:paraId="1216B25E" w14:textId="12475146" w:rsidR="00A60DDE" w:rsidRDefault="00095506">
      <w:pPr>
        <w:pStyle w:val="P68B1DB1-Text12"/>
        <w:ind w:left="0"/>
        <w:rPr>
          <w:rFonts w:eastAsia="Times New Roman"/>
          <w:b/>
          <w:bCs/>
          <w:noProof/>
          <w:color w:val="000000"/>
          <w:u w:val="single"/>
        </w:rPr>
      </w:pPr>
      <w:r>
        <w:rPr>
          <w:noProof/>
        </w:rPr>
        <w:t>Această măsură constă în sprijinirea proiectelor care vizează diversificarea sau extinderea activităților întreprinderilor din aceste sectoare.</w:t>
      </w:r>
    </w:p>
    <w:p w14:paraId="1216B25F" w14:textId="77777777" w:rsidR="00A60DDE" w:rsidRDefault="00A60DDE">
      <w:pPr>
        <w:pStyle w:val="Text1"/>
        <w:ind w:left="0"/>
        <w:rPr>
          <w:b/>
          <w:bCs/>
          <w:noProof/>
          <w:color w:val="000000" w:themeColor="text1"/>
          <w:u w:val="single"/>
        </w:rPr>
      </w:pPr>
    </w:p>
    <w:p w14:paraId="1216B260" w14:textId="77777777" w:rsidR="00A60DDE" w:rsidRDefault="00095506">
      <w:pPr>
        <w:pStyle w:val="P68B1DB1-Text14"/>
        <w:ind w:left="0"/>
        <w:rPr>
          <w:rFonts w:eastAsia="Times New Roman"/>
          <w:bCs/>
          <w:noProof/>
          <w:color w:val="000000"/>
        </w:rPr>
      </w:pPr>
      <w:r>
        <w:rPr>
          <w:noProof/>
        </w:rPr>
        <w:t>A1.3 Reforma amenajării teritoriului</w:t>
      </w:r>
    </w:p>
    <w:p w14:paraId="1216B261" w14:textId="77777777" w:rsidR="00A60DDE" w:rsidRDefault="00095506">
      <w:pPr>
        <w:pStyle w:val="P68B1DB1-Text12"/>
        <w:ind w:left="0"/>
        <w:rPr>
          <w:rFonts w:eastAsia="Times New Roman"/>
          <w:noProof/>
          <w:color w:val="000000"/>
        </w:rPr>
      </w:pPr>
      <w:r>
        <w:rPr>
          <w:noProof/>
        </w:rPr>
        <w:t>Obiectivul general al reformei este de a crea un climat de investiții stabil și previzibil pentru sectorul construcțiilor, precum și de a combate răspândirea necontrolată a clădirilor în zonele periurbane, în special în cele mai mari orașe. În acest scop, scopul reformei este (i) de a raționaliza legislația existentă și de a îmbunătăți cadrul juridic pentru amenajarea teritoriului la nivel municipal; (ii) să creeze norme transparente și clare pentru amenajarea teritoriului la nivel municipal, în special prin asigurarea accesului la informații clare, digitale și fiabile privind amenajarea teritoriului în municipalități; (iii) consolidarea participării părților interesate și a partenerilor sociali la elaborarea planurilor generale municipale.</w:t>
      </w:r>
    </w:p>
    <w:p w14:paraId="1216B262" w14:textId="77777777" w:rsidR="00A60DDE" w:rsidRDefault="00095506">
      <w:pPr>
        <w:pStyle w:val="P68B1DB1-Text12"/>
        <w:ind w:left="0"/>
        <w:rPr>
          <w:rFonts w:eastAsia="Times New Roman"/>
          <w:noProof/>
          <w:color w:val="000000"/>
        </w:rPr>
      </w:pPr>
      <w:r>
        <w:rPr>
          <w:noProof/>
        </w:rPr>
        <w:t>Reforma constă în adoptarea unei noi legi privind amenajarea teritoriului. Legea trebuie: (i) să introducă cerința ca toate municipalitățile să elaboreze și să adopte planuri generale de amenajare a teritoriului, care să fie transformate în legislație locală, care să stabilească normele generale de construcție în zona municipală; (ii) să introducă o cerință care să oblige investitorii să realizeze proiecte suplimentare în beneficiul municipalității atunci când construiesc noi proiecte de dezvoltare, cu scopul, printre altele, de a reduce dezvoltarea locuințelor fără o furnizare suficientă de servicii; (iii) să definească procesul în care părțile interesate pot participa la elaborarea strategiilor și a planurilor generale în municipalități.</w:t>
      </w:r>
    </w:p>
    <w:p w14:paraId="1216B263" w14:textId="77777777" w:rsidR="00A60DDE" w:rsidRDefault="00095506">
      <w:pPr>
        <w:pStyle w:val="P68B1DB1-Text12"/>
        <w:ind w:left="0"/>
        <w:rPr>
          <w:rFonts w:eastAsia="Times New Roman"/>
          <w:noProof/>
        </w:rPr>
      </w:pPr>
      <w:r>
        <w:rPr>
          <w:noProof/>
        </w:rPr>
        <w:t>Punerea în aplicare a reformei se finalizează până la 31 martie 2023.</w:t>
      </w:r>
    </w:p>
    <w:p w14:paraId="1216B264" w14:textId="77777777" w:rsidR="00A60DDE" w:rsidRDefault="00A60DDE">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65" w14:textId="77777777" w:rsidR="00A60DDE" w:rsidRDefault="00095506">
      <w:pPr>
        <w:pStyle w:val="P68B1DB1-Text14"/>
        <w:ind w:left="0"/>
        <w:rPr>
          <w:rFonts w:eastAsia="Times New Roman"/>
          <w:bCs/>
          <w:noProof/>
          <w:color w:val="000000"/>
        </w:rPr>
      </w:pPr>
      <w:r>
        <w:rPr>
          <w:noProof/>
        </w:rPr>
        <w:t>A1.3.1 Punerea în aplicare a reformei amenajării teritoriului</w:t>
      </w:r>
    </w:p>
    <w:p w14:paraId="1216B266" w14:textId="77777777" w:rsidR="00A60DDE" w:rsidRDefault="00095506">
      <w:pPr>
        <w:pStyle w:val="P68B1DB1-Text12"/>
        <w:ind w:left="0"/>
        <w:rPr>
          <w:noProof/>
        </w:rPr>
      </w:pPr>
      <w:r>
        <w:rPr>
          <w:noProof/>
        </w:rPr>
        <w:t>Obiectivul investiției este de a sprijini pregătirea noii reforme a amenajării teritoriului prevăzute în măsura A.1.3 din componenta A.</w:t>
      </w:r>
    </w:p>
    <w:p w14:paraId="1216B267" w14:textId="14548CAD" w:rsidR="00A60DDE" w:rsidRDefault="00095506">
      <w:pPr>
        <w:pStyle w:val="Text1"/>
        <w:ind w:left="0"/>
        <w:rPr>
          <w:noProof/>
        </w:rPr>
      </w:pPr>
      <w:r>
        <w:rPr>
          <w:noProof/>
          <w:color w:val="000000" w:themeColor="text1"/>
        </w:rPr>
        <w:t>Această măsură</w:t>
      </w:r>
      <w:r>
        <w:rPr>
          <w:noProof/>
        </w:rPr>
        <w:t xml:space="preserve"> constă în: (i) adoptarea planurilor generale de amenajare a teritoriului de către cel puțin 744 de municipalități din Polonia; (ii) sprijin tehnic pentru elaborarea planurilor generale de amenajare a teritoriului prin punerea la dispoziția municipalităților a unor materiale educaționale; (iii) furnizarea de cursuri privind noua lege privind amenajarea teritoriului.</w:t>
      </w:r>
    </w:p>
    <w:p w14:paraId="1216B268"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69" w14:textId="77777777" w:rsidR="00A60DDE" w:rsidRDefault="00095506">
      <w:pPr>
        <w:pStyle w:val="P68B1DB1-Text14"/>
        <w:ind w:left="0"/>
        <w:rPr>
          <w:rFonts w:eastAsia="Times New Roman"/>
          <w:bCs/>
          <w:noProof/>
          <w:color w:val="000000"/>
        </w:rPr>
      </w:pPr>
      <w:r>
        <w:rPr>
          <w:noProof/>
        </w:rPr>
        <w:t>A1.4 Reforma menită să îmbunătățească competitivitatea și protecția producătorilor/consumatorilor din sectorul agricol</w:t>
      </w:r>
    </w:p>
    <w:p w14:paraId="1216B26A" w14:textId="21D4CF01" w:rsidR="00A60DDE" w:rsidRDefault="00095506">
      <w:pPr>
        <w:pStyle w:val="P68B1DB1-Normal05"/>
        <w:pBdr>
          <w:top w:val="nil"/>
          <w:left w:val="nil"/>
          <w:bottom w:val="nil"/>
          <w:right w:val="nil"/>
          <w:between w:val="nil"/>
        </w:pBdr>
        <w:spacing w:before="120" w:after="120" w:line="240" w:lineRule="auto"/>
        <w:jc w:val="both"/>
        <w:rPr>
          <w:noProof/>
        </w:rPr>
      </w:pPr>
      <w:r>
        <w:rPr>
          <w:noProof/>
        </w:rPr>
        <w:t>Obiectivul general al reformei este de a consolida poziția consumatorilor și a producătorilor în lanțul de aprovizionare agroalimentar, cu scopul de a spori investițiile și reziliența tuturor actorilor din sectorul agroalimentar, în special a IMM-urilor și a micilor producători. În acest scop, reforma vizează: (i) crearea unui set de principii și bune practici în relațiile verticale din lanțul de aprovizionare agroalimentar; (ii) îmbunătățirea sistemului de executare a contractelor în sectorul agroalimentar pentru a preveni exploatarea avantajelor contractuale; și (iii) creșterea transparenței pieței.</w:t>
      </w:r>
    </w:p>
    <w:p w14:paraId="1216B26B" w14:textId="77777777" w:rsidR="00A60DDE" w:rsidRDefault="00095506">
      <w:pPr>
        <w:pStyle w:val="P68B1DB1-Normal05"/>
        <w:pBdr>
          <w:top w:val="nil"/>
          <w:left w:val="nil"/>
          <w:bottom w:val="nil"/>
          <w:right w:val="nil"/>
          <w:between w:val="nil"/>
        </w:pBdr>
        <w:spacing w:before="120" w:after="120" w:line="240" w:lineRule="auto"/>
        <w:jc w:val="both"/>
        <w:rPr>
          <w:noProof/>
        </w:rPr>
      </w:pPr>
      <w:r>
        <w:rPr>
          <w:noProof/>
        </w:rPr>
        <w:t>Reforma constă într-o nouă lege de combatere a utilizării neloiale a avantajelor contractuale în sectorul agroalimentar, care depășește Directiva 2019/633 privind practicile comerciale neloiale. Reforma constă în:</w:t>
      </w:r>
    </w:p>
    <w:p w14:paraId="1216B26C" w14:textId="7C161E72" w:rsidR="00A60DDE" w:rsidRDefault="00095506">
      <w:pPr>
        <w:pStyle w:val="P68B1DB1-Normal05"/>
        <w:numPr>
          <w:ilvl w:val="0"/>
          <w:numId w:val="2"/>
        </w:numPr>
        <w:pBdr>
          <w:top w:val="nil"/>
          <w:left w:val="nil"/>
          <w:bottom w:val="nil"/>
          <w:right w:val="nil"/>
          <w:between w:val="nil"/>
        </w:pBdr>
        <w:spacing w:before="120" w:after="120" w:line="240" w:lineRule="auto"/>
        <w:jc w:val="both"/>
        <w:rPr>
          <w:noProof/>
        </w:rPr>
      </w:pPr>
      <w:r>
        <w:rPr>
          <w:noProof/>
        </w:rPr>
        <w:t>Pe lângă lista practicilor comerciale neloiale prevăzută în Directiva (UE) 2019/633, reforma introduce o definiție deschisă a practicilor comerciale neloiale. În special, astfel de practici comerciale suplimentare sunt identificate ca fiind neloiale de către Oficiul pentru Concurență și Protecția Consumatorilor (UOKiK) dacă (i) sunt contrare cerințelor de bună conduită comercială; (ii) și denaturează în mod semnificativ sau sunt susceptibile să denatureze în mod semnificativ interesele celorlalte părți contractante.</w:t>
      </w:r>
    </w:p>
    <w:p w14:paraId="1216B26D" w14:textId="77777777" w:rsidR="00A60DDE" w:rsidRDefault="00095506">
      <w:pPr>
        <w:pStyle w:val="P68B1DB1-Normal05"/>
        <w:numPr>
          <w:ilvl w:val="0"/>
          <w:numId w:val="2"/>
        </w:numPr>
        <w:pBdr>
          <w:top w:val="nil"/>
          <w:left w:val="nil"/>
          <w:bottom w:val="nil"/>
          <w:right w:val="nil"/>
          <w:between w:val="nil"/>
        </w:pBdr>
        <w:spacing w:before="120" w:after="120" w:line="240" w:lineRule="auto"/>
        <w:jc w:val="both"/>
        <w:rPr>
          <w:noProof/>
        </w:rPr>
      </w:pPr>
      <w:r>
        <w:rPr>
          <w:noProof/>
        </w:rPr>
        <w:t>Reforma protejează toți operatorii comerciali, inclusiv cumpărătorii de produse agricole și alimentare.</w:t>
      </w:r>
    </w:p>
    <w:p w14:paraId="1216B26E" w14:textId="3885DA73" w:rsidR="00A60DDE" w:rsidRDefault="00095506">
      <w:pPr>
        <w:pStyle w:val="P68B1DB1-Normal05"/>
        <w:pBdr>
          <w:top w:val="nil"/>
          <w:left w:val="nil"/>
          <w:bottom w:val="nil"/>
          <w:right w:val="nil"/>
          <w:between w:val="nil"/>
        </w:pBdr>
        <w:spacing w:before="120" w:after="120" w:line="240" w:lineRule="auto"/>
        <w:jc w:val="both"/>
        <w:rPr>
          <w:noProof/>
        </w:rPr>
      </w:pPr>
      <w:r>
        <w:rPr>
          <w:noProof/>
        </w:rPr>
        <w:t>Reforma include, de asemenea, elaborarea unei evaluări la jumătatea perioadei a noii legi, care include o evaluare a îndeplinirii obiectivelor și identificarea căilor de acțiune pentru abordarea potențialelor probleme de punere în aplicare.</w:t>
      </w:r>
    </w:p>
    <w:p w14:paraId="1216B26F" w14:textId="77777777" w:rsidR="00A60DDE" w:rsidRDefault="00095506">
      <w:pPr>
        <w:pStyle w:val="P68B1DB1-Normal05"/>
        <w:pBdr>
          <w:top w:val="nil"/>
          <w:left w:val="nil"/>
          <w:bottom w:val="nil"/>
          <w:right w:val="nil"/>
          <w:between w:val="nil"/>
        </w:pBdr>
        <w:spacing w:before="120" w:after="120" w:line="240" w:lineRule="auto"/>
        <w:jc w:val="both"/>
        <w:rPr>
          <w:rFonts w:eastAsia="Times New Roman"/>
          <w:noProof/>
          <w:color w:val="000000"/>
        </w:rPr>
      </w:pPr>
      <w:r>
        <w:rPr>
          <w:noProof/>
        </w:rPr>
        <w:t>Punerea în aplicare a reformei se finalizează până la 30 iunie 2025.</w:t>
      </w:r>
    </w:p>
    <w:p w14:paraId="1216B270" w14:textId="77777777" w:rsidR="00A60DDE" w:rsidRDefault="00095506">
      <w:pPr>
        <w:pStyle w:val="P68B1DB1-Text14"/>
        <w:ind w:left="0"/>
        <w:rPr>
          <w:bCs/>
          <w:noProof/>
        </w:rPr>
      </w:pPr>
      <w:r>
        <w:rPr>
          <w:noProof/>
        </w:rPr>
        <w:t>A1.4.1 Modernizarea infrastructurii sau a echipamentelor din sectorul agricol</w:t>
      </w:r>
    </w:p>
    <w:p w14:paraId="1216B271" w14:textId="779AE762" w:rsidR="00A60DDE" w:rsidRDefault="00095506">
      <w:pPr>
        <w:pStyle w:val="P68B1DB1-Text12"/>
        <w:ind w:left="0"/>
        <w:rPr>
          <w:rFonts w:eastAsia="Times New Roman"/>
          <w:noProof/>
        </w:rPr>
      </w:pPr>
      <w:r>
        <w:rPr>
          <w:noProof/>
        </w:rPr>
        <w:t>Obiectivul acestei investiții este de a spori competitivitatea și reziliența sectorului agricol din Polonia.</w:t>
      </w:r>
    </w:p>
    <w:p w14:paraId="1216B272" w14:textId="1A796EFC" w:rsidR="00A60DDE" w:rsidRDefault="00095506">
      <w:pPr>
        <w:pStyle w:val="Text1"/>
        <w:ind w:left="0"/>
        <w:rPr>
          <w:rFonts w:eastAsia="Times New Roman"/>
          <w:noProof/>
          <w:color w:val="000000" w:themeColor="text1"/>
        </w:rPr>
      </w:pPr>
      <w:r>
        <w:rPr>
          <w:noProof/>
          <w:color w:val="000000" w:themeColor="text1"/>
        </w:rPr>
        <w:t xml:space="preserve">Investiția constă în finanțarea construirii sau modernizării infrastructurii sau a echipamentelor actorilor din sector, precum și în furnizarea de finanțare pentru proiecte de înlocuire a materialelor dăunătoare mediului și sănătății în clădirile utilizate pentru producția agricolă. </w:t>
      </w:r>
      <w:r>
        <w:rPr>
          <w:noProof/>
        </w:rPr>
        <w:br w:type="page"/>
      </w:r>
    </w:p>
    <w:p w14:paraId="1216B273" w14:textId="77777777" w:rsidR="00A60DDE" w:rsidRDefault="00095506">
      <w:pPr>
        <w:pStyle w:val="P68B1DB1-Text16"/>
        <w:ind w:left="0"/>
        <w:rPr>
          <w:rFonts w:eastAsia="Times New Roman"/>
          <w:bCs/>
          <w:noProof/>
        </w:rPr>
      </w:pPr>
      <w:r>
        <w:rPr>
          <w:noProof/>
        </w:rPr>
        <w:t>Subcomponenta A2 – Dezvoltarea sistemului național de inovare: consolidarea coordonării, stimularea capacității de inovare și a cooperării între întreprinderi și organizațiile de cercetare, inclusiv în domeniul tehnologiilor de mediu</w:t>
      </w:r>
    </w:p>
    <w:p w14:paraId="1216B274"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rPr>
      </w:pPr>
    </w:p>
    <w:p w14:paraId="1216B275" w14:textId="77777777" w:rsidR="00A60DDE" w:rsidRDefault="00095506">
      <w:pPr>
        <w:pStyle w:val="P68B1DB1-Text14"/>
        <w:ind w:left="0"/>
        <w:rPr>
          <w:rFonts w:eastAsia="Times New Roman"/>
          <w:bCs/>
          <w:noProof/>
          <w:color w:val="000000"/>
        </w:rPr>
      </w:pPr>
      <w:r>
        <w:rPr>
          <w:noProof/>
        </w:rPr>
        <w:t>A2.1 Accelerarea proceselor de robotizare, digitalizare și inovare</w:t>
      </w:r>
    </w:p>
    <w:p w14:paraId="1216B276" w14:textId="2CE8F366" w:rsidR="00A60DDE" w:rsidRDefault="00095506">
      <w:pPr>
        <w:pStyle w:val="P68B1DB1-Text12"/>
        <w:ind w:left="0"/>
        <w:rPr>
          <w:rFonts w:eastAsia="Times New Roman"/>
          <w:noProof/>
          <w:color w:val="000000"/>
        </w:rPr>
      </w:pPr>
      <w:r>
        <w:rPr>
          <w:noProof/>
        </w:rPr>
        <w:t>Reforma urmărește să consolideze cererea de cunoștințe și inovare și implementarea lor efectivă în întreprinderi, în economia digitală.</w:t>
      </w:r>
    </w:p>
    <w:p w14:paraId="1216B277" w14:textId="7FCE48B2" w:rsidR="00A60DDE" w:rsidRDefault="00095506">
      <w:pPr>
        <w:pStyle w:val="P68B1DB1-Text12"/>
        <w:ind w:left="0"/>
        <w:rPr>
          <w:noProof/>
        </w:rPr>
      </w:pPr>
      <w:r>
        <w:rPr>
          <w:noProof/>
        </w:rPr>
        <w:t>Reforma constă în introducerea unor preferințe de sistem fiscal pentru întreprinderile care desfășoară procesul de digitalizare prin investiții în robotizare și digitalizare. Scutirea fiscală ia forma unei deduceri suplimentare a costurilor fiscale pentru a sprijini achiziționarea de roboți.</w:t>
      </w:r>
    </w:p>
    <w:p w14:paraId="1216B278" w14:textId="77777777" w:rsidR="00A60DDE" w:rsidRDefault="00095506">
      <w:pPr>
        <w:pStyle w:val="P68B1DB1-Text12"/>
        <w:ind w:left="0"/>
        <w:rPr>
          <w:rFonts w:eastAsia="Times New Roman"/>
          <w:noProof/>
          <w:color w:val="000000"/>
        </w:rPr>
      </w:pPr>
      <w:r>
        <w:rPr>
          <w:noProof/>
        </w:rPr>
        <w:t>Punerea în aplicare a reformei se finalizează până la 30 iunie 2022.</w:t>
      </w:r>
    </w:p>
    <w:p w14:paraId="1216B279"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7A" w14:textId="0CAB9111" w:rsidR="00A60DDE" w:rsidRDefault="00095506">
      <w:pPr>
        <w:pStyle w:val="P68B1DB1-Text14"/>
        <w:ind w:left="0"/>
        <w:rPr>
          <w:rFonts w:eastAsia="Times New Roman"/>
          <w:bCs/>
          <w:noProof/>
        </w:rPr>
      </w:pPr>
      <w:r>
        <w:rPr>
          <w:noProof/>
        </w:rPr>
        <w:t>A2.1.1 Investiții în robotizare sau digitalizare în întreprinderi</w:t>
      </w:r>
    </w:p>
    <w:p w14:paraId="1216B27B" w14:textId="08AF2C28" w:rsidR="00A60DDE" w:rsidRDefault="00095506">
      <w:pPr>
        <w:pStyle w:val="P68B1DB1-Text12"/>
        <w:ind w:left="0"/>
        <w:rPr>
          <w:noProof/>
        </w:rPr>
      </w:pPr>
      <w:r>
        <w:rPr>
          <w:noProof/>
        </w:rPr>
        <w:t>Investiția urmărește să promoveze robotizarea și digitalizarea întreprinderilor.</w:t>
      </w:r>
    </w:p>
    <w:p w14:paraId="1216B27C" w14:textId="39DDC745" w:rsidR="00A60DDE" w:rsidRDefault="00095506">
      <w:pPr>
        <w:pStyle w:val="Text1"/>
        <w:ind w:left="0"/>
        <w:rPr>
          <w:rFonts w:eastAsia="Times New Roman"/>
          <w:noProof/>
          <w:color w:val="000000" w:themeColor="text1"/>
        </w:rPr>
      </w:pPr>
      <w:r>
        <w:rPr>
          <w:noProof/>
          <w:color w:val="000000" w:themeColor="text1"/>
        </w:rPr>
        <w:t xml:space="preserve">Această măsură constă în proiecte </w:t>
      </w:r>
      <w:r>
        <w:rPr>
          <w:noProof/>
        </w:rPr>
        <w:t>legate de robotizare sau de inteligența artificială sau de digitalizarea proceselor, tehnologiilor, produselor sau serviciilor în întreprinderi.</w:t>
      </w:r>
    </w:p>
    <w:p w14:paraId="1216B27D"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rPr>
      </w:pPr>
    </w:p>
    <w:p w14:paraId="1216B27E" w14:textId="77777777" w:rsidR="00A60DDE" w:rsidRDefault="00095506">
      <w:pPr>
        <w:pStyle w:val="P68B1DB1-Text14"/>
        <w:ind w:left="0"/>
        <w:rPr>
          <w:rFonts w:eastAsia="Times New Roman"/>
          <w:bCs/>
          <w:noProof/>
          <w:color w:val="000000"/>
        </w:rPr>
      </w:pPr>
      <w:r>
        <w:rPr>
          <w:noProof/>
        </w:rPr>
        <w:t>A2.2 Crearea condițiilor pentru tranziția către un model de economie circulară</w:t>
      </w:r>
    </w:p>
    <w:p w14:paraId="1216B27F" w14:textId="0AA57A61" w:rsidR="00A60DDE" w:rsidRDefault="00095506">
      <w:pPr>
        <w:pStyle w:val="P68B1DB1-Text12"/>
        <w:ind w:left="0"/>
        <w:rPr>
          <w:rFonts w:eastAsia="Times New Roman"/>
          <w:noProof/>
          <w:color w:val="000000"/>
        </w:rPr>
      </w:pPr>
      <w:r>
        <w:rPr>
          <w:noProof/>
        </w:rPr>
        <w:t>Reforma vizează crearea unui cadru juridic adecvat pentru funcționarea comerțului cu materii prime secundare. Reforma introduce reglementări privind încetarea statutului de deșeu pentru deșeurile industriale esențiale, care includ definiții ale încetării statutului de deșeu pentru astfel de materiale și facilitează circulația și utilizarea acestora ca materii prime secundare.</w:t>
      </w:r>
    </w:p>
    <w:p w14:paraId="1216B280" w14:textId="77777777" w:rsidR="00A60DDE" w:rsidRDefault="00095506">
      <w:pPr>
        <w:pStyle w:val="P68B1DB1-Text12"/>
        <w:ind w:left="0"/>
        <w:rPr>
          <w:rFonts w:eastAsia="Times New Roman"/>
          <w:noProof/>
          <w:color w:val="000000"/>
        </w:rPr>
      </w:pPr>
      <w:r>
        <w:rPr>
          <w:noProof/>
        </w:rPr>
        <w:t>Punerea în aplicare a reformei se finalizează până la 30 iunie 2024.</w:t>
      </w:r>
    </w:p>
    <w:p w14:paraId="1216B281"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2" w14:textId="77777777" w:rsidR="00A60DDE" w:rsidRDefault="00095506">
      <w:pPr>
        <w:pStyle w:val="P68B1DB1-Text14"/>
        <w:ind w:left="0"/>
        <w:rPr>
          <w:rFonts w:eastAsia="Times New Roman"/>
          <w:bCs/>
          <w:noProof/>
          <w:color w:val="000000"/>
        </w:rPr>
      </w:pPr>
      <w:r>
        <w:rPr>
          <w:noProof/>
        </w:rPr>
        <w:t>A2.2.1 Investiții în tehnologii de mediu și inovații legate de economia circulară</w:t>
      </w:r>
    </w:p>
    <w:p w14:paraId="1216B283" w14:textId="77777777" w:rsidR="00A60DDE" w:rsidRDefault="00095506">
      <w:pPr>
        <w:pStyle w:val="P68B1DB1-Text12"/>
        <w:ind w:left="0"/>
        <w:rPr>
          <w:rFonts w:eastAsia="Times New Roman"/>
          <w:noProof/>
          <w:color w:val="000000"/>
        </w:rPr>
      </w:pPr>
      <w:r>
        <w:rPr>
          <w:noProof/>
        </w:rPr>
        <w:t>Obiectivul acestei măsuri este de a finanța tehnologiile de mediu și inovațiile legate de economia circulară, de a facilita tranziția IMM-urilor către economia circulară și de a utiliza deșeurile ca materii prime secundare.</w:t>
      </w:r>
    </w:p>
    <w:p w14:paraId="1216B284" w14:textId="09549131" w:rsidR="00A60DDE" w:rsidRDefault="00095506">
      <w:pPr>
        <w:pStyle w:val="P68B1DB1-Text12"/>
        <w:ind w:left="0"/>
        <w:rPr>
          <w:rFonts w:eastAsia="Times New Roman"/>
          <w:noProof/>
        </w:rPr>
      </w:pPr>
      <w:r>
        <w:rPr>
          <w:noProof/>
        </w:rPr>
        <w:t>Această măsură constă în semnarea: (i) acorduri de grant pentru proiecte privind tehnologiile de mediu și inovațiile legate de economia circulară care contribuie la transformarea IMM-urilor în direcția economiei circulare; (ii) acord de grant pentru proiecte privind tehnologiile și inovațiile de mediu legate de economia circulară sau de crearea unei piețe pentru materiile prime secundare.</w:t>
      </w:r>
    </w:p>
    <w:p w14:paraId="1216B285"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6" w14:textId="27C7E128" w:rsidR="00A60DDE" w:rsidRDefault="00095506">
      <w:pPr>
        <w:pStyle w:val="P68B1DB1-Text14"/>
        <w:ind w:left="0"/>
        <w:rPr>
          <w:bCs/>
          <w:noProof/>
          <w:color w:val="000000"/>
        </w:rPr>
      </w:pPr>
      <w:r>
        <w:rPr>
          <w:noProof/>
        </w:rPr>
        <w:t>A2.3 Asigurarea temeiului instituțional și juridic pentru dezvoltarea vehiculelor aeriene fără pilot (UAV)</w:t>
      </w:r>
    </w:p>
    <w:p w14:paraId="1216B287" w14:textId="77777777" w:rsidR="00A60DDE" w:rsidRDefault="00095506">
      <w:pPr>
        <w:pStyle w:val="P68B1DB1-Text12"/>
        <w:ind w:left="0"/>
        <w:rPr>
          <w:rFonts w:eastAsia="Times New Roman"/>
          <w:noProof/>
          <w:color w:val="000000"/>
        </w:rPr>
      </w:pPr>
      <w:r>
        <w:rPr>
          <w:noProof/>
        </w:rPr>
        <w:t>Obiectivul reformei este de a înființa o entitate care să sprijine testarea și punerea în aplicare a unor noi soluții bazate pe UAV, în special în zonele urbanizate.</w:t>
      </w:r>
    </w:p>
    <w:p w14:paraId="1216B288" w14:textId="77777777" w:rsidR="00A60DDE" w:rsidRDefault="00095506">
      <w:pPr>
        <w:pStyle w:val="P68B1DB1-Text12"/>
        <w:ind w:left="0"/>
        <w:rPr>
          <w:rFonts w:eastAsia="Times New Roman"/>
          <w:noProof/>
        </w:rPr>
      </w:pPr>
      <w:r>
        <w:rPr>
          <w:noProof/>
        </w:rPr>
        <w:t>Reforma acordă Agenției poloneze pentru servicii de navigație aeriană dreptul de a deține capital propriu în societăți comerciale și o autorizează pe aceasta sau filialele sale să desfășoare proiecte-pilot de sprijinire a punerii în aplicare a modelelor de afaceri și a serviciilor bazate pe UAV. Agenția poloneză pentru servicii de navigație aeriană acționează, de asemenea, ca furnizor de servicii specializate pentru UAV în cadrul rețelei planificate de centre de competență.</w:t>
      </w:r>
    </w:p>
    <w:p w14:paraId="1216B289" w14:textId="77777777" w:rsidR="00A60DDE" w:rsidRDefault="00095506">
      <w:pPr>
        <w:pStyle w:val="P68B1DB1-Text12"/>
        <w:ind w:left="0"/>
        <w:rPr>
          <w:rFonts w:eastAsia="Times New Roman"/>
          <w:noProof/>
          <w:color w:val="000000"/>
        </w:rPr>
      </w:pPr>
      <w:r>
        <w:rPr>
          <w:noProof/>
        </w:rPr>
        <w:t>Punerea în aplicare a acestei reforme se finalizează până la 30 iunie 2023.</w:t>
      </w:r>
    </w:p>
    <w:p w14:paraId="1216B28A" w14:textId="77777777" w:rsidR="00A60DDE" w:rsidRDefault="00A60DDE">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28B" w14:textId="77777777" w:rsidR="00A60DDE" w:rsidRDefault="00095506">
      <w:pPr>
        <w:pStyle w:val="P68B1DB1-Text14"/>
        <w:ind w:left="0"/>
        <w:rPr>
          <w:bCs/>
          <w:noProof/>
        </w:rPr>
      </w:pPr>
      <w:r>
        <w:rPr>
          <w:noProof/>
        </w:rPr>
        <w:t>A2.3.1 Centre locale de competență pentru vehicule aeriene fără pilot</w:t>
      </w:r>
    </w:p>
    <w:p w14:paraId="1216B28C" w14:textId="77777777" w:rsidR="00A60DDE" w:rsidRDefault="00095506">
      <w:pPr>
        <w:pStyle w:val="P68B1DB1-Text12"/>
        <w:ind w:left="0"/>
        <w:rPr>
          <w:rFonts w:eastAsia="Times New Roman"/>
          <w:noProof/>
          <w:color w:val="000000"/>
        </w:rPr>
      </w:pPr>
      <w:r>
        <w:rPr>
          <w:noProof/>
        </w:rPr>
        <w:t>Obiectivul acestei investiții este de a înființa centre locale de competență pentru vehiculele aeriene fără pilot, cu scopul de a permite zborurile avansate ale vehiculelor aeriene fără pilot în zona alocată fiecărui centru de competență.</w:t>
      </w:r>
    </w:p>
    <w:p w14:paraId="1216B28D" w14:textId="0C52AFE3" w:rsidR="00A60DDE" w:rsidRDefault="00095506">
      <w:pPr>
        <w:pStyle w:val="P68B1DB1-Text12"/>
        <w:ind w:left="0"/>
        <w:rPr>
          <w:rFonts w:eastAsia="Times New Roman"/>
          <w:noProof/>
        </w:rPr>
      </w:pPr>
      <w:r>
        <w:rPr>
          <w:noProof/>
        </w:rPr>
        <w:t>Investiția constă în înființarea a zece centre locale care oferă infrastructură digitală, terenuri de aterizare și infrastructură de urmărire pentru vehiculele fără pilot.</w:t>
      </w:r>
    </w:p>
    <w:p w14:paraId="1216B28E" w14:textId="77777777" w:rsidR="00A60DDE" w:rsidRDefault="00A60DDE">
      <w:pPr>
        <w:pStyle w:val="Text1"/>
        <w:ind w:left="0"/>
        <w:rPr>
          <w:rFonts w:eastAsia="Times New Roman"/>
          <w:noProof/>
          <w:color w:val="000000"/>
        </w:rPr>
      </w:pPr>
    </w:p>
    <w:p w14:paraId="1216B28F" w14:textId="77777777" w:rsidR="00A60DDE" w:rsidRDefault="00095506">
      <w:pPr>
        <w:pStyle w:val="P68B1DB1-Text14"/>
        <w:ind w:left="0"/>
        <w:rPr>
          <w:rFonts w:eastAsia="Times New Roman"/>
          <w:bCs/>
          <w:noProof/>
          <w:color w:val="000000"/>
        </w:rPr>
      </w:pPr>
      <w:r>
        <w:rPr>
          <w:noProof/>
        </w:rPr>
        <w:t>A2.4 Consolidarea mecanismelor de cooperare între știință și industrie</w:t>
      </w:r>
    </w:p>
    <w:p w14:paraId="1216B290" w14:textId="5B325BF3" w:rsidR="00A60DDE" w:rsidRDefault="00095506">
      <w:pPr>
        <w:pStyle w:val="P68B1DB1-Text12"/>
        <w:ind w:left="0"/>
        <w:rPr>
          <w:rFonts w:eastAsia="Times New Roman"/>
          <w:noProof/>
          <w:color w:val="000000"/>
        </w:rPr>
      </w:pPr>
      <w:r>
        <w:rPr>
          <w:noProof/>
        </w:rPr>
        <w:t>Reforma constă în două acțiuni. Obiectivul primei acțiuni este de a permite universităților și institutelor de cercetare să devină acționari în cadrul întreprinderilor. Acest lucru urmărește să conducă la o mai mare interdisciplinaritate și flexibilitate a transferului de tehnologie.</w:t>
      </w:r>
    </w:p>
    <w:p w14:paraId="1216B291" w14:textId="77777777" w:rsidR="00A60DDE" w:rsidRDefault="00095506">
      <w:pPr>
        <w:pStyle w:val="P68B1DB1-Text12"/>
        <w:ind w:left="0"/>
        <w:rPr>
          <w:rFonts w:eastAsia="Times New Roman"/>
          <w:noProof/>
          <w:color w:val="000000"/>
        </w:rPr>
      </w:pPr>
      <w:r>
        <w:rPr>
          <w:noProof/>
        </w:rPr>
        <w:t>Prima acțiune din cadrul acestei reforme constă în extinderea categoriilor de entități cu care universitățile pot înființa vehicule cu scop special. Acestea sunt institute de cercetare, institute ale Academiei Poloneze de Științe și institute ale Rețelei de Cercetare Łukasiewicz. Reforma va permite crearea de vehicule cu destinație specială concepute special pentru comercializarea rezultatelor cercetării și amplificării.</w:t>
      </w:r>
    </w:p>
    <w:p w14:paraId="1216B292" w14:textId="77777777" w:rsidR="00A60DDE" w:rsidRDefault="00095506">
      <w:pPr>
        <w:pStyle w:val="P68B1DB1-Text12"/>
        <w:ind w:left="0"/>
        <w:rPr>
          <w:rFonts w:eastAsia="Times New Roman"/>
          <w:noProof/>
          <w:color w:val="000000"/>
        </w:rPr>
      </w:pPr>
      <w:r>
        <w:rPr>
          <w:noProof/>
        </w:rPr>
        <w:t>Punerea în aplicare a acestei reforme urma să fie finalizată până la 31 martie 2022.</w:t>
      </w:r>
    </w:p>
    <w:p w14:paraId="1216B293" w14:textId="77777777" w:rsidR="00A60DDE" w:rsidRDefault="00095506">
      <w:pPr>
        <w:pStyle w:val="P68B1DB1-Text12"/>
        <w:ind w:left="0"/>
        <w:rPr>
          <w:rFonts w:eastAsia="Times New Roman"/>
          <w:noProof/>
          <w:color w:val="000000"/>
        </w:rPr>
      </w:pPr>
      <w:r>
        <w:rPr>
          <w:noProof/>
        </w:rPr>
        <w:t>A doua acțiune din cadrul acestei reforme stabilește, pentru institutele de cercetare și unitățile subordonate aflate sub supravegherea Ministerului Agriculturii și Dezvoltării Rurale, norme de utilizare a laboratoarelor, a infrastructurii de cercetare și a transferului de cunoștințe în cadrul cooperării dintre știință și știință și mediul de afaceri. Normele de acordare a ajutoarelor respectă principiile nediscriminării și transparenței.</w:t>
      </w:r>
    </w:p>
    <w:p w14:paraId="1216B294" w14:textId="77777777" w:rsidR="00A60DDE" w:rsidRDefault="00095506">
      <w:pPr>
        <w:pStyle w:val="P68B1DB1-Text12"/>
        <w:ind w:left="0"/>
        <w:rPr>
          <w:rFonts w:eastAsia="Times New Roman"/>
          <w:noProof/>
          <w:color w:val="000000"/>
        </w:rPr>
      </w:pPr>
      <w:r>
        <w:rPr>
          <w:noProof/>
        </w:rPr>
        <w:t>Punerea în aplicare a acestei reforme urma să fie finalizată până la 31 martie 2022.</w:t>
      </w:r>
    </w:p>
    <w:p w14:paraId="1216B295"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96" w14:textId="77777777" w:rsidR="00A60DDE" w:rsidRDefault="00095506">
      <w:pPr>
        <w:pStyle w:val="P68B1DB1-Text14"/>
        <w:ind w:left="0"/>
        <w:rPr>
          <w:rFonts w:eastAsia="Times New Roman"/>
          <w:bCs/>
          <w:noProof/>
          <w:color w:val="000000"/>
        </w:rPr>
      </w:pPr>
      <w:r>
        <w:rPr>
          <w:noProof/>
        </w:rPr>
        <w:t>A2.4.1 Investiții în capacitățile de cercetare</w:t>
      </w:r>
    </w:p>
    <w:p w14:paraId="1216B297" w14:textId="3A158530" w:rsidR="00A60DDE" w:rsidRDefault="00095506">
      <w:pPr>
        <w:pStyle w:val="P68B1DB1-Text12"/>
        <w:ind w:left="0"/>
        <w:rPr>
          <w:rFonts w:eastAsia="Times New Roman"/>
          <w:noProof/>
          <w:color w:val="000000"/>
        </w:rPr>
      </w:pPr>
      <w:r>
        <w:rPr>
          <w:noProof/>
        </w:rPr>
        <w:t>Obiectivul acestei investiții este de a dota instituțiile de cercetare cu infrastructuri de cercetare sau analitice.</w:t>
      </w:r>
    </w:p>
    <w:p w14:paraId="1216B298" w14:textId="66A34B1E" w:rsidR="00A60DDE" w:rsidRDefault="00095506">
      <w:pPr>
        <w:pStyle w:val="P68B1DB1-Text12"/>
        <w:ind w:left="0"/>
        <w:rPr>
          <w:rFonts w:eastAsia="Times New Roman"/>
          <w:noProof/>
        </w:rPr>
      </w:pPr>
      <w:r>
        <w:rPr>
          <w:noProof/>
        </w:rPr>
        <w:t>Această măsură constă în proiecte pentru laboratoare cu infrastructură de cercetare sau analitică.</w:t>
      </w:r>
    </w:p>
    <w:p w14:paraId="1216B299" w14:textId="77777777" w:rsidR="00A60DDE" w:rsidRDefault="00A60DDE">
      <w:pPr>
        <w:pStyle w:val="Text1"/>
        <w:rPr>
          <w:rFonts w:eastAsia="Times New Roman"/>
          <w:noProof/>
          <w:color w:val="000000" w:themeColor="text1"/>
        </w:rPr>
      </w:pPr>
    </w:p>
    <w:p w14:paraId="1216B29A" w14:textId="77777777" w:rsidR="00A60DDE" w:rsidRDefault="00095506">
      <w:pPr>
        <w:pStyle w:val="P68B1DB1-Text16"/>
        <w:ind w:left="0"/>
        <w:rPr>
          <w:rFonts w:eastAsia="Times New Roman"/>
          <w:bCs/>
          <w:noProof/>
        </w:rPr>
      </w:pPr>
      <w:r>
        <w:rPr>
          <w:noProof/>
        </w:rPr>
        <w:t>Subcomponenta A3 – Educație pentru economia modernă</w:t>
      </w:r>
    </w:p>
    <w:p w14:paraId="1216B29B"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9C" w14:textId="77777777" w:rsidR="00A60DDE" w:rsidRDefault="00095506">
      <w:pPr>
        <w:pStyle w:val="P68B1DB1-Text14"/>
        <w:ind w:left="0"/>
        <w:rPr>
          <w:bCs/>
          <w:noProof/>
        </w:rPr>
      </w:pPr>
      <w:r>
        <w:rPr>
          <w:noProof/>
        </w:rPr>
        <w:t>A3.1 Forța de muncă pentru economia modernă: îmbunătățirea corelării competențelor și calificărilor cu cerințele pieței forței de muncă</w:t>
      </w:r>
    </w:p>
    <w:p w14:paraId="1216B29D" w14:textId="21859F15" w:rsidR="00A60DDE" w:rsidRDefault="00095506">
      <w:pPr>
        <w:pStyle w:val="P68B1DB1-Text12"/>
        <w:ind w:left="0"/>
        <w:rPr>
          <w:rFonts w:eastAsia="Times New Roman"/>
          <w:noProof/>
        </w:rPr>
      </w:pPr>
      <w:r>
        <w:rPr>
          <w:noProof/>
        </w:rPr>
        <w:t>Obiectivul reformei este de a pregăti forța de muncă pentru economia modernă și de a spori corelarea competențelor și a calificărilor cu cerințele pieței forței de muncă.</w:t>
      </w:r>
    </w:p>
    <w:p w14:paraId="1216B29E" w14:textId="77777777" w:rsidR="00A60DDE" w:rsidRDefault="00095506">
      <w:pPr>
        <w:pStyle w:val="P68B1DB1-Text12"/>
        <w:ind w:left="0"/>
        <w:rPr>
          <w:rFonts w:eastAsia="Times New Roman"/>
          <w:noProof/>
          <w:color w:val="000000"/>
        </w:rPr>
      </w:pPr>
      <w:r>
        <w:rPr>
          <w:noProof/>
        </w:rPr>
        <w:t>Această măsură constă în intrarea în vigoare a actului (actelor) juridic(e) de stabilire a cadrului juridic pentru centrele sectoriale de competențe.</w:t>
      </w:r>
    </w:p>
    <w:p w14:paraId="1216B29F" w14:textId="77777777" w:rsidR="00A60DDE" w:rsidRDefault="00A60DDE">
      <w:pPr>
        <w:pStyle w:val="Text1"/>
        <w:ind w:left="0"/>
        <w:rPr>
          <w:rFonts w:eastAsia="Times New Roman"/>
          <w:noProof/>
          <w:color w:val="000000" w:themeColor="text1"/>
        </w:rPr>
      </w:pPr>
    </w:p>
    <w:p w14:paraId="1216B2A0" w14:textId="77777777" w:rsidR="00A60DDE" w:rsidRDefault="00095506">
      <w:pPr>
        <w:pStyle w:val="P68B1DB1-Text14"/>
        <w:ind w:left="0"/>
        <w:rPr>
          <w:rFonts w:eastAsia="Times New Roman"/>
          <w:bCs/>
          <w:noProof/>
          <w:color w:val="000000"/>
        </w:rPr>
      </w:pPr>
      <w:r>
        <w:rPr>
          <w:noProof/>
        </w:rPr>
        <w:t>A3.1.1 Investiții în formarea profesională modernă, învățământul superior și învățarea pe tot parcursul vieții</w:t>
      </w:r>
    </w:p>
    <w:p w14:paraId="1216B2A1" w14:textId="0B79D8CB" w:rsidR="00A60DDE" w:rsidRDefault="00095506">
      <w:pPr>
        <w:pStyle w:val="P68B1DB1-Text17"/>
        <w:ind w:left="0"/>
        <w:rPr>
          <w:noProof/>
        </w:rPr>
      </w:pPr>
      <w:r>
        <w:rPr>
          <w:noProof/>
        </w:rPr>
        <w:t>Obiectivul investiției este de a înființa centre sectoriale de competențe.</w:t>
      </w:r>
    </w:p>
    <w:p w14:paraId="1216B2A2" w14:textId="77777777" w:rsidR="00A60DDE" w:rsidRDefault="00095506">
      <w:pPr>
        <w:pStyle w:val="P68B1DB1-Normal08"/>
        <w:pBdr>
          <w:top w:val="nil"/>
          <w:left w:val="nil"/>
          <w:bottom w:val="nil"/>
          <w:right w:val="nil"/>
          <w:between w:val="nil"/>
        </w:pBdr>
        <w:spacing w:before="120" w:after="120" w:line="240" w:lineRule="auto"/>
        <w:jc w:val="both"/>
        <w:rPr>
          <w:noProof/>
        </w:rPr>
      </w:pPr>
      <w:r>
        <w:rPr>
          <w:noProof/>
        </w:rPr>
        <w:t>Această măsură constă în (i) înființarea și dezvoltarea echipelor de coordonare regională și (ii) lucrările de construcție și achiziționarea de echipamente pentru centrele sectoriale de competențe.</w:t>
      </w:r>
    </w:p>
    <w:p w14:paraId="1216B2A3"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A4" w14:textId="77777777" w:rsidR="00A60DDE" w:rsidRDefault="00095506">
      <w:pPr>
        <w:pStyle w:val="P68B1DB1-Text16"/>
        <w:ind w:left="0"/>
        <w:rPr>
          <w:rFonts w:eastAsia="Times New Roman"/>
          <w:bCs/>
          <w:noProof/>
          <w:color w:val="000000"/>
        </w:rPr>
      </w:pPr>
      <w:r>
        <w:rPr>
          <w:noProof/>
        </w:rPr>
        <w:t>Subcomponenta A4 – Creșterea corelării structurale, a eficienței și a rezilienței la criză a pieței forței de muncă</w:t>
      </w:r>
    </w:p>
    <w:p w14:paraId="1216B2A5" w14:textId="77777777" w:rsidR="00A60DDE" w:rsidRDefault="00A60DDE">
      <w:pPr>
        <w:spacing w:after="0"/>
        <w:rPr>
          <w:rFonts w:ascii="Times New Roman" w:eastAsia="Times New Roman" w:hAnsi="Times New Roman" w:cs="Times New Roman"/>
          <w:b/>
          <w:bCs/>
          <w:noProof/>
          <w:color w:val="000000"/>
          <w:sz w:val="24"/>
          <w:szCs w:val="24"/>
        </w:rPr>
      </w:pPr>
    </w:p>
    <w:p w14:paraId="1216B2A6" w14:textId="77777777" w:rsidR="00A60DDE" w:rsidRDefault="00095506">
      <w:pPr>
        <w:pStyle w:val="P68B1DB1-Text14"/>
        <w:ind w:left="0"/>
        <w:rPr>
          <w:rFonts w:eastAsia="Times New Roman"/>
          <w:bCs/>
          <w:noProof/>
          <w:color w:val="000000"/>
        </w:rPr>
      </w:pPr>
      <w:r>
        <w:rPr>
          <w:noProof/>
        </w:rPr>
        <w:t>A4.1 Reformele structurale ale instituțiilor pieței forței de muncă</w:t>
      </w:r>
    </w:p>
    <w:p w14:paraId="1216B2A7" w14:textId="35FE53DE" w:rsidR="00A60DDE" w:rsidRDefault="00095506">
      <w:pPr>
        <w:pStyle w:val="P68B1DB1-Text12"/>
        <w:ind w:left="0"/>
        <w:rPr>
          <w:rFonts w:eastAsia="Times New Roman"/>
          <w:noProof/>
          <w:color w:val="000000"/>
        </w:rPr>
      </w:pPr>
      <w:r>
        <w:rPr>
          <w:noProof/>
        </w:rPr>
        <w:t>Obiectivul reformei este de a spori participarea pe piața forței de muncă și de a aduce flexibilitate și securitate pe piața forței de muncă din Polonia.</w:t>
      </w:r>
    </w:p>
    <w:p w14:paraId="1216B2A8" w14:textId="77777777" w:rsidR="00A60DDE" w:rsidRDefault="00095506">
      <w:pPr>
        <w:pStyle w:val="P68B1DB1-Text12"/>
        <w:ind w:left="0"/>
        <w:rPr>
          <w:rFonts w:eastAsia="Times New Roman"/>
          <w:noProof/>
          <w:color w:val="000000"/>
        </w:rPr>
      </w:pPr>
      <w:r>
        <w:rPr>
          <w:noProof/>
        </w:rPr>
        <w:t>Această măsură constă în: (i) intrarea în vigoare a noii legislații privind serviciile publice de ocupare a forței de muncă, angajarea resortisanților țărilor terțe și încheierea electronică a anumitor contracte de muncă; (ii) publicarea Planului de dezvoltare a serviciilor publice de ocupare a forței de muncă pentru perioada 2025-2027; (iii) o consultare a partenerilor sociali cu privire la potențialul contractelor colective de muncă și un studiu privind rolul potențial al unui singur contract de muncă; (iv) urmată de adoptarea legii (legilor) ținând seama de prioritățile de reformă identificate.</w:t>
      </w:r>
    </w:p>
    <w:p w14:paraId="1216B2A9" w14:textId="77777777" w:rsidR="00A60DDE" w:rsidRDefault="00A60DDE">
      <w:pPr>
        <w:pStyle w:val="Text1"/>
        <w:ind w:left="0"/>
        <w:rPr>
          <w:rFonts w:eastAsia="Times New Roman"/>
          <w:noProof/>
          <w:color w:val="000000"/>
        </w:rPr>
      </w:pPr>
    </w:p>
    <w:p w14:paraId="1216B2AA" w14:textId="5C7E98A5" w:rsidR="00A60DDE" w:rsidRDefault="00095506">
      <w:pPr>
        <w:pStyle w:val="P68B1DB1-Text14"/>
        <w:ind w:left="0"/>
        <w:rPr>
          <w:rFonts w:eastAsia="Times New Roman"/>
          <w:bCs/>
          <w:noProof/>
          <w:color w:val="000000"/>
        </w:rPr>
      </w:pPr>
      <w:r>
        <w:rPr>
          <w:noProof/>
        </w:rPr>
        <w:t>A4.1.1 Investiții în sprijinul reformei instituțiilor de pe piața forței de muncă</w:t>
      </w:r>
    </w:p>
    <w:p w14:paraId="1216B2AB" w14:textId="7FB2D4EB" w:rsidR="00A60DDE" w:rsidRDefault="00095506">
      <w:pPr>
        <w:pStyle w:val="P68B1DB1-Text12"/>
        <w:ind w:left="0"/>
        <w:rPr>
          <w:noProof/>
        </w:rPr>
      </w:pPr>
      <w:r>
        <w:rPr>
          <w:noProof/>
        </w:rPr>
        <w:t>Obiectivul acestei investiții este de a spori capacitatea serviciilor publice de ocupare a forței de muncă de a sprijini funcționarea pieței forței de muncă.</w:t>
      </w:r>
    </w:p>
    <w:p w14:paraId="1216B2AC" w14:textId="0A9F398E" w:rsidR="00A60DDE" w:rsidRDefault="00095506">
      <w:pPr>
        <w:pStyle w:val="P68B1DB1-Text12"/>
        <w:ind w:left="0"/>
        <w:rPr>
          <w:rFonts w:eastAsia="Times New Roman"/>
          <w:noProof/>
          <w:color w:val="000000"/>
        </w:rPr>
      </w:pPr>
      <w:r>
        <w:rPr>
          <w:noProof/>
        </w:rPr>
        <w:t>Această măsură constă în (i) digitalizarea serviciilor publice de ocupare a forței de muncă și (ii) formare privind aplicarea noilor proceduri.</w:t>
      </w:r>
    </w:p>
    <w:p w14:paraId="1216B2AD" w14:textId="77777777" w:rsidR="00A60DDE" w:rsidRDefault="00A60DDE">
      <w:pPr>
        <w:pStyle w:val="Text1"/>
        <w:ind w:left="0"/>
        <w:rPr>
          <w:rFonts w:eastAsia="Times New Roman"/>
          <w:noProof/>
          <w:color w:val="000000"/>
        </w:rPr>
      </w:pPr>
    </w:p>
    <w:p w14:paraId="1216B2AE" w14:textId="77777777" w:rsidR="00A60DDE" w:rsidRDefault="00095506">
      <w:pPr>
        <w:pStyle w:val="P68B1DB1-Text14"/>
        <w:ind w:left="0"/>
        <w:rPr>
          <w:rFonts w:eastAsia="Times New Roman"/>
          <w:bCs/>
          <w:noProof/>
          <w:color w:val="000000"/>
        </w:rPr>
      </w:pPr>
      <w:r>
        <w:rPr>
          <w:noProof/>
        </w:rPr>
        <w:t>A4.2 Reforma menită să îmbunătățească situația părinților pe piața forței de muncă prin creșterea accesului la servicii de îngrijire a copiilor de înaltă calitate pentru copiii cu vârsta de până la trei ani</w:t>
      </w:r>
    </w:p>
    <w:p w14:paraId="1216B2AF" w14:textId="77777777" w:rsidR="00A60DDE" w:rsidRDefault="00095506">
      <w:pPr>
        <w:pStyle w:val="P68B1DB1-Text12"/>
        <w:ind w:left="0"/>
        <w:rPr>
          <w:rFonts w:eastAsia="Times New Roman"/>
          <w:noProof/>
          <w:color w:val="000000"/>
        </w:rPr>
      </w:pPr>
      <w:r>
        <w:rPr>
          <w:noProof/>
        </w:rPr>
        <w:t>Obiectivul general al reformei este de a facilita accesul la structurile de îngrijire a copiilor pentru copiii cu vârsta de până la trei ani și de a asigura standarde înalte de educație și de calitate pentru serviciile de îngrijire a copiilor. În acest scop, scopul reformei este (i) de a raționaliza gestionarea fondurilor interne și externe pentru crearea și funcționarea structurilor de îngrijire a copiilor; (ii) să pună în aplicare finanțarea internă pe termen lung a serviciilor de îngrijire a copiilor până la vârsta de trei ani; precum și (iii) punerea în aplicare a unui set de standarde minime obligatorii în materie de educație și calitate pentru structurile de îngrijire a copiilor.</w:t>
      </w:r>
    </w:p>
    <w:p w14:paraId="1216B2B0" w14:textId="196FAB92" w:rsidR="00A60DDE" w:rsidRDefault="00095506">
      <w:pPr>
        <w:pStyle w:val="Text1"/>
        <w:ind w:left="0"/>
        <w:rPr>
          <w:rFonts w:eastAsia="Times New Roman"/>
          <w:noProof/>
          <w:color w:val="000000"/>
        </w:rPr>
      </w:pPr>
      <w:r>
        <w:rPr>
          <w:noProof/>
        </w:rPr>
        <w:t xml:space="preserve">Reforma </w:t>
      </w:r>
      <w:r>
        <w:rPr>
          <w:noProof/>
          <w:color w:val="000000" w:themeColor="text1"/>
        </w:rPr>
        <w:t xml:space="preserve">constă în adoptarea unei modificări a legii privind îngrijirea copiilor cu vârsta de până la trei ani și în instituirea unui program multianual specific pentru crearea și funcționarea structurilor de îngrijire a copiilor. Printre altele, modificarea reunește gestionarea a trei surse de finanțare distincte pentru crearea și funcționarea structurilor de îngrijire a copiilor: finanțarea internă, Fondul social european+ și Mecanismul de redresare și reziliență. Reforma asigură, de asemenea, o finanțare internă pe termen lung a serviciilor de îngrijire a copiilor cu vârsta de până la trei ani. În cele din urmă, reforma constă în efectuarea unei analize independente a standardelor existente în materie de îngrijire și educație pentru copiii cu vârsta de până la trei ani, în elaborarea unor standarde relevante de calitate în materie de îngrijire și educație pentru serviciile de îngrijire a copiilor care să țină seama de analiză și în punerea în aplicare a unor modificări juridice relevante pentru ca standardele minime să </w:t>
      </w:r>
      <w:r>
        <w:rPr>
          <w:noProof/>
        </w:rPr>
        <w:t xml:space="preserve">devină obligatorii pentru furnizorii de servicii de îngrijire </w:t>
      </w:r>
      <w:r>
        <w:rPr>
          <w:noProof/>
          <w:color w:val="000000" w:themeColor="text1"/>
        </w:rPr>
        <w:t>a copiilor pentru a sprijini calitatea ridicată a educației și îngrijirii de la o vârstă fragedă.</w:t>
      </w:r>
    </w:p>
    <w:p w14:paraId="1216B2B1" w14:textId="77777777" w:rsidR="00A60DDE" w:rsidRDefault="00095506">
      <w:pPr>
        <w:pStyle w:val="P68B1DB1-Text12"/>
        <w:ind w:left="0"/>
        <w:rPr>
          <w:rFonts w:eastAsia="Times New Roman"/>
          <w:noProof/>
          <w:color w:val="000000"/>
        </w:rPr>
      </w:pPr>
      <w:r>
        <w:rPr>
          <w:noProof/>
        </w:rPr>
        <w:t>Punerea în aplicare a reformei se finalizează până la 30 iunie 2024.</w:t>
      </w:r>
    </w:p>
    <w:p w14:paraId="4724257A"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B3" w14:textId="77777777" w:rsidR="00A60DDE" w:rsidRDefault="00095506">
      <w:pPr>
        <w:pStyle w:val="P68B1DB1-Text14"/>
        <w:ind w:left="0"/>
        <w:rPr>
          <w:rFonts w:eastAsia="Times New Roman"/>
          <w:bCs/>
          <w:noProof/>
          <w:color w:val="000000"/>
        </w:rPr>
      </w:pPr>
      <w:r>
        <w:rPr>
          <w:noProof/>
        </w:rPr>
        <w:t>A4.2.1 Sprijin pentru structurile de îngrijire a copiilor cu vârsta de până la trei ani în cadrul categoriei „Copil mic activ” (fostul Maluch+)</w:t>
      </w:r>
    </w:p>
    <w:p w14:paraId="1216B2B4" w14:textId="77777777" w:rsidR="00A60DDE" w:rsidRDefault="00095506">
      <w:pPr>
        <w:pStyle w:val="P68B1DB1-Text12"/>
        <w:ind w:left="0"/>
        <w:rPr>
          <w:rFonts w:eastAsia="Times New Roman"/>
          <w:noProof/>
        </w:rPr>
      </w:pPr>
      <w:r>
        <w:rPr>
          <w:noProof/>
        </w:rPr>
        <w:t>Obiectivul acestei investiții este de a spori disponibilitatea structurilor de îngrijire a copiilor pentru copiii cu vârsta de până la trei ani.</w:t>
      </w:r>
    </w:p>
    <w:p w14:paraId="1216B2B5" w14:textId="77777777" w:rsidR="00A60DDE" w:rsidRDefault="00095506">
      <w:pPr>
        <w:pStyle w:val="P68B1DB1-Text12"/>
        <w:ind w:left="0"/>
        <w:rPr>
          <w:noProof/>
        </w:rPr>
      </w:pPr>
      <w:r>
        <w:rPr>
          <w:noProof/>
        </w:rPr>
        <w:t>Această măsură constă în (i) crearea unui sistem informatic de gestionare a finanțării și a creării de structuri de îngrijire a copiilor și (ii) construirea sau renovarea sau adaptarea structurilor de îngrijire a copiilor cu vârsta de până la trei ani.</w:t>
      </w:r>
    </w:p>
    <w:p w14:paraId="1216B2B6" w14:textId="77777777" w:rsidR="00A60DDE" w:rsidRDefault="00A60DDE">
      <w:pPr>
        <w:pStyle w:val="Text1"/>
        <w:ind w:left="0"/>
        <w:rPr>
          <w:noProof/>
          <w:color w:val="000000" w:themeColor="text1"/>
        </w:rPr>
      </w:pPr>
    </w:p>
    <w:p w14:paraId="1216B2B7" w14:textId="77777777" w:rsidR="00A60DDE" w:rsidRDefault="00095506">
      <w:pPr>
        <w:pStyle w:val="P68B1DB1-Text14"/>
        <w:ind w:left="0"/>
        <w:rPr>
          <w:bCs/>
          <w:noProof/>
        </w:rPr>
      </w:pPr>
      <w:r>
        <w:rPr>
          <w:noProof/>
        </w:rPr>
        <w:t>A4.3 Punerea în aplicare a cadrului juridic pentru dezvoltarea economiei sociale</w:t>
      </w:r>
    </w:p>
    <w:p w14:paraId="1216B2B8" w14:textId="77777777" w:rsidR="00A60DDE" w:rsidRDefault="00095506">
      <w:pPr>
        <w:pStyle w:val="P68B1DB1-Text12"/>
        <w:ind w:left="0"/>
        <w:rPr>
          <w:rFonts w:eastAsia="Times New Roman"/>
          <w:noProof/>
          <w:color w:val="000000"/>
        </w:rPr>
      </w:pPr>
      <w:r>
        <w:rPr>
          <w:noProof/>
        </w:rPr>
        <w:t>Obiectivul general al reformei este de a crește rata de activitate profesională a persoanelor expuse riscului de excluziune socială și de a sprijini dezinstituționalizarea serviciilor sociale. În acest scop, scopul reformei este de a defini în legislație un cadru pentru funcționarea actorilor din economia socială.</w:t>
      </w:r>
    </w:p>
    <w:p w14:paraId="1216B2B9" w14:textId="77777777" w:rsidR="00A60DDE" w:rsidRDefault="00095506">
      <w:pPr>
        <w:pStyle w:val="P68B1DB1-Text12"/>
        <w:ind w:left="0"/>
        <w:rPr>
          <w:rFonts w:eastAsia="Times New Roman"/>
          <w:noProof/>
          <w:color w:val="000000"/>
        </w:rPr>
      </w:pPr>
      <w:r>
        <w:rPr>
          <w:noProof/>
        </w:rPr>
        <w:t>Reforma constă în adoptarea unei legi privind economia socială. Legea definește normele de bază referitoare la acest sector, inclusiv, în special, principiile de funcționare și de sprijinire a unei întreprinderi sociale, noile moduri de cooperare între entitățile din economia socială și administrația locală în ceea ce privește punerea în aplicare a serviciilor sociale, precum și principiile coordonării politicilor în domeniul dezvoltării economiei sociale.</w:t>
      </w:r>
    </w:p>
    <w:p w14:paraId="1216B2BA" w14:textId="77777777" w:rsidR="00A60DDE" w:rsidRDefault="00095506">
      <w:pPr>
        <w:pStyle w:val="P68B1DB1-Text12"/>
        <w:ind w:left="0"/>
        <w:rPr>
          <w:rFonts w:eastAsia="Times New Roman"/>
          <w:noProof/>
        </w:rPr>
      </w:pPr>
      <w:r>
        <w:rPr>
          <w:noProof/>
        </w:rPr>
        <w:t>Punerea în aplicare a reformei se finalizează până la 30 iunie 2022.</w:t>
      </w:r>
    </w:p>
    <w:p w14:paraId="1216B2BB" w14:textId="77777777" w:rsidR="00A60DDE" w:rsidRDefault="00A60DDE">
      <w:pPr>
        <w:pStyle w:val="Text1"/>
        <w:ind w:left="0"/>
        <w:rPr>
          <w:rFonts w:eastAsia="Times New Roman"/>
          <w:noProof/>
          <w:color w:val="000000" w:themeColor="text1"/>
        </w:rPr>
      </w:pPr>
    </w:p>
    <w:p w14:paraId="1216B2BC" w14:textId="616B3721" w:rsidR="00A60DDE" w:rsidRDefault="00095506">
      <w:pPr>
        <w:pStyle w:val="P68B1DB1-Text14"/>
        <w:ind w:left="0"/>
        <w:rPr>
          <w:rFonts w:eastAsia="Times New Roman"/>
          <w:bCs/>
          <w:noProof/>
          <w:color w:val="000000"/>
        </w:rPr>
      </w:pPr>
      <w:r>
        <w:rPr>
          <w:noProof/>
        </w:rPr>
        <w:t>A4.3.1 Investiții în entități din economia socială</w:t>
      </w:r>
    </w:p>
    <w:p w14:paraId="1216B2BD" w14:textId="6C15AF3E" w:rsidR="00A60DDE" w:rsidRDefault="00095506">
      <w:pPr>
        <w:pStyle w:val="P68B1DB1-Text12"/>
        <w:ind w:left="0"/>
        <w:rPr>
          <w:noProof/>
        </w:rPr>
      </w:pPr>
      <w:r>
        <w:rPr>
          <w:noProof/>
        </w:rPr>
        <w:t>Obiectivul acestei investiții este de a maximiza impactul entităților din economia socială în ceea ce privește reintegrarea socială și profesională a persoanelor expuse riscului de excluziune socială și de a sprijini dezinstituționalizarea serviciilor sociale.</w:t>
      </w:r>
    </w:p>
    <w:p w14:paraId="1216B2BE" w14:textId="082440D2" w:rsidR="00A60DDE" w:rsidRDefault="00095506">
      <w:pPr>
        <w:pStyle w:val="P68B1DB1-Text12"/>
        <w:ind w:left="0"/>
        <w:rPr>
          <w:rFonts w:eastAsia="Times New Roman"/>
          <w:noProof/>
          <w:color w:val="000000"/>
        </w:rPr>
      </w:pPr>
      <w:r>
        <w:rPr>
          <w:noProof/>
        </w:rPr>
        <w:t>Această măsură constă în decizii de acordare a statutului de întreprindere socială și de semnare a acordurilor de grant pentru a sprijini entitățile din economia socială care se angajează să mențină locurile de muncă timp de cel puțin 12 luni de la data acordului.</w:t>
      </w:r>
    </w:p>
    <w:p w14:paraId="1216B2BF" w14:textId="77777777" w:rsidR="00A60DDE" w:rsidRDefault="00A60DDE">
      <w:pPr>
        <w:pStyle w:val="Text1"/>
        <w:ind w:left="0"/>
        <w:rPr>
          <w:noProof/>
          <w:color w:val="000000" w:themeColor="text1"/>
        </w:rPr>
      </w:pPr>
    </w:p>
    <w:p w14:paraId="1216B2C0" w14:textId="77777777" w:rsidR="00A60DDE" w:rsidRDefault="00095506">
      <w:pPr>
        <w:pStyle w:val="P68B1DB1-Text14"/>
        <w:ind w:left="0"/>
        <w:rPr>
          <w:rFonts w:eastAsia="Times New Roman"/>
          <w:bCs/>
          <w:noProof/>
          <w:color w:val="000000"/>
        </w:rPr>
      </w:pPr>
      <w:r>
        <w:rPr>
          <w:noProof/>
        </w:rPr>
        <w:t>A4.4 Sporirea flexibilității formelor de ocupare a forței de muncă și introducerea muncii la distanță</w:t>
      </w:r>
    </w:p>
    <w:p w14:paraId="1216B2C1" w14:textId="77777777" w:rsidR="00A60DDE" w:rsidRDefault="00095506">
      <w:pPr>
        <w:pStyle w:val="P68B1DB1-Text12"/>
        <w:ind w:left="0"/>
        <w:rPr>
          <w:rFonts w:eastAsia="Times New Roman"/>
          <w:noProof/>
          <w:color w:val="000000"/>
        </w:rPr>
      </w:pPr>
      <w:r>
        <w:rPr>
          <w:noProof/>
        </w:rPr>
        <w:t>Obiectivul general al reformei este de a facilita reconcilierea responsabilităților familiale cu cele profesionale și de a ajuta persoanele din grupurile cu rate mai scăzute de participare pe piața forței de muncă să își găsească un loc de muncă obișnuit. În acest scop, munca de la distanță și formele flexibile de organizare a timpului de lucru sunt consacrate în Codul muncii.</w:t>
      </w:r>
    </w:p>
    <w:p w14:paraId="0C505D5C" w14:textId="77777777" w:rsidR="00A60DDE" w:rsidRDefault="00095506">
      <w:pPr>
        <w:pStyle w:val="P68B1DB1-Normal9"/>
        <w:rPr>
          <w:rFonts w:ascii="Times New Roman" w:hAnsi="Times New Roman" w:cs="Times New Roman"/>
          <w:noProof/>
          <w:sz w:val="24"/>
          <w:szCs w:val="24"/>
        </w:rPr>
      </w:pPr>
      <w:r>
        <w:rPr>
          <w:noProof/>
        </w:rPr>
        <w:br w:type="page"/>
      </w:r>
    </w:p>
    <w:p w14:paraId="1216B2C2" w14:textId="6551C06F" w:rsidR="00A60DDE" w:rsidRDefault="00095506">
      <w:pPr>
        <w:pStyle w:val="P68B1DB1-Text12"/>
        <w:ind w:left="0"/>
        <w:rPr>
          <w:rFonts w:eastAsia="Times New Roman"/>
          <w:noProof/>
          <w:color w:val="000000"/>
        </w:rPr>
      </w:pPr>
      <w:r>
        <w:rPr>
          <w:noProof/>
        </w:rPr>
        <w:t>Reforma constă în adoptarea unei modificări a Codului muncii. Modificarea permite munca de la distanță în orice moment, nu numai în circumstanțe extraordinare, și pune în aplicare forme flexibile de organizare a timpului de lucru. Modificarea definește, de asemenea, mai multe modalități operaționale de muncă la distanță și flexibilă, inclusiv: (i) posibilitatea de a lucra de la distanță în afara locului de muncă, pe baza unor acorduri între lucrător și angajator, (ii) o definiție a normelor privind instrumentele de lucru care trebuie furnizate de angajator și (iii) crearea unui cadru pentru principiile de sănătate și siguranță aplicabile muncii de la distanță.</w:t>
      </w:r>
    </w:p>
    <w:p w14:paraId="1216B2C3" w14:textId="77777777" w:rsidR="00A60DDE" w:rsidRDefault="00095506">
      <w:pPr>
        <w:pStyle w:val="P68B1DB1-Text12"/>
        <w:ind w:left="0"/>
        <w:rPr>
          <w:rFonts w:eastAsia="Times New Roman"/>
          <w:noProof/>
        </w:rPr>
      </w:pPr>
      <w:r>
        <w:rPr>
          <w:noProof/>
        </w:rPr>
        <w:t>Punerea în aplicare a reformei se finalizează până la 30 septembrie 2022.</w:t>
      </w:r>
    </w:p>
    <w:p w14:paraId="1216B2C4" w14:textId="77777777" w:rsidR="00A60DDE" w:rsidRDefault="00A60DDE">
      <w:pPr>
        <w:pStyle w:val="Text1"/>
        <w:ind w:left="0"/>
        <w:rPr>
          <w:noProof/>
          <w:color w:val="000000" w:themeColor="text1"/>
        </w:rPr>
      </w:pPr>
    </w:p>
    <w:p w14:paraId="1216B2C5" w14:textId="77777777" w:rsidR="00A60DDE" w:rsidRDefault="00095506">
      <w:pPr>
        <w:pStyle w:val="P68B1DB1-Text14"/>
        <w:ind w:left="0"/>
        <w:rPr>
          <w:rFonts w:eastAsia="Times New Roman"/>
          <w:bCs/>
          <w:noProof/>
          <w:color w:val="000000"/>
        </w:rPr>
      </w:pPr>
      <w:r>
        <w:rPr>
          <w:noProof/>
        </w:rPr>
        <w:t>A4.5 Extinderea carierelor și promovarea muncii dincolo de vârsta legală de pensionare</w:t>
      </w:r>
    </w:p>
    <w:p w14:paraId="1216B2C6" w14:textId="16F0C800" w:rsidR="00A60DDE" w:rsidRDefault="00095506">
      <w:pPr>
        <w:pStyle w:val="P68B1DB1-Text12"/>
        <w:ind w:left="0"/>
        <w:rPr>
          <w:rFonts w:eastAsia="Times New Roman"/>
          <w:noProof/>
          <w:color w:val="000000"/>
        </w:rPr>
      </w:pPr>
      <w:r>
        <w:rPr>
          <w:noProof/>
        </w:rPr>
        <w:t>Obiectivul general al reformei este de a spori capacitatea și motivația lucrătorilor de a rămâne pe piața forței de muncă după vârsta de pensionare. În acest scop, se pune în aplicare un stimulent fiscal pentru cei care au împlinit vârsta legală de pensionare, dar preferă să nu se pensioneze și să continue să lucreze. După doi ani de la punerea în aplicare a stimulentului fiscal, se publică un raport de evaluare a efectului acestuia asupra vârstei efective de pensionare.</w:t>
      </w:r>
    </w:p>
    <w:p w14:paraId="1216B2C7" w14:textId="18A5E408" w:rsidR="00A60DDE" w:rsidRDefault="00095506">
      <w:pPr>
        <w:pStyle w:val="Text1"/>
        <w:ind w:left="0"/>
        <w:rPr>
          <w:rFonts w:eastAsia="Times New Roman"/>
          <w:noProof/>
          <w:color w:val="000000"/>
        </w:rPr>
      </w:pPr>
      <w:r>
        <w:rPr>
          <w:noProof/>
          <w:color w:val="000000" w:themeColor="text1"/>
        </w:rPr>
        <w:t>Reforma constă în adoptarea unei modificări a actului privind impozitul pe venitul persoanelor fizice și în evaluarea acestei măsuri. Modificarea reduce, începând din 2023, impozitul pe venitul persoanelor fizice pentru cei care au împlinit vârsta legală de pensionare, dar nu doresc să se pensioneze și să continue să lucreze. Lucrătorii care se încadrează în prima categorie de impozitare a veniturilor (85</w:t>
      </w:r>
      <w:r w:rsidR="00A52676">
        <w:rPr>
          <w:rFonts w:eastAsia="Times New Roman"/>
          <w:noProof/>
        </w:rPr>
        <w:t xml:space="preserve"> </w:t>
      </w:r>
      <w:r>
        <w:rPr>
          <w:noProof/>
          <w:color w:val="000000" w:themeColor="text1"/>
        </w:rPr>
        <w:t>528 PLN în 2021) și care câștigă cel mult salariul mediu brut în economia națională din Polonia sunt scutiți de impozitul pe venit. Cota impozitului pe venitul persoanelor fizice se reduce pentru alți lucrători cu venituri mai mari care au împlinit vârsta legală de pensionare, dar care nu se pensionează și continuă să lucreze. Datorită acestui stimulent fiscal, contribuabilii câștigă sume suplimentare corespunzătoare cuantumului impozitului pe venit neplătit care urmărește să îi stimuleze să își extindă cariera. După doi ani de la introducerea măsurii menționate anterior, se întocmește un raport pentru a evalua efectul modificărilor aduse impozitului pe venitul persoanelor fizice asupra vârstei efective de pensionare. Aceasta analizează impactul asupra participării pe piața forței de muncă, asupra sustenabilității sistemului de pensii, asupra finanțelor publice și asupra egalității de gen.</w:t>
      </w:r>
    </w:p>
    <w:p w14:paraId="1216B2C8" w14:textId="77777777" w:rsidR="00A60DDE" w:rsidRDefault="00095506">
      <w:pPr>
        <w:pStyle w:val="P68B1DB1-Text12"/>
        <w:ind w:left="0"/>
        <w:rPr>
          <w:rFonts w:eastAsia="Times New Roman"/>
          <w:noProof/>
          <w:color w:val="000000"/>
        </w:rPr>
      </w:pPr>
      <w:r>
        <w:rPr>
          <w:noProof/>
        </w:rPr>
        <w:t>Punerea în aplicare a reformei se finalizează până la 31 decembrie 2024.</w:t>
      </w:r>
    </w:p>
    <w:p w14:paraId="1216B2C9"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CA" w14:textId="77777777" w:rsidR="00A60DDE" w:rsidRDefault="00095506">
      <w:pPr>
        <w:pStyle w:val="P68B1DB1-Text14"/>
        <w:ind w:left="0"/>
        <w:rPr>
          <w:rFonts w:eastAsia="Times New Roman"/>
          <w:bCs/>
          <w:noProof/>
          <w:color w:val="000000"/>
        </w:rPr>
      </w:pPr>
      <w:r>
        <w:rPr>
          <w:noProof/>
        </w:rPr>
        <w:t>A4.6 Creșterea participării pe piața muncii a anumitor grupuri prin dezvoltarea îngrijirii pe termen lung</w:t>
      </w:r>
    </w:p>
    <w:p w14:paraId="1216B2CB" w14:textId="6DB8ED9E" w:rsidR="00A60DDE" w:rsidRDefault="00095506">
      <w:pPr>
        <w:pStyle w:val="Text1"/>
        <w:ind w:left="0"/>
        <w:rPr>
          <w:rFonts w:eastAsia="Times New Roman"/>
          <w:noProof/>
          <w:color w:val="000000"/>
        </w:rPr>
      </w:pPr>
      <w:r>
        <w:rPr>
          <w:noProof/>
          <w:color w:val="000000" w:themeColor="text1"/>
        </w:rPr>
        <w:t>Obiectivul reformei este de a spori participarea pe piața forței de muncă a anumitor grupuri, în special a femeilor, prin creșterea accesului și a eficienței sistemului de îngrijire pe termen lung din Polonia. Măsura constă în: (i) publicarea unei revizuiri strategice a sistemului de îngrijire pe termen lung din Polonia; (ii) intrarea în vigoare a legilor sau modificarea legilor care reglementează: 1) definirea îngrijirii pe termen lung, 2) definirea îngrijitorului informal și a îngrijirii informale,</w:t>
      </w:r>
      <w:r>
        <w:rPr>
          <w:noProof/>
        </w:rPr>
        <w:t xml:space="preserve"> 3) </w:t>
      </w:r>
      <w:r>
        <w:rPr>
          <w:noProof/>
          <w:color w:val="000000" w:themeColor="text1"/>
        </w:rPr>
        <w:t>adoptarea dispozițiilor legale privind standardele organizatorice pentru îngrijirea pe termen lung în sistemul de sănătate și adoptarea de noi dispoziții legale privind standardele pentru serviciile de îngrijire furnizate la locul de reședință, 4)</w:t>
      </w:r>
      <w:r>
        <w:rPr>
          <w:rFonts w:cs="Calibri"/>
          <w:noProof/>
          <w:color w:val="000000" w:themeColor="text1"/>
          <w:sz w:val="18"/>
          <w:szCs w:val="18"/>
        </w:rPr>
        <w:t xml:space="preserve"> </w:t>
      </w:r>
      <w:r>
        <w:rPr>
          <w:noProof/>
          <w:color w:val="000000" w:themeColor="text1"/>
        </w:rPr>
        <w:t>desemnarea organismelor responsabile cu coordonarea sistemului de îngrijire pe termen lung, monitorizarea, evaluarea și activitățile de informare; (iii) publicarea în buletinul public a serviciilor și prestațiilor de îngrijire pe termen lung furnizate în cadrul politicii de sănătate și asistență socială; (iv) publicarea analizei cheltuielilor publice; precum și (v) publicarea unui document care propune o definiție armonizată a calității îngrijirii pe termen lung în sistemele sociale și de sănătate și un sistem de monitorizare și de colectare a datelor și utilizarea acestuia pentru evaluarea calității îngrijirii pe termen lung.</w:t>
      </w:r>
    </w:p>
    <w:p w14:paraId="1216B2CC" w14:textId="021A4FA4" w:rsidR="00A60DDE" w:rsidRDefault="00095506">
      <w:pPr>
        <w:pStyle w:val="P68B1DB1-Normal10"/>
        <w:rPr>
          <w:noProof/>
          <w:color w:val="000000"/>
        </w:rPr>
      </w:pPr>
      <w:r>
        <w:rPr>
          <w:noProof/>
        </w:rPr>
        <w:br w:type="page"/>
      </w:r>
    </w:p>
    <w:p w14:paraId="1216B2CD" w14:textId="77777777" w:rsidR="00A60DDE" w:rsidRDefault="00095506">
      <w:pPr>
        <w:pStyle w:val="P68B1DB1-Text14"/>
        <w:ind w:left="0"/>
        <w:rPr>
          <w:rFonts w:eastAsia="Times New Roman"/>
          <w:bCs/>
          <w:noProof/>
          <w:color w:val="000000"/>
        </w:rPr>
      </w:pPr>
      <w:r>
        <w:rPr>
          <w:noProof/>
        </w:rPr>
        <w:t>A4.7 Limitarea segmentării pieței forței de muncă</w:t>
      </w:r>
    </w:p>
    <w:p w14:paraId="1216B2CE" w14:textId="77777777" w:rsidR="00A60DDE" w:rsidRDefault="00095506">
      <w:pPr>
        <w:pStyle w:val="P68B1DB1-Text12"/>
        <w:ind w:left="0"/>
        <w:rPr>
          <w:noProof/>
        </w:rPr>
      </w:pPr>
      <w:r>
        <w:rPr>
          <w:noProof/>
        </w:rPr>
        <w:t xml:space="preserve">Obiectivul reformei este de a limita segmentarea pieței forței de muncă și de a consolida rolul Inspecției de Stat a Muncii în ceea ce privește controlul respectării dispozițiilor legislației muncii. </w:t>
      </w:r>
    </w:p>
    <w:p w14:paraId="1216B2CF" w14:textId="77777777" w:rsidR="00A60DDE" w:rsidRDefault="00095506">
      <w:pPr>
        <w:pStyle w:val="P68B1DB1-Text12"/>
        <w:ind w:left="0"/>
        <w:rPr>
          <w:noProof/>
        </w:rPr>
      </w:pPr>
      <w:r>
        <w:rPr>
          <w:noProof/>
        </w:rPr>
        <w:t>Această măsură constă în intrarea în vigoare a unui act legislativ care împuternicește Inspecția de Stat a Muncii să emită decizii administrative de transformare a contractelor de drept civil în contracte de muncă și adoptarea unui set de acțiuni menite să sporească capacitatea Inspecției de Stat a Muncii.</w:t>
      </w:r>
    </w:p>
    <w:p w14:paraId="1216B2D0" w14:textId="77777777" w:rsidR="00A60DDE" w:rsidRDefault="00A60DDE">
      <w:pPr>
        <w:pStyle w:val="Text1"/>
        <w:ind w:left="0"/>
        <w:rPr>
          <w:noProof/>
          <w:color w:val="000000" w:themeColor="text1"/>
        </w:rPr>
      </w:pPr>
    </w:p>
    <w:p w14:paraId="1216B2D1" w14:textId="77777777" w:rsidR="00A60DDE" w:rsidRDefault="00095506">
      <w:pPr>
        <w:pStyle w:val="P68B1DB1-Text16"/>
        <w:ind w:left="0"/>
        <w:rPr>
          <w:bCs/>
          <w:noProof/>
        </w:rPr>
      </w:pPr>
      <w:r>
        <w:rPr>
          <w:noProof/>
        </w:rPr>
        <w:t>Subcomponenta A5 – Instrumente financiare pentru sectorul privat</w:t>
      </w:r>
    </w:p>
    <w:p w14:paraId="1216B2D2" w14:textId="77777777" w:rsidR="00A60DDE" w:rsidRDefault="00A60DDE">
      <w:pPr>
        <w:pStyle w:val="Text1"/>
        <w:ind w:left="0"/>
        <w:rPr>
          <w:b/>
          <w:bCs/>
          <w:noProof/>
          <w:color w:val="000000" w:themeColor="text1"/>
        </w:rPr>
      </w:pPr>
    </w:p>
    <w:p w14:paraId="1216B2D3" w14:textId="77777777" w:rsidR="00A60DDE" w:rsidRDefault="00095506">
      <w:pPr>
        <w:pStyle w:val="P68B1DB1-Normal011"/>
        <w:pBdr>
          <w:top w:val="nil"/>
          <w:left w:val="nil"/>
          <w:bottom w:val="nil"/>
          <w:right w:val="nil"/>
          <w:between w:val="nil"/>
        </w:pBdr>
        <w:spacing w:before="120" w:after="120" w:line="240" w:lineRule="auto"/>
        <w:jc w:val="both"/>
        <w:rPr>
          <w:bCs/>
          <w:noProof/>
        </w:rPr>
      </w:pPr>
      <w:r>
        <w:rPr>
          <w:noProof/>
        </w:rPr>
        <w:t>A5.1 Contribuția la compartimentul pentru statele membre în cadrul programului InvestEU</w:t>
      </w:r>
    </w:p>
    <w:p w14:paraId="1216B2D4" w14:textId="77777777" w:rsidR="00A60DDE" w:rsidRDefault="00095506">
      <w:pPr>
        <w:pStyle w:val="P68B1DB1-Normal10"/>
        <w:pBdr>
          <w:top w:val="nil"/>
          <w:left w:val="nil"/>
          <w:bottom w:val="nil"/>
          <w:right w:val="nil"/>
          <w:between w:val="nil"/>
        </w:pBdr>
        <w:spacing w:before="120" w:after="120" w:line="240" w:lineRule="auto"/>
        <w:jc w:val="both"/>
        <w:rPr>
          <w:noProof/>
        </w:rPr>
      </w:pPr>
      <w:r>
        <w:rPr>
          <w:noProof/>
        </w:rPr>
        <w:t>Această măsură constă într-o investiție publică în compartimentul pentru statele membre al InvestEU pentru a stimula investițiile private și a îmbunătăți accesul IMM-urilor poloneze la finanțare. Contribuția la compartimentul pentru statele membre al InvestEU se utilizează pentru garanții. Acest produs financiar funcționează prin furnizarea de garanții sectorului privat prin intermediari financiari.</w:t>
      </w:r>
    </w:p>
    <w:p w14:paraId="1216B2D5" w14:textId="0D7285C1" w:rsidR="00A60DDE" w:rsidRDefault="00095506">
      <w:pPr>
        <w:pStyle w:val="P68B1DB1-Normal10"/>
        <w:pBdr>
          <w:top w:val="nil"/>
          <w:left w:val="nil"/>
          <w:bottom w:val="nil"/>
          <w:right w:val="nil"/>
          <w:between w:val="nil"/>
        </w:pBdr>
        <w:spacing w:before="120" w:after="120" w:line="240" w:lineRule="auto"/>
        <w:jc w:val="both"/>
        <w:rPr>
          <w:noProof/>
        </w:rPr>
      </w:pPr>
      <w:r>
        <w:rPr>
          <w:noProof/>
        </w:rPr>
        <w:t>Intră în vigoare un acord de garantare între Comisie și partenerul de implementare, selectat în conformitate cu dispozițiile relevante din Regulamentul (UE) 2021/523 al Parlamentului European și al Consiliului din 24 martie 2021 de instituire a Programului InvestEU și de modificare a Regulamentului (UE) 2015/1017.</w:t>
      </w:r>
    </w:p>
    <w:p w14:paraId="1216B2D6" w14:textId="77777777" w:rsidR="00A60DDE" w:rsidRDefault="00095506">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Polonia semnează un acord de contribuție cu Comisia Europeană, care include: </w:t>
      </w:r>
      <w:r>
        <w:rPr>
          <w:noProof/>
        </w:rPr>
        <w:br/>
      </w:r>
    </w:p>
    <w:p w14:paraId="1216B2D7" w14:textId="77777777" w:rsidR="00A60DDE" w:rsidRDefault="00095506">
      <w:pPr>
        <w:pStyle w:val="P68B1DB1-ListParagraph12"/>
        <w:numPr>
          <w:ilvl w:val="0"/>
          <w:numId w:val="3"/>
        </w:numPr>
        <w:spacing w:line="240" w:lineRule="auto"/>
        <w:jc w:val="both"/>
        <w:rPr>
          <w:noProof/>
        </w:rPr>
      </w:pPr>
      <w:r>
        <w:rPr>
          <w:noProof/>
        </w:rPr>
        <w:t>Partenerul de implementare propus.</w:t>
      </w:r>
    </w:p>
    <w:p w14:paraId="1216B2D8" w14:textId="77777777" w:rsidR="00A60DDE" w:rsidRDefault="00095506">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Cerința de conformitate cu Orientările tehnice revizuite privind principiul de „a nu aduce prejudicii semnificative” [(</w:t>
      </w:r>
      <w:r>
        <w:rPr>
          <w:rFonts w:ascii="Times New Roman" w:hAnsi="Times New Roman" w:cs="Times New Roman"/>
          <w:noProof/>
          <w:sz w:val="24"/>
          <w:szCs w:val="24"/>
        </w:rPr>
        <w:t>2023) 6454 final].</w:t>
      </w:r>
      <w:r>
        <w:rPr>
          <w:rFonts w:ascii="Times New Roman" w:eastAsia="Times New Roman" w:hAnsi="Times New Roman" w:cs="Times New Roman"/>
          <w:noProof/>
          <w:color w:val="000000" w:themeColor="text1"/>
          <w:sz w:val="24"/>
          <w:szCs w:val="24"/>
        </w:rPr>
        <w:t xml:space="preserve"> Dacă este necesar, acordul de garantare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color w:val="000000" w:themeColor="text1"/>
          <w:sz w:val="24"/>
          <w:szCs w:val="24"/>
        </w:rPr>
        <w:footnoteReference w:id="2"/>
      </w:r>
      <w:r>
        <w:rPr>
          <w:rFonts w:ascii="Times New Roman" w:eastAsia="Times New Roman" w:hAnsi="Times New Roman" w:cs="Times New Roman"/>
          <w:noProof/>
          <w:color w:val="000000" w:themeColor="text1"/>
          <w:sz w:val="24"/>
          <w:szCs w:val="24"/>
        </w:rPr>
        <w:t xml:space="preserve">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color w:val="000000" w:themeColor="text1"/>
          <w:sz w:val="24"/>
          <w:szCs w:val="24"/>
        </w:rPr>
        <w:footnoteReference w:id="3"/>
      </w:r>
      <w:r>
        <w:rPr>
          <w:rFonts w:ascii="Times New Roman" w:eastAsia="Times New Roman" w:hAnsi="Times New Roman" w:cs="Times New Roman"/>
          <w:noProof/>
          <w:color w:val="000000" w:themeColor="text1"/>
          <w:sz w:val="24"/>
          <w:szCs w:val="24"/>
        </w:rPr>
        <w:t xml:space="preserve"> (iii) activități și active legate de depozitele de deșeuri, incineratoare și stații</w:t>
      </w:r>
      <w:r>
        <w:rPr>
          <w:rStyle w:val="FootnoteReference"/>
          <w:rFonts w:ascii="Times New Roman" w:eastAsia="Times New Roman" w:hAnsi="Times New Roman" w:cs="Times New Roman"/>
          <w:noProof/>
          <w:color w:val="000000" w:themeColor="text1"/>
          <w:sz w:val="24"/>
          <w:szCs w:val="24"/>
        </w:rPr>
        <w:footnoteReference w:id="4"/>
      </w:r>
      <w:r>
        <w:rPr>
          <w:rFonts w:ascii="Times New Roman" w:eastAsia="Times New Roman" w:hAnsi="Times New Roman" w:cs="Times New Roman"/>
          <w:noProof/>
          <w:color w:val="000000" w:themeColor="text1"/>
          <w:sz w:val="24"/>
          <w:szCs w:val="24"/>
        </w:rPr>
        <w:t xml:space="preserve"> de tratare mecano-biologică.</w:t>
      </w:r>
      <w:r>
        <w:rPr>
          <w:rStyle w:val="FootnoteReference"/>
          <w:rFonts w:ascii="Times New Roman" w:eastAsia="Times New Roman" w:hAnsi="Times New Roman" w:cs="Times New Roman"/>
          <w:noProof/>
          <w:color w:val="000000" w:themeColor="text1"/>
          <w:sz w:val="24"/>
          <w:szCs w:val="24"/>
        </w:rPr>
        <w:footnoteReference w:id="5"/>
      </w:r>
    </w:p>
    <w:p w14:paraId="1216B2D9" w14:textId="77777777" w:rsidR="00A60DDE" w:rsidRDefault="00095506">
      <w:pPr>
        <w:pStyle w:val="P68B1DB1-ListParagraph12"/>
        <w:numPr>
          <w:ilvl w:val="0"/>
          <w:numId w:val="3"/>
        </w:numPr>
        <w:spacing w:line="240" w:lineRule="auto"/>
        <w:jc w:val="both"/>
        <w:rPr>
          <w:noProof/>
        </w:rPr>
      </w:pPr>
      <w:r>
        <w:rPr>
          <w:noProof/>
        </w:rPr>
        <w:t xml:space="preserve">Descrierea sistemului de monitorizare care trebuie utilizat pentru a raporta cu privire la fondurile mobilizate. </w:t>
      </w:r>
    </w:p>
    <w:p w14:paraId="1216B2DA" w14:textId="77777777" w:rsidR="00A60DDE" w:rsidRDefault="00A60DDE">
      <w:pPr>
        <w:pStyle w:val="Normal00"/>
        <w:rPr>
          <w:rFonts w:ascii="Times New Roman" w:eastAsia="Times New Roman" w:hAnsi="Times New Roman" w:cs="Times New Roman"/>
          <w:noProof/>
          <w:color w:val="000000" w:themeColor="text1"/>
          <w:sz w:val="24"/>
          <w:szCs w:val="24"/>
        </w:rPr>
      </w:pPr>
    </w:p>
    <w:p w14:paraId="1216B2DB" w14:textId="77777777" w:rsidR="00A60DDE" w:rsidRDefault="00095506">
      <w:pPr>
        <w:pStyle w:val="P68B1DB1-Normal13"/>
        <w:spacing w:after="160" w:line="257" w:lineRule="auto"/>
        <w:rPr>
          <w:bCs/>
          <w:noProof/>
        </w:rPr>
      </w:pPr>
      <w:r>
        <w:rPr>
          <w:noProof/>
        </w:rPr>
        <w:t xml:space="preserve">Subcomponenta A6 – Contribuție la programele de sateliți ale UE </w:t>
      </w:r>
    </w:p>
    <w:p w14:paraId="1216B2DC" w14:textId="77777777" w:rsidR="00A60DDE" w:rsidRDefault="00095506">
      <w:pPr>
        <w:pStyle w:val="P68B1DB1-Normal14"/>
        <w:spacing w:after="160" w:line="257" w:lineRule="auto"/>
        <w:rPr>
          <w:bCs/>
          <w:noProof/>
        </w:rPr>
      </w:pPr>
      <w:r>
        <w:rPr>
          <w:noProof/>
          <w:sz w:val="24"/>
          <w:szCs w:val="24"/>
        </w:rPr>
        <w:t>A6.1: Contribuția voluntară la Programul UE privind conectivitatea securizată (</w:t>
      </w:r>
      <w:r>
        <w:rPr>
          <w:noProof/>
        </w:rPr>
        <w:t>IRIS</w:t>
      </w:r>
      <w:r>
        <w:rPr>
          <w:noProof/>
          <w:vertAlign w:val="superscript"/>
        </w:rPr>
        <w:t xml:space="preserve"> 2)</w:t>
      </w:r>
    </w:p>
    <w:p w14:paraId="1216B2DD" w14:textId="77777777" w:rsidR="00A60DDE" w:rsidRDefault="00095506">
      <w:pPr>
        <w:pStyle w:val="P68B1DB1-Normal15"/>
        <w:spacing w:after="160"/>
        <w:jc w:val="both"/>
        <w:rPr>
          <w:noProof/>
        </w:rPr>
      </w:pPr>
      <w:r>
        <w:rPr>
          <w:noProof/>
        </w:rPr>
        <w:t>Această măsură vizează sprijinirea capacităților de comunicații securizate ale Poloniei.</w:t>
      </w:r>
    </w:p>
    <w:p w14:paraId="1216B2DE" w14:textId="3B795F0D" w:rsidR="00A60DDE" w:rsidRDefault="00095506">
      <w:pPr>
        <w:spacing w:after="160"/>
        <w:jc w:val="both"/>
        <w:rPr>
          <w:rFonts w:ascii="Times New Roman" w:hAnsi="Times New Roman"/>
          <w:noProof/>
          <w:sz w:val="24"/>
          <w:szCs w:val="24"/>
        </w:rPr>
      </w:pPr>
      <w:r>
        <w:rPr>
          <w:rFonts w:ascii="Times New Roman" w:eastAsia="Times New Roman" w:hAnsi="Times New Roman" w:cs="Times New Roman"/>
          <w:noProof/>
          <w:sz w:val="24"/>
          <w:szCs w:val="24"/>
        </w:rPr>
        <w:t>Măsura constă într-o contribuție voluntară de 656 326 691 EUR la Programul UE privind conectivitatea securizată (IRIS</w:t>
      </w:r>
      <w:r>
        <w:rPr>
          <w:rFonts w:ascii="Times New Roman" w:eastAsia="Times New Roman" w:hAnsi="Times New Roman" w:cs="Times New Roman"/>
          <w:noProof/>
          <w:vertAlign w:val="superscript"/>
        </w:rPr>
        <w:t xml:space="preserve"> 2).</w:t>
      </w:r>
      <w:r>
        <w:rPr>
          <w:rFonts w:ascii="Times New Roman" w:hAnsi="Times New Roman"/>
          <w:noProof/>
          <w:sz w:val="24"/>
          <w:szCs w:val="24"/>
        </w:rPr>
        <w:t xml:space="preserve"> Contribuția va sprijini achiziționarea de sateliți suplimentari ai operatorului economic privat în economia de piață și ai operatorului economic privat în economia de piață, infrastructura terestră cu poartă de acces și punct de prezență situate în Polonia, capacitatea de comunicare prin satelit și/sau dezvoltarea de activități auxiliare de conectivitate.</w:t>
      </w:r>
    </w:p>
    <w:p w14:paraId="1216B2DF" w14:textId="77777777" w:rsidR="00A60DDE" w:rsidRDefault="00A60DDE">
      <w:pPr>
        <w:pStyle w:val="Normal00"/>
        <w:rPr>
          <w:rFonts w:ascii="Times New Roman" w:eastAsia="Times New Roman" w:hAnsi="Times New Roman" w:cs="Times New Roman"/>
          <w:noProof/>
          <w:color w:val="000000" w:themeColor="text1"/>
          <w:sz w:val="24"/>
          <w:szCs w:val="24"/>
        </w:rPr>
      </w:pPr>
    </w:p>
    <w:p w14:paraId="1216B2E0" w14:textId="77777777" w:rsidR="00A60DDE" w:rsidRDefault="00A60DDE">
      <w:pPr>
        <w:pStyle w:val="Normal00"/>
        <w:rPr>
          <w:rFonts w:ascii="Times New Roman" w:hAnsi="Times New Roman"/>
          <w:b/>
          <w:bCs/>
          <w:noProof/>
          <w:color w:val="000000" w:themeColor="text1"/>
          <w:sz w:val="24"/>
          <w:szCs w:val="24"/>
        </w:rPr>
      </w:pPr>
    </w:p>
    <w:p w14:paraId="1216B2E1" w14:textId="77777777" w:rsidR="00A60DDE" w:rsidRDefault="00A60DDE">
      <w:pPr>
        <w:pStyle w:val="Normal00"/>
        <w:rPr>
          <w:rFonts w:ascii="Times New Roman" w:hAnsi="Times New Roman"/>
          <w:b/>
          <w:bCs/>
          <w:noProof/>
          <w:color w:val="000000" w:themeColor="text1"/>
          <w:sz w:val="24"/>
          <w:szCs w:val="24"/>
        </w:rPr>
        <w:sectPr w:rsidR="00A60DDE" w:rsidSect="00FC0801">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299"/>
        </w:sectPr>
      </w:pPr>
    </w:p>
    <w:p w14:paraId="1216B2E2"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A.2. </w:t>
      </w:r>
      <w:r>
        <w:rPr>
          <w:noProof/>
        </w:rPr>
        <w:t xml:space="preserve"> </w:t>
      </w:r>
      <w:r>
        <w:rPr>
          <w:rFonts w:ascii="Times New Roman" w:hAnsi="Times New Roman"/>
          <w:b/>
          <w:noProof/>
          <w:color w:val="000000"/>
          <w:sz w:val="24"/>
        </w:rPr>
        <w:t>Jaloane, ținte, indicatori și calendar pentru monitorizarea și punerea în aplicare a sprijinului financiar nerambursabil</w:t>
      </w:r>
    </w:p>
    <w:p w14:paraId="1216B2E3" w14:textId="77777777" w:rsidR="00A60DDE" w:rsidRDefault="00095506">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A1 – Mediul de afaceri</w:t>
      </w:r>
    </w:p>
    <w:tbl>
      <w:tblPr>
        <w:tblStyle w:val="NormalTable0"/>
        <w:tblW w:w="15309"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07"/>
        <w:gridCol w:w="2130"/>
        <w:gridCol w:w="1133"/>
        <w:gridCol w:w="1979"/>
        <w:gridCol w:w="1559"/>
        <w:gridCol w:w="1139"/>
        <w:gridCol w:w="992"/>
        <w:gridCol w:w="846"/>
        <w:gridCol w:w="855"/>
        <w:gridCol w:w="645"/>
        <w:gridCol w:w="3324"/>
      </w:tblGrid>
      <w:tr w:rsidR="00A60DDE" w14:paraId="1216B2EC" w14:textId="77777777">
        <w:trPr>
          <w:trHeight w:val="807"/>
          <w:tblHeader/>
          <w:jc w:val="center"/>
        </w:trPr>
        <w:tc>
          <w:tcPr>
            <w:tcW w:w="7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4" w14:textId="0EB7B5F4"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Nr.</w:t>
            </w:r>
            <w:r w:rsidR="005631E2">
              <w:rPr>
                <w:noProof/>
              </w:rPr>
              <w:t xml:space="preserve"> secv.</w:t>
            </w:r>
          </w:p>
        </w:tc>
        <w:tc>
          <w:tcPr>
            <w:tcW w:w="2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5"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13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6"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19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7"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8" w14:textId="678F67DD"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br/>
            </w:r>
            <w:r>
              <w:rPr>
                <w:rFonts w:ascii="Times New Roman" w:hAnsi="Times New Roman"/>
                <w:b/>
                <w:noProof/>
                <w:color w:val="000000"/>
                <w:sz w:val="18"/>
              </w:rPr>
              <w:t>(pentru jaloane)</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9" w14:textId="5A8CF6DE"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br/>
            </w:r>
            <w:r>
              <w:rPr>
                <w:rFonts w:ascii="Times New Roman" w:hAnsi="Times New Roman"/>
                <w:b/>
                <w:noProof/>
                <w:color w:val="000000"/>
                <w:sz w:val="18"/>
              </w:rPr>
              <w:t>(pentru obiective)</w:t>
            </w:r>
          </w:p>
        </w:tc>
        <w:tc>
          <w:tcPr>
            <w:tcW w:w="1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A"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32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B"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A60DDE" w14:paraId="1216B2F8" w14:textId="77777777">
        <w:trPr>
          <w:trHeight w:val="365"/>
          <w:jc w:val="center"/>
        </w:trPr>
        <w:tc>
          <w:tcPr>
            <w:tcW w:w="707" w:type="dxa"/>
            <w:vMerge/>
            <w:vAlign w:val="center"/>
          </w:tcPr>
          <w:p w14:paraId="1216B2ED"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2130" w:type="dxa"/>
            <w:vMerge/>
            <w:vAlign w:val="center"/>
          </w:tcPr>
          <w:p w14:paraId="1216B2EE"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3" w:type="dxa"/>
            <w:vMerge/>
            <w:vAlign w:val="center"/>
          </w:tcPr>
          <w:p w14:paraId="1216B2EF"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79" w:type="dxa"/>
            <w:vMerge/>
            <w:vAlign w:val="center"/>
          </w:tcPr>
          <w:p w14:paraId="1216B2F0"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2F1"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2"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3"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4"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5"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6"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324" w:type="dxa"/>
            <w:vMerge/>
            <w:vAlign w:val="center"/>
          </w:tcPr>
          <w:p w14:paraId="1216B2F7"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304" w14:textId="77777777">
        <w:trPr>
          <w:trHeight w:val="1365"/>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9"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C" w14:textId="77777777" w:rsidR="00A60DDE" w:rsidRDefault="00095506">
            <w:pPr>
              <w:pStyle w:val="P68B1DB1-Normal019"/>
              <w:spacing w:after="0" w:line="240" w:lineRule="auto"/>
              <w:rPr>
                <w:rFonts w:eastAsia="Times New Roman" w:cs="Times New Roman"/>
                <w:noProof/>
                <w:color w:val="000000" w:themeColor="text1"/>
                <w:szCs w:val="18"/>
              </w:rPr>
            </w:pPr>
            <w:r>
              <w:rPr>
                <w:noProof/>
              </w:rPr>
              <w:t>Elaborarea unei note explicative privind organigrama standardizată a conturilor integrată în clasificarea bugetară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 pe site-ul Ministerului Finanțelor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3"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Publicarea notei explicative pe Biuletyn Informacji Publicznej (site-ul de informare publică) al Ministerului Finanțelor. Nota explicativă trebuie să prezinte descrierea și instituirea noului sistem de clasificare.</w:t>
            </w:r>
          </w:p>
        </w:tc>
      </w:tr>
      <w:tr w:rsidR="00A60DDE" w14:paraId="1216B31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5" w14:textId="77777777" w:rsidR="00A60DDE" w:rsidRDefault="00095506">
            <w:pPr>
              <w:pStyle w:val="P68B1DB1-Normal018"/>
              <w:spacing w:after="0" w:line="240" w:lineRule="auto"/>
              <w:jc w:val="center"/>
              <w:rPr>
                <w:rFonts w:eastAsia="Times New Roman" w:cs="Times New Roman"/>
                <w:noProof/>
                <w:color w:val="000000" w:themeColor="text1"/>
              </w:rPr>
            </w:pPr>
            <w:r>
              <w:rPr>
                <w:noProof/>
              </w:rPr>
              <w:t>A2G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6"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8"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Cadrul bugetar pe termen mediu revizuit și cadrul de revizuire a cheltuielilor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9"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Dispoziție din actul (actele) juridic(e) care indică intrarea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D"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F" w14:textId="77777777" w:rsidR="00A60DDE" w:rsidRDefault="00095506">
            <w:pPr>
              <w:pStyle w:val="P68B1DB1-Normal021"/>
              <w:pBdr>
                <w:top w:val="nil"/>
                <w:left w:val="nil"/>
                <w:bottom w:val="nil"/>
                <w:right w:val="nil"/>
                <w:between w:val="nil"/>
              </w:pBdr>
              <w:spacing w:after="0" w:line="240" w:lineRule="auto"/>
              <w:rPr>
                <w:noProof/>
              </w:rPr>
            </w:pPr>
            <w:r>
              <w:rPr>
                <w:noProof/>
              </w:rPr>
              <w:t>Intrarea în vigoare a unui set de măsuri legislative care introduc un cadru bugetar pe termen mediu revizuit.</w:t>
            </w:r>
          </w:p>
          <w:p w14:paraId="1216B310"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sz w:val="18"/>
                <w:szCs w:val="18"/>
              </w:rPr>
            </w:pPr>
          </w:p>
          <w:p w14:paraId="1216B311" w14:textId="7D81F6BB" w:rsidR="00A60DDE" w:rsidRDefault="00095506">
            <w:pPr>
              <w:pStyle w:val="P68B1DB1-Normal22"/>
              <w:tabs>
                <w:tab w:val="left" w:pos="9923"/>
              </w:tabs>
              <w:spacing w:after="120" w:line="240" w:lineRule="auto"/>
              <w:rPr>
                <w:noProof/>
              </w:rPr>
            </w:pPr>
            <w:r>
              <w:rPr>
                <w:noProof/>
              </w:rPr>
              <w:t>Intrarea în vigoare a actului (actelor) juridic(e) de revizuire a cadrului de analiză a cheltuielilor prin introducerea unei cerințe privind:</w:t>
            </w:r>
          </w:p>
          <w:p w14:paraId="1216B312" w14:textId="77777777" w:rsidR="00A60DDE" w:rsidRDefault="00095506">
            <w:pPr>
              <w:pStyle w:val="P68B1DB1-Normal22"/>
              <w:tabs>
                <w:tab w:val="left" w:pos="9923"/>
              </w:tabs>
              <w:spacing w:after="120" w:line="240" w:lineRule="auto"/>
              <w:rPr>
                <w:noProof/>
              </w:rPr>
            </w:pPr>
            <w:r>
              <w:rPr>
                <w:noProof/>
              </w:rPr>
              <w:t>- titularii de buget să reflecte constatările rapoartelor de analiză a cheltuielilor în materialele pentru proiectul de buget pentru anul următor;</w:t>
            </w:r>
          </w:p>
          <w:p w14:paraId="1216B313" w14:textId="77777777" w:rsidR="00A60DDE" w:rsidRDefault="00095506">
            <w:pPr>
              <w:pStyle w:val="P68B1DB1-Normal22"/>
              <w:tabs>
                <w:tab w:val="left" w:pos="9923"/>
              </w:tabs>
              <w:spacing w:after="120" w:line="240" w:lineRule="auto"/>
              <w:rPr>
                <w:rFonts w:eastAsia="Times New Roman"/>
                <w:noProof/>
                <w:color w:val="000000"/>
              </w:rPr>
            </w:pPr>
            <w:r>
              <w:rPr>
                <w:noProof/>
              </w:rPr>
              <w:t>- ministrul de finanțe să prezinte Consiliului de Miniștri rapoarte anuale cu privire la acțiunile întreprinse ca răspuns la constatările rapoartelor de analiză a cheltuielilor.</w:t>
            </w:r>
          </w:p>
        </w:tc>
      </w:tr>
      <w:tr w:rsidR="00A60DDE" w14:paraId="1216B32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5" w14:textId="5276F633" w:rsidR="00A60DDE" w:rsidRDefault="00095506">
            <w:pPr>
              <w:pStyle w:val="P68B1DB1-Normal018"/>
              <w:spacing w:after="0" w:line="240" w:lineRule="auto"/>
              <w:jc w:val="center"/>
              <w:rPr>
                <w:noProof/>
              </w:rPr>
            </w:pPr>
            <w:r>
              <w:rPr>
                <w:noProof/>
              </w:rPr>
              <w:t>A2aG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6"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7"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8" w14:textId="725955E4" w:rsidR="00A60DDE" w:rsidRDefault="00095506">
            <w:pPr>
              <w:pStyle w:val="P68B1DB1-Normal021"/>
              <w:pBdr>
                <w:top w:val="nil"/>
                <w:left w:val="nil"/>
                <w:bottom w:val="nil"/>
                <w:right w:val="nil"/>
                <w:between w:val="nil"/>
              </w:pBdr>
              <w:spacing w:after="0" w:line="240" w:lineRule="auto"/>
              <w:rPr>
                <w:noProof/>
                <w:color w:val="000000" w:themeColor="text1"/>
              </w:rPr>
            </w:pPr>
            <w:r>
              <w:rPr>
                <w:noProof/>
              </w:rPr>
              <w:t>Modificări ale agregării cheltuielilor bugetare și ale criteriilor de evaluare a investițiilor publice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9" w14:textId="77777777" w:rsidR="00A60DDE" w:rsidRDefault="00095506">
            <w:pPr>
              <w:pStyle w:val="P68B1DB1-Normal020"/>
              <w:pBdr>
                <w:top w:val="nil"/>
                <w:left w:val="nil"/>
                <w:bottom w:val="nil"/>
                <w:right w:val="nil"/>
                <w:between w:val="nil"/>
              </w:pBdr>
              <w:spacing w:after="0" w:line="240" w:lineRule="auto"/>
              <w:rPr>
                <w:noProof/>
              </w:rPr>
            </w:pPr>
            <w:r>
              <w:rPr>
                <w:noProof/>
              </w:rPr>
              <w:t>Dispoziții din actul (actele) juridic(e) care indică intrarea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D"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E"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F" w14:textId="6F32AB8A" w:rsidR="00A60DDE" w:rsidRDefault="00095506">
            <w:pPr>
              <w:pStyle w:val="P68B1DB1-Normal22"/>
              <w:tabs>
                <w:tab w:val="left" w:pos="9923"/>
              </w:tabs>
              <w:spacing w:after="120" w:line="240" w:lineRule="auto"/>
              <w:rPr>
                <w:noProof/>
              </w:rPr>
            </w:pPr>
            <w:r>
              <w:rPr>
                <w:noProof/>
              </w:rPr>
              <w:t xml:space="preserve">Intrarea în vigoare a actului (actelor) juridic(e) care introduce (introduc): </w:t>
            </w:r>
          </w:p>
          <w:p w14:paraId="1216B320" w14:textId="1A7E0679" w:rsidR="00A60DDE" w:rsidRDefault="00095506">
            <w:pPr>
              <w:pStyle w:val="P68B1DB1-Normal22"/>
              <w:tabs>
                <w:tab w:val="left" w:pos="9923"/>
              </w:tabs>
              <w:spacing w:after="120" w:line="240" w:lineRule="auto"/>
              <w:rPr>
                <w:noProof/>
              </w:rPr>
            </w:pPr>
            <w:r>
              <w:rPr>
                <w:noProof/>
              </w:rPr>
              <w:t>- un nou aranjament de grupuri care agregă cheltuielile bugetului de stat, care se aplică începând cu procesul de planificare a bugetului de stat pentru exercițiul bugetar 2027;</w:t>
            </w:r>
          </w:p>
          <w:p w14:paraId="1216B322" w14:textId="7DE357EB" w:rsidR="00A60DDE" w:rsidRDefault="00095506">
            <w:pPr>
              <w:pStyle w:val="P68B1DB1-Normal22"/>
              <w:tabs>
                <w:tab w:val="left" w:pos="9923"/>
              </w:tabs>
              <w:spacing w:after="120" w:line="240" w:lineRule="auto"/>
              <w:rPr>
                <w:noProof/>
              </w:rPr>
            </w:pPr>
            <w:r>
              <w:rPr>
                <w:noProof/>
              </w:rPr>
              <w:t>noi (i) criterii generale pentru evaluarea proiectelor de investiții publice, inclusiv o cerință de evaluare a costurilor de întreținere preconizate ale acestora, și (ii) dispoziții care specifică unitățile din sectorul public și valoarea proiectelor de investiții cărora li se aplică în mod obligatoriu aceste criterii;</w:t>
            </w:r>
          </w:p>
          <w:p w14:paraId="1216B323" w14:textId="15B0D978" w:rsidR="00A60DDE" w:rsidRDefault="00095506">
            <w:pPr>
              <w:pStyle w:val="P68B1DB1-Normal22"/>
              <w:tabs>
                <w:tab w:val="left" w:pos="9923"/>
              </w:tabs>
              <w:spacing w:after="120" w:line="240" w:lineRule="auto"/>
              <w:rPr>
                <w:noProof/>
              </w:rPr>
            </w:pPr>
            <w:r>
              <w:rPr>
                <w:noProof/>
              </w:rPr>
              <w:t>- obligația miniștrilor sectoriali de a publica descrieri ale criteriilor generale de evaluare a proiectelor de investiții publice în sectoarele respective;</w:t>
            </w:r>
          </w:p>
          <w:p w14:paraId="1216B324" w14:textId="36B0AF1D" w:rsidR="00A60DDE" w:rsidRDefault="00095506">
            <w:pPr>
              <w:pStyle w:val="P68B1DB1-Normal021"/>
              <w:pBdr>
                <w:top w:val="nil"/>
                <w:left w:val="nil"/>
                <w:bottom w:val="nil"/>
                <w:right w:val="nil"/>
                <w:between w:val="nil"/>
              </w:pBdr>
              <w:spacing w:after="0" w:line="240" w:lineRule="auto"/>
              <w:rPr>
                <w:noProof/>
                <w:color w:val="000000" w:themeColor="text1"/>
              </w:rPr>
            </w:pPr>
            <w:r>
              <w:rPr>
                <w:noProof/>
              </w:rPr>
              <w:t>- cerința de a publica pe site-ul web al Ministerului Finanțelor un model de informații pentru publicarea cu privire la noile proiecte de investiții cu costuri totale care depășesc 100 de milioane PLN.</w:t>
            </w:r>
          </w:p>
        </w:tc>
      </w:tr>
      <w:tr w:rsidR="00A60DDE" w14:paraId="1216B33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6"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unei modificări a Legii privind finanțele publice care extinde domeniul de aplicare al regulii privind cheltuielile de stabilizare (SER) pentru a include fondurile de stat cu scop special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modificarea Legii privind finanțele publice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2021</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0"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Intrarea în vigoare a unei modificări a Legii privind finanțele publice pentru a extinde domeniul de aplicare al regulii privind cheltuielile de stabilizare (SER).</w:t>
            </w:r>
            <w:r>
              <w:rPr>
                <w:noProof/>
              </w:rPr>
              <w:t xml:space="preserve"> </w:t>
            </w:r>
            <w:r>
              <w:rPr>
                <w:noProof/>
              </w:rPr>
              <w:br/>
            </w:r>
            <w:r>
              <w:rPr>
                <w:rFonts w:ascii="Times New Roman" w:hAnsi="Times New Roman"/>
                <w:noProof/>
                <w:color w:val="000000"/>
                <w:sz w:val="18"/>
              </w:rPr>
              <w:t>Efectele presupuse ale modificărilor includ acoperirea unui număr mai mare de unități ale administrației publice (fonduri de stat cu destinație specială) care intră în domeniul de aplicare al SER, ceea ce va permite creșterea transparenței și a eficienței gestionării finanțelor publice. Ministerul Finanțelor răspunde de pregătirea modificării.</w:t>
            </w:r>
          </w:p>
        </w:tc>
      </w:tr>
      <w:tr w:rsidR="00A60DDE" w14:paraId="1216B33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2"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3"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5"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Revizuirea funcționării regulii de stabilizare a cheltuielilor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 pe site-ul Ministerului Finanțelor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9"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C" w14:textId="0CFE59B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Publicarea unei revizuiri privind funcționarea regulii de stabilizare a cheltuielilor (SER). Revizuirea se publică pe site-ul web al Ministerului Finanțelor.</w:t>
            </w:r>
            <w:r>
              <w:rPr>
                <w:noProof/>
              </w:rPr>
              <w:br/>
            </w:r>
            <w:r>
              <w:rPr>
                <w:rFonts w:ascii="Times New Roman" w:hAnsi="Times New Roman"/>
                <w:noProof/>
                <w:color w:val="000000" w:themeColor="text1"/>
                <w:sz w:val="18"/>
                <w:szCs w:val="18"/>
              </w:rPr>
              <w:t>Revizuirea acoperă anii 2019-2023. Revizuirea include recomandări privind formula SER și domeniul său de aplicare.</w:t>
            </w:r>
          </w:p>
        </w:tc>
      </w:tr>
      <w:tr w:rsidR="00A60DDE" w14:paraId="1216B34E"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E"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A1.2 Reducerea în continuare a sarcinii administrative și de reglementare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pachet legislativ menit să reducă sarcina administrativă pentru întreprinderi și cetățeni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Dispoziții din pachetul legislativ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5"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8"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unui pachet legislativ care vizează eliminarea barierelor juridice care afectează climatul de investiții, în special prin:</w:t>
            </w:r>
          </w:p>
          <w:p w14:paraId="1216B349"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simplificarea procedurilor administrative și tacite în cadrul a cel puțin 12 proceduri, în special în ceea ce privește profesiile navigatorilor și comerțul cu băuturi alcoolice;</w:t>
            </w:r>
          </w:p>
          <w:p w14:paraId="1216B34A"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2) reducerea utilizării procedurii în două instanțe în cel puțin 10 proceduri, legate în special de resursele geologice;</w:t>
            </w:r>
          </w:p>
          <w:p w14:paraId="1216B34B"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3) digitalizarea modului de tratare a cererilor în cel puțin opt proceduri administrative, legate, de exemplu, de depunerea declarațiilor de către operatorii turistici și antreprenori la Fondul de garantare a asigurărilor și de depunerea cererilor de prestații sociale de către studenți, precum și în ceea ce privește procedurile geodezice; </w:t>
            </w:r>
          </w:p>
          <w:p w14:paraId="1216B34C"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4) introducerea altor raționalizări ale procedurilor administrative (cum ar fi limitarea numărului de documente sau mai puține formalități de îndeplinit) legate în special de introducerea unei serii de îmbunătățiri în procesul de amenajare a teritoriului, în procesul de construcție și în procesul de consolidare a terenurilor;</w:t>
            </w:r>
          </w:p>
          <w:p w14:paraId="1216B34D" w14:textId="4006C2D2"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5) Prelungirea termenului pentru îndeplinirea obligațiilor antreprenorilor și ale persoanelor fizice față de administrație în unele cazuri de proceduri administrative, de exemplu prelungirea de la 30 la 60 de zile a termenului pentru înmatricularea unui autoturism cumpărat în alte state membre sau prelungirea termenului pentru utilizarea voucherului turistic de la 31 martie 2022 la 30 septembrie 2022. </w:t>
            </w:r>
          </w:p>
        </w:tc>
      </w:tr>
      <w:tr w:rsidR="00A60DDE" w14:paraId="1216B35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F"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0" w14:textId="4E0415BE" w:rsidR="00A60DDE" w:rsidRDefault="00095506">
            <w:pPr>
              <w:pStyle w:val="P68B1DB1-Normal020"/>
              <w:pBdr>
                <w:top w:val="nil"/>
                <w:left w:val="nil"/>
                <w:bottom w:val="nil"/>
                <w:right w:val="nil"/>
                <w:between w:val="nil"/>
              </w:pBdr>
              <w:spacing w:after="0" w:line="240" w:lineRule="auto"/>
              <w:rPr>
                <w:noProof/>
                <w:color w:val="000000"/>
              </w:rPr>
            </w:pPr>
            <w:r>
              <w:rPr>
                <w:noProof/>
              </w:rPr>
              <w:t>A1.2.1 Proiecte care vizează diversificarea sau extinderea activităților comerciale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1"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2"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Întreprinderi din sectoarele HoReCa, cultură sau turism care au semnat contracte pentru proiecte de diversificare a activităților lor comerciale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3"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4"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5"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6"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7"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8"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9"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Cel puțin 2</w:t>
            </w:r>
            <w:r>
              <w:rPr>
                <w:rFonts w:eastAsia="Times New Roman"/>
                <w:noProof/>
                <w:color w:val="006100"/>
                <w:szCs w:val="24"/>
              </w:rPr>
              <w:t> </w:t>
            </w:r>
            <w:r>
              <w:rPr>
                <w:rFonts w:ascii="Times New Roman" w:hAnsi="Times New Roman"/>
                <w:noProof/>
                <w:color w:val="000000" w:themeColor="text1"/>
                <w:sz w:val="18"/>
                <w:szCs w:val="18"/>
              </w:rPr>
              <w:t>510 întreprinderi din sectoarele HoReCa, culturii sau turismului au semnat contracte pentru proiecte de diversificare sau extindere a activităților lor comerciale. Criteriile de eligibilitate din cererile de propuneri impun ca proiectele să acopere cel puțin unul dintre următoarele trei tipuri de activități:</w:t>
            </w:r>
            <w:r>
              <w:rPr>
                <w:noProof/>
              </w:rPr>
              <w:t xml:space="preserve"> </w:t>
            </w:r>
            <w:r>
              <w:rPr>
                <w:noProof/>
              </w:rPr>
              <w:br/>
            </w:r>
            <w:r>
              <w:rPr>
                <w:rFonts w:ascii="Times New Roman" w:hAnsi="Times New Roman"/>
                <w:noProof/>
                <w:color w:val="000000" w:themeColor="text1"/>
                <w:sz w:val="18"/>
                <w:szCs w:val="18"/>
              </w:rPr>
              <w:t xml:space="preserve">1) investiții în proiectarea și producția bunurilor și serviciilor lor, și anume achiziționarea de mașini și echipamente necesare pentru lansarea de noi produse sau servicii, lucrări de construcții sau investiții legate de tranziția verde; </w:t>
            </w:r>
            <w:r>
              <w:rPr>
                <w:noProof/>
              </w:rPr>
              <w:br/>
            </w:r>
            <w:r>
              <w:rPr>
                <w:rFonts w:ascii="Times New Roman" w:hAnsi="Times New Roman"/>
                <w:noProof/>
                <w:color w:val="000000" w:themeColor="text1"/>
                <w:sz w:val="18"/>
                <w:szCs w:val="18"/>
              </w:rPr>
              <w:t>2) Servicii de consultanță pentru proiecte;</w:t>
            </w:r>
            <w:r>
              <w:rPr>
                <w:noProof/>
              </w:rPr>
              <w:t xml:space="preserve"> </w:t>
            </w:r>
            <w:r>
              <w:rPr>
                <w:noProof/>
              </w:rPr>
              <w:br/>
            </w:r>
            <w:r>
              <w:rPr>
                <w:rFonts w:ascii="Times New Roman" w:hAnsi="Times New Roman"/>
                <w:noProof/>
                <w:color w:val="000000" w:themeColor="text1"/>
                <w:sz w:val="18"/>
                <w:szCs w:val="18"/>
              </w:rPr>
              <w:t>3) perfecționarea/recalificarea angajaților.</w:t>
            </w:r>
          </w:p>
          <w:p w14:paraId="1216B35A"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Criteriile de eligibilitate din cererile de proiecte impun ca niciuna dintre activitățile de tip 1 enumerate mai sus să nu aducă prejudicii semnificative mediului în sensul articolului 17 din Regulamentul (UE) 2020/852 (principiul DNSH).</w:t>
            </w:r>
            <w:r>
              <w:rPr>
                <w:i/>
                <w:noProof/>
              </w:rPr>
              <w:t xml:space="preserve"> </w:t>
            </w:r>
          </w:p>
        </w:tc>
      </w:tr>
      <w:tr w:rsidR="00A60DDE" w14:paraId="1216B36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C"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D" w14:textId="3ECEE021" w:rsidR="00A60DDE" w:rsidRDefault="00095506">
            <w:pPr>
              <w:pStyle w:val="P68B1DB1-Normal020"/>
              <w:pBdr>
                <w:top w:val="nil"/>
                <w:left w:val="nil"/>
                <w:bottom w:val="nil"/>
                <w:right w:val="nil"/>
                <w:between w:val="nil"/>
              </w:pBdr>
              <w:spacing w:after="0" w:line="240" w:lineRule="auto"/>
              <w:rPr>
                <w:noProof/>
                <w:color w:val="000000"/>
              </w:rPr>
            </w:pPr>
            <w:r>
              <w:rPr>
                <w:noProof/>
              </w:rPr>
              <w:t>A1.2.1 Proiecte care vizează diversificarea sau extinderea activităților comerciale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E"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F" w14:textId="1DEF6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Întreprinderi din sectoarele HoReCa, cultură sau turism care au primit finanțare pentru a-și diversifica sau extinde activitățile comerciale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0"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1"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2"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3"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4"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5"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6" w14:textId="0E4A6663"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Cel puțin 2</w:t>
            </w:r>
            <w:r>
              <w:rPr>
                <w:rFonts w:eastAsia="Times New Roman"/>
                <w:noProof/>
                <w:color w:val="006100"/>
              </w:rPr>
              <w:t> </w:t>
            </w:r>
            <w:r>
              <w:rPr>
                <w:rFonts w:ascii="Times New Roman" w:hAnsi="Times New Roman"/>
                <w:noProof/>
                <w:color w:val="000000" w:themeColor="text1"/>
                <w:sz w:val="18"/>
                <w:szCs w:val="18"/>
              </w:rPr>
              <w:t>510 întreprinderi din sectoarele HoReCa, culturii sau turismului au primit finanțare pentru proiecte de diversificare sau extindere a activităților lor comerciale.</w:t>
            </w:r>
          </w:p>
        </w:tc>
      </w:tr>
      <w:tr w:rsidR="00A60DDE" w14:paraId="1216B37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8"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A1.3 Reforma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B"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nou act privind amenajarea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C"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privind amenajarea teritoriului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2" w14:textId="77777777" w:rsidR="00A60DDE" w:rsidRDefault="00095506">
            <w:pPr>
              <w:pStyle w:val="P68B1DB1-Normal024"/>
              <w:pBdr>
                <w:top w:val="nil"/>
                <w:left w:val="nil"/>
                <w:bottom w:val="nil"/>
                <w:right w:val="nil"/>
                <w:between w:val="nil"/>
              </w:pBdr>
              <w:spacing w:after="0" w:line="240" w:lineRule="auto"/>
              <w:rPr>
                <w:rFonts w:ascii="Times New Roman" w:eastAsia="Times New Roman" w:hAnsi="Times New Roman" w:cs="Times New Roman"/>
                <w:noProof/>
                <w:color w:val="000000" w:themeColor="text1"/>
              </w:rPr>
            </w:pPr>
            <w:r>
              <w:rPr>
                <w:rFonts w:ascii="Times New Roman" w:hAnsi="Times New Roman"/>
                <w:noProof/>
                <w:color w:val="000000" w:themeColor="text1"/>
              </w:rPr>
              <w:t>În urma unei consultări publice, intrarea în vigoare a unui nou act privind amenajarea teritoriului care:</w:t>
            </w:r>
            <w:r>
              <w:rPr>
                <w:rFonts w:ascii="Times New Roman" w:hAnsi="Times New Roman" w:cs="Times New Roman"/>
                <w:noProof/>
              </w:rPr>
              <w:t xml:space="preserve"> </w:t>
            </w:r>
            <w:r>
              <w:rPr>
                <w:rFonts w:ascii="Times New Roman" w:hAnsi="Times New Roman" w:cs="Times New Roman"/>
                <w:noProof/>
              </w:rPr>
              <w:br/>
              <w:t>1</w:t>
            </w:r>
            <w:r>
              <w:rPr>
                <w:rFonts w:ascii="Times New Roman" w:hAnsi="Times New Roman"/>
                <w:noProof/>
                <w:color w:val="000000" w:themeColor="text1"/>
              </w:rPr>
              <w:t>) să introducă cerința ca toate municipalitățile să elaboreze și să adopte planuri generale de amenajare a teritoriului, care să fie transformate în legislație locală, care să stabilească normele generale de construcție în zona municipală;</w:t>
            </w:r>
            <w:r>
              <w:rPr>
                <w:rFonts w:ascii="Times New Roman" w:hAnsi="Times New Roman" w:cs="Times New Roman"/>
                <w:noProof/>
              </w:rPr>
              <w:br/>
              <w:t>să</w:t>
            </w:r>
            <w:r>
              <w:rPr>
                <w:rFonts w:ascii="Times New Roman" w:eastAsia="Times New Roman" w:hAnsi="Times New Roman" w:cs="Times New Roman"/>
                <w:noProof/>
                <w:color w:val="000000" w:themeColor="text1"/>
              </w:rPr>
              <w:t xml:space="preserve"> introducă o cerință care să oblige investitorii să realizeze proiecte suplimentare în beneficiul municipalității atunci când construiesc noi proiecte de dezvoltare, în vederea, printre altele, a reducerii dezvoltării locuințelor fără o furnizare suficientă de servicii;</w:t>
            </w:r>
          </w:p>
          <w:p w14:paraId="1216B373" w14:textId="77777777" w:rsidR="00A60DDE" w:rsidRDefault="00095506">
            <w:pPr>
              <w:pStyle w:val="P68B1DB1-Normal025"/>
              <w:pBdr>
                <w:top w:val="nil"/>
                <w:left w:val="nil"/>
                <w:bottom w:val="nil"/>
                <w:right w:val="nil"/>
                <w:between w:val="nil"/>
              </w:pBdr>
              <w:spacing w:after="0" w:line="240" w:lineRule="auto"/>
              <w:rPr>
                <w:noProof/>
                <w:color w:val="000000"/>
              </w:rPr>
            </w:pPr>
            <w:r>
              <w:rPr>
                <w:noProof/>
              </w:rPr>
              <w:t>3</w:t>
            </w:r>
            <w:r>
              <w:rPr>
                <w:noProof/>
                <w:color w:val="000000" w:themeColor="text1"/>
              </w:rPr>
              <w:t>) să definească procesul în care părțile interesate pot participa la elaborarea strategiilor și a planurilor generale în municipalități.</w:t>
            </w:r>
          </w:p>
        </w:tc>
      </w:tr>
      <w:tr w:rsidR="00A60DDE" w14:paraId="1216B38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5" w14:textId="77777777" w:rsidR="00A60DDE" w:rsidRDefault="00095506">
            <w:pPr>
              <w:pStyle w:val="P68B1DB1-Normal018"/>
              <w:spacing w:line="240" w:lineRule="auto"/>
              <w:jc w:val="center"/>
              <w:rPr>
                <w:rFonts w:cs="Times New Roman"/>
                <w:noProof/>
              </w:rPr>
            </w:pPr>
            <w:r>
              <w:rPr>
                <w:noProof/>
              </w:rPr>
              <w:t>A13G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6" w14:textId="77777777" w:rsidR="00A60DDE" w:rsidRDefault="00095506">
            <w:pPr>
              <w:pStyle w:val="P68B1DB1-Normal020"/>
              <w:spacing w:line="240" w:lineRule="auto"/>
              <w:rPr>
                <w:rFonts w:eastAsia="Times New Roman" w:cs="Times New Roman"/>
                <w:noProof/>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7" w14:textId="77777777" w:rsidR="00A60DDE" w:rsidRDefault="00095506">
            <w:pPr>
              <w:pStyle w:val="P68B1DB1-Normal019"/>
              <w:spacing w:line="240" w:lineRule="auto"/>
              <w:jc w:val="center"/>
              <w:rPr>
                <w:rFonts w:eastAsia="Times New Roman" w:cs="Times New Roman"/>
                <w:noProof/>
                <w:color w:val="000000" w:themeColor="text1"/>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8" w14:textId="77777777" w:rsidR="00A60DDE" w:rsidRDefault="00095506">
            <w:pPr>
              <w:pStyle w:val="P68B1DB1-Normal020"/>
              <w:spacing w:line="240" w:lineRule="auto"/>
              <w:rPr>
                <w:rFonts w:eastAsia="Times New Roman" w:cs="Times New Roman"/>
                <w:noProof/>
              </w:rPr>
            </w:pPr>
            <w:r>
              <w:rPr>
                <w:noProof/>
              </w:rPr>
              <w:t>Publicarea unui document care stabilește mecanismul de alocare și cuantumul orientativ al sprijinului care urmează să fie acordat fiecărei municipalități din Polonia pentru punerea în aplicare a reformei amenajării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9" w14:textId="77777777" w:rsidR="00A60DDE" w:rsidRDefault="00095506">
            <w:pPr>
              <w:pStyle w:val="P68B1DB1-Normal019"/>
              <w:spacing w:line="240" w:lineRule="auto"/>
              <w:rPr>
                <w:rFonts w:eastAsia="Times New Roman" w:cs="Times New Roman"/>
                <w:noProof/>
                <w:color w:val="000000" w:themeColor="text1"/>
                <w:szCs w:val="18"/>
              </w:rPr>
            </w:pPr>
            <w:r>
              <w:rPr>
                <w:noProof/>
              </w:rPr>
              <w:t>Publicare pe site-ul Ministerului Dezvoltării Economice și Tehnologiei</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A"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B"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C"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D" w14:textId="77777777" w:rsidR="00A60DDE" w:rsidRDefault="00095506">
            <w:pPr>
              <w:pStyle w:val="P68B1DB1-Normal019"/>
              <w:spacing w:line="240" w:lineRule="auto"/>
              <w:jc w:val="center"/>
              <w:rPr>
                <w:rFonts w:eastAsia="Times New Roman" w:cs="Times New Roman"/>
                <w:noProof/>
                <w:color w:val="000000" w:themeColor="text1"/>
                <w:szCs w:val="18"/>
              </w:rPr>
            </w:pPr>
            <w:r>
              <w:rPr>
                <w:noProof/>
              </w:rPr>
              <w:t>T3</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E" w14:textId="77777777" w:rsidR="00A60DDE" w:rsidRDefault="00095506">
            <w:pPr>
              <w:pStyle w:val="P68B1DB1-Normal019"/>
              <w:spacing w:line="240" w:lineRule="auto"/>
              <w:jc w:val="center"/>
              <w:rPr>
                <w:rFonts w:eastAsia="Times New Roman" w:cs="Times New Roman"/>
                <w:noProof/>
                <w:color w:val="000000" w:themeColor="text1"/>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F" w14:textId="77777777" w:rsidR="00A60DDE" w:rsidRDefault="00095506">
            <w:pPr>
              <w:pStyle w:val="P68B1DB1-Normal019"/>
              <w:spacing w:after="0" w:line="240" w:lineRule="auto"/>
              <w:rPr>
                <w:rFonts w:eastAsia="Times New Roman" w:cs="Times New Roman"/>
                <w:noProof/>
                <w:color w:val="000000" w:themeColor="text1"/>
                <w:szCs w:val="18"/>
              </w:rPr>
            </w:pPr>
            <w:r>
              <w:rPr>
                <w:noProof/>
              </w:rPr>
              <w:t>În urma unei consultări publice, publicarea unui document care stabilește mecanismul de alocare și cuantumul orientativ al sprijinului pe care fiecare municipalitate îl primește pentru punerea în aplicare a reformei amenajării teritoriului prevăzute în jalonul A12G. În special, documentul indică valoarea sprijinului care urmează să fie acordat fiecărei municipalități și explică pentru ce tip de activități se utilizează sprijinul.</w:t>
            </w:r>
          </w:p>
          <w:p w14:paraId="1216B380" w14:textId="77777777" w:rsidR="00A60DDE" w:rsidRDefault="00095506">
            <w:pPr>
              <w:pStyle w:val="P68B1DB1-Normal020"/>
              <w:spacing w:after="0" w:line="240" w:lineRule="auto"/>
              <w:rPr>
                <w:rFonts w:eastAsia="Times New Roman" w:cs="Times New Roman"/>
                <w:noProof/>
              </w:rPr>
            </w:pPr>
            <w:r>
              <w:rPr>
                <w:noProof/>
              </w:rPr>
              <w:t>Toate municipalitățile din Polonia primesc sprijin pentru punerea în aplicare a acestei măsuri. Cuantumul sprijinului care urmează să fie alocat fiecărei municipalități ia în considerare populația și suprafața municipalității (municipalitățile mai populate/extinse primesc mai mult sprijin).</w:t>
            </w:r>
          </w:p>
        </w:tc>
      </w:tr>
      <w:tr w:rsidR="00A60DDE" w14:paraId="1216B38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2"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3"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5"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Personal din cadrul autorităților locale și al urbaniștilor care au absolvit un curs privind noua lege a amenajării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C"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Cel puțin 850 de membri ai personalului autorităților locale și al urbaniștilor spațiali au finalizat un curs și/sau studii postuniversitare cu privire la noua lege privind amenajarea teritoriului prevăzută în jalonul A12G.</w:t>
            </w:r>
          </w:p>
        </w:tc>
      </w:tr>
      <w:tr w:rsidR="00A60DDE" w14:paraId="1216B39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E"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b/>
                <w:bCs/>
                <w:noProof/>
                <w:color w:val="000000"/>
                <w:szCs w:val="18"/>
              </w:rPr>
            </w:pPr>
            <w:r>
              <w:rPr>
                <w:noProof/>
              </w:rPr>
              <w:t>A15G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F"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1"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Cursuri privind noua lege a amenajării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1 700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8"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Cel puțin 1 700 de certificate eliberate pentru cursuri privind noua lege privind amenajarea teritoriului.</w:t>
            </w:r>
          </w:p>
        </w:tc>
      </w:tr>
      <w:tr w:rsidR="00A60DDE" w14:paraId="1216B3A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A"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A16G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B"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Ponderea municipalităților care au început pregătirea planurilor generale de amenajare a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E"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 (procent)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1" w14:textId="77777777" w:rsidR="00A60DDE" w:rsidRDefault="00095506">
            <w:pPr>
              <w:pStyle w:val="P68B1DB1-Normal020"/>
              <w:spacing w:after="0" w:line="240" w:lineRule="auto"/>
              <w:jc w:val="center"/>
              <w:rPr>
                <w:rFonts w:eastAsia="Times New Roman" w:cs="Times New Roman"/>
                <w:noProof/>
              </w:rPr>
            </w:pPr>
            <w:r>
              <w:rPr>
                <w:noProof/>
              </w:rPr>
              <w:t>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3"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rPr>
            </w:pPr>
            <w:r>
              <w:rPr>
                <w:noProof/>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4" w14:textId="77777777" w:rsidR="00A60DDE" w:rsidRDefault="00095506">
            <w:pPr>
              <w:pStyle w:val="P68B1DB1-Normal020"/>
              <w:spacing w:after="0" w:line="240" w:lineRule="auto"/>
              <w:rPr>
                <w:rFonts w:eastAsia="Times New Roman" w:cs="Times New Roman"/>
                <w:noProof/>
              </w:rPr>
            </w:pPr>
            <w:r>
              <w:rPr>
                <w:noProof/>
              </w:rPr>
              <w:t>Cel puțin 50 % dintre municipalități au început să pregătească un plan general de amenajare a teritoriului, astfel cum se prevede în noua lege prevăzută în jalonul A12G. Acest lucru se realizează prin înregistrarea în registrul seturilor și serviciilor de date spațiale.</w:t>
            </w:r>
          </w:p>
        </w:tc>
      </w:tr>
      <w:tr w:rsidR="00A60DDE" w14:paraId="1216B3B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6"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A17G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7"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9" w14:textId="32855AAA"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Municipalitățile care au adoptat planuri generale de amenajare a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A"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B" w14:textId="6A4B89FD"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C" w14:textId="77777777" w:rsidR="00A60DDE" w:rsidRDefault="00095506">
            <w:pPr>
              <w:pStyle w:val="P68B1DB1-Normal020"/>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D" w14:textId="7819873C"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rPr>
            </w:pPr>
            <w:r>
              <w:rPr>
                <w:noProof/>
              </w:rPr>
              <w:t>744</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E" w14:textId="6DD0C6F1"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0" w14:textId="12E45D37" w:rsidR="00A60DDE" w:rsidRDefault="00095506">
            <w:pPr>
              <w:pStyle w:val="P68B1DB1-Normal020"/>
              <w:spacing w:after="0" w:line="240" w:lineRule="auto"/>
              <w:rPr>
                <w:noProof/>
              </w:rPr>
            </w:pPr>
            <w:r>
              <w:rPr>
                <w:noProof/>
              </w:rPr>
              <w:t>Cel puțin 744 de municipalități au adoptat un plan general de amenajare a teritoriului.</w:t>
            </w:r>
          </w:p>
        </w:tc>
      </w:tr>
      <w:tr w:rsidR="00A60DDE" w14:paraId="1216B3BF"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2"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3" w14:textId="5746AD78"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 Reforma menită să îmbunătățească competitivitatea și protecția producătorilor/consumatorilor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5" w14:textId="77777777" w:rsidR="00A60DDE" w:rsidRDefault="00095506">
            <w:pPr>
              <w:pStyle w:val="P68B1DB1-Normal020"/>
              <w:spacing w:after="0" w:line="240" w:lineRule="auto"/>
              <w:rPr>
                <w:noProof/>
              </w:rPr>
            </w:pPr>
            <w:r>
              <w:rPr>
                <w:noProof/>
              </w:rPr>
              <w:t>Intrarea în vigoare a unei noi legi pentru combaterea utilizării neloiale a avantajelor contractuale în sectorul comerțului agricol și alimentar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6" w14:textId="77777777" w:rsidR="00A60DDE" w:rsidRDefault="00095506">
            <w:pPr>
              <w:pStyle w:val="P68B1DB1-Normal020"/>
              <w:spacing w:after="0" w:line="240" w:lineRule="auto"/>
              <w:rPr>
                <w:noProof/>
              </w:rPr>
            </w:pPr>
            <w:r>
              <w:rPr>
                <w:noProof/>
              </w:rPr>
              <w:t>Dispoziție din noua lege privind combaterea utilizării neloiale a avantajelor contractuale în sectorul comerțului agricol și alimentar,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9"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C" w14:textId="50F71011" w:rsidR="00A60DDE" w:rsidRDefault="00095506">
            <w:pPr>
              <w:pStyle w:val="Normal0"/>
              <w:spacing w:after="0" w:line="240" w:lineRule="auto"/>
              <w:rPr>
                <w:rFonts w:ascii="Times New Roman" w:eastAsia="Times New Roman" w:hAnsi="Times New Roman" w:cs="Times New Roman"/>
                <w:noProof/>
                <w:sz w:val="18"/>
                <w:szCs w:val="18"/>
              </w:rPr>
            </w:pPr>
            <w:r>
              <w:rPr>
                <w:rFonts w:ascii="Times New Roman" w:hAnsi="Times New Roman"/>
                <w:noProof/>
                <w:sz w:val="18"/>
              </w:rPr>
              <w:t>În urma unei consultări publice, intrarea în vigoare a unei noi legi pentru combaterea utilizării neloiale a avantajelor contractuale în sectorul comerțului agricol și alimentar, care:</w:t>
            </w:r>
            <w:r>
              <w:rPr>
                <w:noProof/>
              </w:rPr>
              <w:br/>
            </w:r>
            <w:r>
              <w:rPr>
                <w:rFonts w:ascii="Times New Roman" w:hAnsi="Times New Roman"/>
                <w:noProof/>
                <w:sz w:val="18"/>
              </w:rPr>
              <w:t>1) să ofere baza pentru o mai bună funcționare a lanțului de aprovizionare cu alimente și să aprobe un set de principii privind bunele practici în relațiile verticale din cadrul lanțului de aprovizionare cu alimente, precum și să asigure o armonizare minimă a standardelor, astfel cum se prevede în Directiva (UE) 2019/633;</w:t>
            </w:r>
            <w:r>
              <w:rPr>
                <w:noProof/>
              </w:rPr>
              <w:br/>
            </w:r>
            <w:r>
              <w:rPr>
                <w:rFonts w:ascii="Times New Roman" w:hAnsi="Times New Roman"/>
                <w:noProof/>
                <w:sz w:val="18"/>
              </w:rPr>
              <w:t>2) protejarea tuturor tranzacțiilor comerciale cu produse agricole și alimentare împotriva practicilor comerciale neloiale;</w:t>
            </w:r>
            <w:r>
              <w:rPr>
                <w:noProof/>
              </w:rPr>
              <w:br/>
            </w:r>
            <w:r>
              <w:rPr>
                <w:rFonts w:ascii="Times New Roman" w:hAnsi="Times New Roman"/>
                <w:noProof/>
                <w:sz w:val="18"/>
              </w:rPr>
              <w:t xml:space="preserve">3) depășesc Directiva (UE) 2019/633 a Parlamentului European și a Consiliului din 17 aprilie 2019 privind practicile comerciale neloiale dintre întreprinderi în cadrul lanțului de aprovizionare agricol și alimentar. </w:t>
            </w:r>
            <w:r>
              <w:rPr>
                <w:noProof/>
              </w:rPr>
              <w:br/>
            </w:r>
            <w:r>
              <w:rPr>
                <w:rFonts w:ascii="Times New Roman" w:hAnsi="Times New Roman"/>
                <w:noProof/>
                <w:sz w:val="18"/>
              </w:rPr>
              <w:t xml:space="preserve">Această lege merge dincolo de Directiva privind practicile comerciale neloiale în următoarele moduri: </w:t>
            </w:r>
            <w:r>
              <w:rPr>
                <w:noProof/>
              </w:rPr>
              <w:br/>
            </w:r>
            <w:r>
              <w:rPr>
                <w:rFonts w:ascii="Times New Roman" w:hAnsi="Times New Roman"/>
                <w:noProof/>
                <w:sz w:val="18"/>
              </w:rPr>
              <w:t>(a) Deși directiva prevede o listă închisă de practici comerciale neloiale, noua lege introduce, pe lângă această listă, o definiție deschisă a practicilor comerciale neloiale. În special, astfel de practici comerciale suplimentare sunt identificate ca fiind neloiale de către Oficiul pentru Concurență și Protecția Consumatorilor (UOKiK) dacă (i) sunt contrare cerințelor de bună conduită comercială; (ii) și denaturează în mod semnificativ sau sunt susceptibile să denatureze în mod semnificativ interesul celeilalte părți la contract;</w:t>
            </w:r>
          </w:p>
          <w:p w14:paraId="1216B3BD" w14:textId="513C7D73" w:rsidR="00A60DDE" w:rsidRDefault="00095506">
            <w:pPr>
              <w:pStyle w:val="P68B1DB1-Normal023"/>
              <w:spacing w:after="0" w:line="240" w:lineRule="auto"/>
              <w:rPr>
                <w:rFonts w:eastAsia="Times New Roman" w:cs="Times New Roman"/>
                <w:noProof/>
                <w:szCs w:val="18"/>
              </w:rPr>
            </w:pPr>
            <w:r>
              <w:rPr>
                <w:noProof/>
              </w:rPr>
              <w:t>(b) În timp ce directiva protejează doar furnizorii de produse agricole și alimentare, noua lege protejează toți operatorii comerciali, inclusiv cumpărătorii de produse agricole și alimentare.</w:t>
            </w:r>
          </w:p>
          <w:p w14:paraId="1216B3BE" w14:textId="18A5946C"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Reforma permite Oficiului Concurenței și Protecției Consumatorilor să investigheze nu numai cazurile prezentate de participanții la piață, ci și să efectueze propriile investigații.</w:t>
            </w:r>
          </w:p>
        </w:tc>
      </w:tr>
      <w:tr w:rsidR="00A60DDE" w14:paraId="1216B3C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0"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A20G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1"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3"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Adoptarea criteriilor de selecție a beneficiarilor pentru toate proiectele din cadrul acestei investiții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4"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pe site-ul Ministerului Agriculturii și Dezvoltării Rurale și al Agenției pentru Restructurarea și Modernizarea Agriculturii a adoptării criteriilor de selecție a beneficiarilor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5"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A" w14:textId="2CC159B6"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rPr>
              <w:t>În urma unei consultări publice, adoptarea criteriilor de selecție a beneficiarilor pentru toate proiectele din cadrul acestei investiții. Criteriile de selecție respectă principiile nediscriminării și transparenței.</w:t>
            </w:r>
            <w:r>
              <w:rPr>
                <w:noProof/>
              </w:rPr>
              <w:br/>
            </w:r>
            <w:r>
              <w:rPr>
                <w:rFonts w:ascii="Times New Roman" w:hAnsi="Times New Roman"/>
                <w:noProof/>
                <w:color w:val="000000" w:themeColor="text1"/>
                <w:sz w:val="18"/>
              </w:rPr>
              <w:t>Criteriile de selecție acordă prioritate domeniilor:</w:t>
            </w:r>
            <w:r>
              <w:rPr>
                <w:noProof/>
              </w:rPr>
              <w:br/>
            </w:r>
            <w:r>
              <w:rPr>
                <w:rFonts w:ascii="Times New Roman" w:hAnsi="Times New Roman"/>
                <w:noProof/>
                <w:color w:val="000000" w:themeColor="text1"/>
                <w:sz w:val="18"/>
              </w:rPr>
              <w:t>(i) digitalizarea;</w:t>
            </w:r>
            <w:r>
              <w:rPr>
                <w:noProof/>
              </w:rPr>
              <w:br/>
            </w:r>
            <w:r>
              <w:rPr>
                <w:rFonts w:ascii="Times New Roman" w:hAnsi="Times New Roman"/>
                <w:noProof/>
                <w:color w:val="000000" w:themeColor="text1"/>
                <w:sz w:val="18"/>
              </w:rPr>
              <w:t>(ii) crearea de locuri de muncă;</w:t>
            </w:r>
            <w:r>
              <w:rPr>
                <w:noProof/>
              </w:rPr>
              <w:br/>
            </w:r>
            <w:r>
              <w:rPr>
                <w:rFonts w:ascii="Times New Roman" w:hAnsi="Times New Roman"/>
                <w:noProof/>
                <w:color w:val="000000" w:themeColor="text1"/>
                <w:sz w:val="18"/>
              </w:rPr>
              <w:t xml:space="preserve">(iii) protecția mediului și practicile durabile de producție alimentară; </w:t>
            </w:r>
            <w:r>
              <w:rPr>
                <w:noProof/>
              </w:rPr>
              <w:br/>
            </w:r>
            <w:r>
              <w:rPr>
                <w:rFonts w:ascii="Times New Roman" w:hAnsi="Times New Roman"/>
                <w:noProof/>
                <w:color w:val="000000" w:themeColor="text1"/>
                <w:sz w:val="18"/>
              </w:rPr>
              <w:t>(iv) economia circulară, inclusiv acțiuni legate de prevenirea risipei de alimente.</w:t>
            </w:r>
            <w:r>
              <w:rPr>
                <w:noProof/>
              </w:rPr>
              <w:t xml:space="preserve"> </w:t>
            </w:r>
            <w:r>
              <w:rPr>
                <w:noProof/>
              </w:rPr>
              <w:br/>
            </w:r>
            <w:r>
              <w:rPr>
                <w:rFonts w:ascii="Times New Roman" w:hAnsi="Times New Roman"/>
                <w:noProof/>
                <w:color w:val="000000" w:themeColor="text1"/>
                <w:sz w:val="18"/>
              </w:rPr>
              <w:t>Procesul de depunere a cererilor și de verificare este efectuat de Agenția pentru Restructurarea și Modernizarea Agriculturii (ARMA), pentru a asigura coerența, transparența și pentru a preveni dubla finanțare.</w:t>
            </w:r>
          </w:p>
        </w:tc>
      </w:tr>
      <w:tr w:rsidR="00A60DDE" w14:paraId="1216B3DC"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C" w14:textId="7791761A"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D" w14:textId="5790F930" w:rsidR="00A60DDE" w:rsidRDefault="00095506">
            <w:pPr>
              <w:pStyle w:val="P68B1DB1-Normal020"/>
              <w:pBdr>
                <w:top w:val="nil"/>
                <w:left w:val="nil"/>
                <w:bottom w:val="nil"/>
                <w:right w:val="nil"/>
                <w:between w:val="nil"/>
              </w:pBdr>
              <w:spacing w:after="0" w:line="240" w:lineRule="auto"/>
              <w:rPr>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F" w14:textId="19896602" w:rsidR="00A60DDE" w:rsidRDefault="00095506">
            <w:pPr>
              <w:pStyle w:val="P68B1DB1-Normal020"/>
              <w:spacing w:after="0" w:line="240" w:lineRule="auto"/>
              <w:rPr>
                <w:noProof/>
                <w:color w:val="000000"/>
              </w:rPr>
            </w:pPr>
            <w:r>
              <w:rPr>
                <w:noProof/>
              </w:rPr>
              <w:t>Ordine de plată finale emise pentru proiecte care sprijină depozitarea sau introducerea pe piață a produselor agricole, a produselor pescărești, a produselor de acvacultură sau a produselor agroalimentare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0"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3" w14:textId="77777777" w:rsidR="00A60DDE" w:rsidRDefault="00095506">
            <w:pPr>
              <w:pStyle w:val="P68B1DB1-Normal020"/>
              <w:spacing w:after="0" w:line="240" w:lineRule="auto"/>
              <w:jc w:val="center"/>
              <w:rPr>
                <w:rFonts w:eastAsia="Times New Roman" w:cs="Times New Roman"/>
                <w:noProof/>
                <w:color w:val="000000"/>
              </w:rPr>
            </w:pPr>
            <w:r>
              <w:rPr>
                <w:noProof/>
              </w:rPr>
              <w:t>150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4" w14:textId="77777777" w:rsidR="00A60DDE" w:rsidRDefault="00095506">
            <w:pPr>
              <w:pStyle w:val="P68B1DB1-Normal020"/>
              <w:spacing w:after="0" w:line="240" w:lineRule="auto"/>
              <w:jc w:val="center"/>
              <w:rPr>
                <w:rFonts w:eastAsia="Times New Roman" w:cs="Times New Roman"/>
                <w:noProof/>
                <w:color w:val="000000"/>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5" w14:textId="77777777" w:rsidR="00A60DDE" w:rsidRDefault="00095506">
            <w:pPr>
              <w:pStyle w:val="P68B1DB1-Normal020"/>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B76A3D" w14:textId="77777777" w:rsidR="00A60DDE" w:rsidRDefault="00095506">
            <w:pPr>
              <w:pStyle w:val="P68B1DB1-Normal020"/>
              <w:spacing w:line="240" w:lineRule="auto"/>
              <w:rPr>
                <w:noProof/>
              </w:rPr>
            </w:pPr>
            <w:r>
              <w:rPr>
                <w:noProof/>
              </w:rPr>
              <w:t xml:space="preserve">Ordine de plată finale emise pentru proiecte care sprijină depozitarea sau introducerea pe piață a produselor agricole, a produselor pescărești, a produselor de acvacultură sau a produselor agroalimentare. </w:t>
            </w:r>
          </w:p>
          <w:p w14:paraId="25A59F95" w14:textId="6F97B2A5" w:rsidR="00A60DDE" w:rsidRDefault="00095506">
            <w:pPr>
              <w:pStyle w:val="P68B1DB1-Normal020"/>
              <w:spacing w:line="240" w:lineRule="auto"/>
              <w:rPr>
                <w:rFonts w:eastAsia="Times New Roman" w:cs="Times New Roman"/>
                <w:noProof/>
              </w:rPr>
            </w:pPr>
            <w:r>
              <w:rPr>
                <w:noProof/>
              </w:rPr>
              <w:t>În cazul în care cererea (cererile) de propuneri de proiecte are (au) în vedere achiziționarea de camioane, de alte vehicule grele sau de vehicule cu destinație specială, cererea (cererile) de propuneri de proiecte prevede (prevăd) că camioanele și alte vehicule grele achiziționate sunt numai vehicule cu emisii zero, vehicule cu emisii scăzute sau vehicule GNL/GNC care funcționează cu biogaz/biometan. Vehiculele cu destinație specială trebuie să respecte aceleași norme stabilite mai sus.</w:t>
            </w:r>
          </w:p>
          <w:p w14:paraId="1216B3DB" w14:textId="6FFCE21E" w:rsidR="00A60DDE" w:rsidRDefault="00095506">
            <w:pPr>
              <w:pStyle w:val="P68B1DB1-Normal020"/>
              <w:spacing w:after="0" w:line="240" w:lineRule="auto"/>
              <w:rPr>
                <w:rFonts w:eastAsia="Times New Roman" w:cs="Times New Roman"/>
                <w:noProof/>
                <w:color w:val="000000"/>
              </w:rPr>
            </w:pPr>
            <w:r>
              <w:rPr>
                <w:noProof/>
              </w:rPr>
              <w:t>În cazul în care cererea (cererile) de proiecte are (au) în vedere finanțarea instalațiilor de producere a energiei din biogaz, cererea (cererile) de proiecte prevede (prevăd) ca instalațiile să îndeplinească criteriile aplicabile de durabilitate și de reducere a emisiilor de gaze cu efect de seră prevăzute la articolele 29-31 și normele privind biocombustibilii pe bază de alimente și furaje prevăzute la articolul 26 din Directiva privind energia din surse regenerabile [Directiva 2018/2001/UE (REDII)], precum și actele de punere în aplicare și actele delegate conexe.</w:t>
            </w:r>
          </w:p>
        </w:tc>
      </w:tr>
      <w:tr w:rsidR="00A60DDE" w14:paraId="1216B3E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D"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E" w14:textId="09DBE12F" w:rsidR="00A60DDE" w:rsidRDefault="00095506">
            <w:pPr>
              <w:pStyle w:val="P68B1DB1-Normal020"/>
              <w:pBdr>
                <w:top w:val="nil"/>
                <w:left w:val="nil"/>
                <w:bottom w:val="nil"/>
                <w:right w:val="nil"/>
                <w:between w:val="nil"/>
              </w:pBdr>
              <w:spacing w:after="0" w:line="240" w:lineRule="auto"/>
              <w:rPr>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0" w14:textId="6D905148"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Ordine finale de plată emise pentru proiecte de construire sau modernizare a infrastructurii sau a echipamentelor întreprinderilor din sectorul agricol, al pescuitului sau al acvaculturii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4" w14:textId="47A79BCA" w:rsidR="00A60DDE" w:rsidRDefault="00095506">
            <w:pPr>
              <w:pStyle w:val="P68B1DB1-Normal020"/>
              <w:spacing w:after="0" w:line="240" w:lineRule="auto"/>
              <w:jc w:val="center"/>
              <w:rPr>
                <w:rFonts w:eastAsia="Times New Roman" w:cs="Times New Roman"/>
                <w:noProof/>
                <w:color w:val="000000"/>
              </w:rPr>
            </w:pPr>
            <w:r>
              <w:rPr>
                <w:noProof/>
              </w:rPr>
              <w:t>811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5" w14:textId="77777777" w:rsidR="00A60DDE" w:rsidRDefault="00095506">
            <w:pPr>
              <w:pStyle w:val="P68B1DB1-Normal020"/>
              <w:spacing w:after="0" w:line="240" w:lineRule="auto"/>
              <w:jc w:val="center"/>
              <w:rPr>
                <w:rFonts w:eastAsia="Times New Roman" w:cs="Times New Roman"/>
                <w:noProof/>
                <w:color w:val="000000"/>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6" w14:textId="77777777" w:rsidR="00A60DDE" w:rsidRDefault="00095506">
            <w:pPr>
              <w:pStyle w:val="P68B1DB1-Normal020"/>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7" w14:textId="548B1A6F" w:rsidR="00A60DDE" w:rsidRDefault="00095506">
            <w:pPr>
              <w:pStyle w:val="P68B1DB1-Normal020"/>
              <w:spacing w:after="0" w:line="240" w:lineRule="auto"/>
              <w:rPr>
                <w:noProof/>
              </w:rPr>
            </w:pPr>
            <w:r>
              <w:rPr>
                <w:noProof/>
              </w:rPr>
              <w:t>Ordine finale de plată emise pentru proiecte de construire sau modernizare a infrastructurii sau a echipamentelor întreprinderilor din sectorul agricol, al pescuitului sau al acvaculturii.</w:t>
            </w:r>
          </w:p>
          <w:p w14:paraId="1216B3E8" w14:textId="77777777" w:rsidR="00A60DDE" w:rsidRDefault="00A60DDE">
            <w:pPr>
              <w:pStyle w:val="Normal0"/>
              <w:spacing w:after="0" w:line="240" w:lineRule="auto"/>
              <w:rPr>
                <w:rFonts w:ascii="Times New Roman" w:hAnsi="Times New Roman"/>
                <w:noProof/>
                <w:color w:val="000000" w:themeColor="text1"/>
                <w:sz w:val="18"/>
                <w:szCs w:val="18"/>
              </w:rPr>
            </w:pPr>
          </w:p>
          <w:p w14:paraId="1216B3EB" w14:textId="5EF6D62E" w:rsidR="00A60DDE" w:rsidRDefault="00095506">
            <w:pPr>
              <w:pStyle w:val="P68B1DB1-Normal020"/>
              <w:spacing w:after="0" w:line="240" w:lineRule="auto"/>
              <w:rPr>
                <w:noProof/>
              </w:rPr>
            </w:pPr>
            <w:r>
              <w:rPr>
                <w:noProof/>
              </w:rPr>
              <w:t>În cazul în care cererea (cererile) de propuneri de proiecte are (au) în vedere achiziționarea de camioane, de alte vehicule grele sau de vehicule cu destinație specială, cererea (cererile) de propuneri de proiecte prevede (prevăd) că camioanele și alte vehicule grele achiziționate sunt numai vehicule cu emisii zero, vehicule cu emisii scăzute sau vehicule GNL/GNC care funcționează cu biogaz/biometan. Vehiculele cu destinație specială trebuie să respecte aceleași norme stabilite mai sus.</w:t>
            </w:r>
          </w:p>
          <w:p w14:paraId="50F3F094" w14:textId="77777777" w:rsidR="00A60DDE" w:rsidRDefault="00A60DDE">
            <w:pPr>
              <w:pStyle w:val="Normal0"/>
              <w:spacing w:after="0" w:line="240" w:lineRule="auto"/>
              <w:rPr>
                <w:rFonts w:ascii="Times New Roman" w:hAnsi="Times New Roman"/>
                <w:noProof/>
                <w:color w:val="000000" w:themeColor="text1"/>
                <w:sz w:val="18"/>
                <w:szCs w:val="18"/>
              </w:rPr>
            </w:pPr>
          </w:p>
          <w:p w14:paraId="1216B3EC" w14:textId="4902156D" w:rsidR="00A60DDE" w:rsidRDefault="00095506">
            <w:pPr>
              <w:pStyle w:val="P68B1DB1-Normal020"/>
              <w:spacing w:after="0" w:line="240" w:lineRule="auto"/>
              <w:rPr>
                <w:rFonts w:eastAsia="Times New Roman" w:cs="Times New Roman"/>
                <w:noProof/>
              </w:rPr>
            </w:pPr>
            <w:r>
              <w:rPr>
                <w:noProof/>
              </w:rPr>
              <w:t>În cazul în care cererea (cererile) de proiecte are (au) în vedere finanțarea instalațiilor de producere a energiei din biogaz, cererea (cererile) de proiecte prevede (prevăd) ca instalațiile să îndeplinească criteriile aplicabile de durabilitate și de reducere a emisiilor de gaze cu efect de seră prevăzute la articolele 29-31 și normele privind biocombustibilii pe bază de alimente și furaje prevăzute la articolul 26 din Directiva privind energia din surse regenerabile [Directiva 2018/2001/UE (REDII)], precum și actele de punere în aplicare și actele delegate conexe.</w:t>
            </w:r>
          </w:p>
        </w:tc>
      </w:tr>
      <w:tr w:rsidR="00A60DDE" w14:paraId="1216B3F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E"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F"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1" w14:textId="77777777" w:rsidR="00A60DDE" w:rsidRDefault="00095506">
            <w:pPr>
              <w:pStyle w:val="P68B1DB1-Normal018"/>
              <w:pBdr>
                <w:top w:val="nil"/>
                <w:left w:val="nil"/>
                <w:bottom w:val="nil"/>
                <w:right w:val="nil"/>
                <w:between w:val="nil"/>
              </w:pBdr>
              <w:spacing w:after="0" w:line="240" w:lineRule="auto"/>
              <w:rPr>
                <w:rFonts w:cs="Times New Roman"/>
                <w:noProof/>
              </w:rPr>
            </w:pPr>
            <w:r>
              <w:rPr>
                <w:noProof/>
              </w:rPr>
              <w:t>Fermierii care au primit finanțare pentru finalizarea proiectelor de înlocuire a materialelor dăunătoare mediului și sănătății în clădirile utilizate pentru producția agricolă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22 000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8" w14:textId="080ABEBC"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Cel puțin 22 000 de fermieri au primit finanțare pentru finalizarea proiectelor de înlocuire a materialelor dăunătoare mediului și sănătății în clădirile utilizate pentru producția agricolă.</w:t>
            </w:r>
          </w:p>
        </w:tc>
      </w:tr>
      <w:tr w:rsidR="00A60DDE" w14:paraId="1216B40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A" w14:textId="77777777" w:rsidR="00A60DDE" w:rsidRDefault="00095506">
            <w:pPr>
              <w:pStyle w:val="P68B1DB1-Normal018"/>
              <w:pBdr>
                <w:top w:val="nil"/>
                <w:left w:val="nil"/>
                <w:bottom w:val="nil"/>
                <w:right w:val="nil"/>
                <w:between w:val="nil"/>
              </w:pBdr>
              <w:spacing w:after="0" w:line="240" w:lineRule="auto"/>
              <w:ind w:left="-113"/>
              <w:jc w:val="center"/>
              <w:rPr>
                <w:noProof/>
              </w:rPr>
            </w:pPr>
            <w:r>
              <w:rPr>
                <w:noProof/>
              </w:rPr>
              <w:t>A25aG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B"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 xml:space="preserve">A1.4.1 Modernizarea infrastructurii sau a echipamentelor din sectorul agricol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C"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D" w14:textId="77777777" w:rsidR="00A60DDE" w:rsidRDefault="00095506">
            <w:pPr>
              <w:pStyle w:val="P68B1DB1-Normal018"/>
              <w:spacing w:after="0" w:line="240" w:lineRule="auto"/>
              <w:rPr>
                <w:noProof/>
              </w:rPr>
            </w:pPr>
            <w:r>
              <w:rPr>
                <w:noProof/>
              </w:rPr>
              <w:t>Finanțarea proiectelor de înlocuire a materialelor dăunătoare mediului și sănătății în clădirile utilizate pentru producția agricolă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E" w14:textId="77777777" w:rsidR="00A60DDE" w:rsidRDefault="00095506">
            <w:pPr>
              <w:pStyle w:val="P68B1DB1-Normal019"/>
              <w:pBdr>
                <w:top w:val="nil"/>
                <w:left w:val="nil"/>
                <w:bottom w:val="nil"/>
                <w:right w:val="nil"/>
                <w:between w:val="nil"/>
              </w:pBdr>
              <w:spacing w:after="0" w:line="240" w:lineRule="auto"/>
              <w:rPr>
                <w:noProof/>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F"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0" w14:textId="77777777" w:rsidR="00A60DDE" w:rsidRDefault="00095506">
            <w:pPr>
              <w:pStyle w:val="P68B1DB1-Normal019"/>
              <w:pBdr>
                <w:top w:val="nil"/>
                <w:left w:val="nil"/>
                <w:bottom w:val="nil"/>
                <w:right w:val="nil"/>
                <w:between w:val="nil"/>
              </w:pBdr>
              <w:spacing w:after="0" w:line="240" w:lineRule="auto"/>
              <w:jc w:val="center"/>
              <w:rPr>
                <w:noProof/>
                <w:color w:val="000000" w:themeColor="text1"/>
                <w:szCs w:val="18"/>
              </w:rPr>
            </w:pPr>
            <w:r>
              <w:rPr>
                <w:noProof/>
              </w:rPr>
              <w:t>22 000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1" w14:textId="77777777" w:rsidR="00A60DDE" w:rsidRDefault="00095506">
            <w:pPr>
              <w:pStyle w:val="P68B1DB1-Normal020"/>
              <w:spacing w:after="0" w:line="240" w:lineRule="auto"/>
              <w:jc w:val="center"/>
              <w:rPr>
                <w:noProof/>
              </w:rPr>
            </w:pPr>
            <w:r>
              <w:rPr>
                <w:noProof/>
              </w:rPr>
              <w:t>42 641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2" w14:textId="77777777" w:rsidR="00A60DDE" w:rsidRDefault="00095506">
            <w:pPr>
              <w:pStyle w:val="P68B1DB1-Normal020"/>
              <w:spacing w:after="0" w:line="240" w:lineRule="auto"/>
              <w:jc w:val="center"/>
              <w:rPr>
                <w:noProof/>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3" w14:textId="77777777" w:rsidR="00A60DDE" w:rsidRDefault="00095506">
            <w:pPr>
              <w:pStyle w:val="P68B1DB1-Normal020"/>
              <w:spacing w:after="0" w:line="240" w:lineRule="auto"/>
              <w:jc w:val="center"/>
              <w:rPr>
                <w:noProof/>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4" w14:textId="1F43DC69" w:rsidR="00A60DDE" w:rsidRDefault="00095506">
            <w:pPr>
              <w:pStyle w:val="P68B1DB1-Normal020"/>
              <w:spacing w:after="0" w:line="240" w:lineRule="auto"/>
              <w:rPr>
                <w:noProof/>
              </w:rPr>
            </w:pPr>
            <w:r>
              <w:rPr>
                <w:noProof/>
              </w:rPr>
              <w:t>Proiectele au primit finanțare pentru înlocuirea materialelor dăunătoare mediului și sănătății în clădirile utilizate pentru producția agricolă.</w:t>
            </w:r>
          </w:p>
        </w:tc>
      </w:tr>
      <w:tr w:rsidR="00A60DDE" w14:paraId="1216B41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6" w14:textId="687ABA7B"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7"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8"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9" w14:textId="319594D8" w:rsidR="00A60DDE" w:rsidRDefault="00095506">
            <w:pPr>
              <w:pStyle w:val="P68B1DB1-Normal018"/>
              <w:spacing w:after="0" w:line="240" w:lineRule="auto"/>
              <w:rPr>
                <w:rFonts w:eastAsia="Times New Roman" w:cs="Times New Roman"/>
                <w:noProof/>
                <w:color w:val="000000" w:themeColor="text1"/>
              </w:rPr>
            </w:pPr>
            <w:r>
              <w:rPr>
                <w:noProof/>
              </w:rPr>
              <w:t>Ordine finale de plată pentru proiecte de construcție sau modernizare a infrastructurii sau a echipamentelor de către fermieri sau pescari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C"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D" w14:textId="5D3AC8C6" w:rsidR="00A60DDE" w:rsidRDefault="00095506">
            <w:pPr>
              <w:pStyle w:val="P68B1DB1-Normal020"/>
              <w:spacing w:after="0" w:line="240" w:lineRule="auto"/>
              <w:jc w:val="center"/>
              <w:rPr>
                <w:noProof/>
                <w:color w:val="000000"/>
              </w:rPr>
            </w:pPr>
            <w:r>
              <w:rPr>
                <w:noProof/>
              </w:rPr>
              <w:t>13 519</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E" w14:textId="77777777" w:rsidR="00A60DDE" w:rsidRDefault="00095506">
            <w:pPr>
              <w:pStyle w:val="P68B1DB1-Normal020"/>
              <w:spacing w:after="0" w:line="240" w:lineRule="auto"/>
              <w:jc w:val="center"/>
              <w:rPr>
                <w:rFonts w:eastAsia="Times New Roman" w:cs="Times New Roman"/>
                <w:noProof/>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F" w14:textId="77777777" w:rsidR="00A60DDE" w:rsidRDefault="00095506">
            <w:pPr>
              <w:pStyle w:val="P68B1DB1-Normal020"/>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10" w14:textId="527BF650" w:rsidR="00A60DDE" w:rsidRDefault="00095506">
            <w:pPr>
              <w:pStyle w:val="P68B1DB1-Normal020"/>
              <w:spacing w:after="0" w:line="240" w:lineRule="auto"/>
              <w:rPr>
                <w:noProof/>
              </w:rPr>
            </w:pPr>
            <w:r>
              <w:rPr>
                <w:noProof/>
              </w:rPr>
              <w:t>Ordine finale de plată pentru proiecte de construcție sau modernizare a infrastructurii sau a echipamentelor de către fermieri sau pescari.</w:t>
            </w:r>
          </w:p>
          <w:p w14:paraId="1216B413"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55330C52" w14:textId="77777777" w:rsidR="00A60DDE" w:rsidRDefault="00095506">
            <w:pPr>
              <w:pStyle w:val="P68B1DB1-Normal020"/>
              <w:spacing w:after="0" w:line="240" w:lineRule="auto"/>
              <w:rPr>
                <w:noProof/>
              </w:rPr>
            </w:pPr>
            <w:r>
              <w:rPr>
                <w:noProof/>
              </w:rPr>
              <w:t>Proiectele pot implica achiziționarea de camioane, de alte vehicule grele sau de vehicule cu destinație specială, caz în care astfel de vehicule sunt doar vehicule cu emisii zero, cu emisii scăzute sau cu GNL/GNC care funcționează cu biogaz/biometan.</w:t>
            </w:r>
          </w:p>
          <w:p w14:paraId="2F1EF5E0" w14:textId="77777777" w:rsidR="00A60DDE" w:rsidRDefault="00A60DDE">
            <w:pPr>
              <w:spacing w:after="0" w:line="240" w:lineRule="auto"/>
              <w:rPr>
                <w:rFonts w:ascii="Times New Roman" w:hAnsi="Times New Roman"/>
                <w:noProof/>
                <w:color w:val="000000" w:themeColor="text1"/>
                <w:sz w:val="18"/>
                <w:szCs w:val="18"/>
              </w:rPr>
            </w:pPr>
          </w:p>
          <w:p w14:paraId="1216B416" w14:textId="2860690D" w:rsidR="00A60DDE" w:rsidRDefault="00095506">
            <w:pPr>
              <w:pStyle w:val="P68B1DB1-Normal26"/>
              <w:spacing w:after="0" w:line="240" w:lineRule="auto"/>
              <w:rPr>
                <w:noProof/>
              </w:rPr>
            </w:pPr>
            <w:r>
              <w:rPr>
                <w:noProof/>
              </w:rPr>
              <w:t>Proiectele pot implica finanțarea instalațiilor de producere a energiei din biogaz, caz în care astfel de instalații îndeplinesc criteriile de durabilitate și de reducere a emisiilor de gaze cu efect de seră prevăzute la articolele 29-31 și normele privind biocombustibilii pe bază de alimente și furaje prevăzute la articolul 26 din Directiva privind energia din surse regenerabile [Directiva 2018/2001/UE (REDII)], precum și actele de punere în aplicare și actele delegate conexe.</w:t>
            </w:r>
          </w:p>
        </w:tc>
      </w:tr>
    </w:tbl>
    <w:p w14:paraId="1216B418" w14:textId="77777777" w:rsidR="00A60DDE" w:rsidRDefault="00095506">
      <w:pPr>
        <w:rPr>
          <w:rFonts w:ascii="Times New Roman" w:eastAsia="Times New Roman" w:hAnsi="Times New Roman" w:cs="Times New Roman"/>
          <w:b/>
          <w:noProof/>
          <w:color w:val="000000"/>
          <w:sz w:val="24"/>
          <w:szCs w:val="24"/>
          <w:u w:val="single"/>
        </w:rPr>
      </w:pPr>
      <w:r>
        <w:rPr>
          <w:noProof/>
        </w:rPr>
        <w:br w:type="page"/>
      </w:r>
      <w:r>
        <w:rPr>
          <w:rFonts w:ascii="Times New Roman" w:hAnsi="Times New Roman"/>
          <w:b/>
          <w:noProof/>
          <w:color w:val="000000"/>
          <w:sz w:val="24"/>
          <w:u w:val="single"/>
        </w:rPr>
        <w:t>A2 – INOVARE</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75"/>
        <w:gridCol w:w="1984"/>
        <w:gridCol w:w="1276"/>
        <w:gridCol w:w="2126"/>
        <w:gridCol w:w="1536"/>
        <w:gridCol w:w="992"/>
        <w:gridCol w:w="960"/>
        <w:gridCol w:w="605"/>
        <w:gridCol w:w="986"/>
        <w:gridCol w:w="846"/>
        <w:gridCol w:w="3123"/>
      </w:tblGrid>
      <w:tr w:rsidR="00A60DDE" w14:paraId="1216B421" w14:textId="77777777">
        <w:trPr>
          <w:trHeight w:val="300"/>
          <w:tblHeader/>
          <w:jc w:val="center"/>
        </w:trPr>
        <w:tc>
          <w:tcPr>
            <w:tcW w:w="875" w:type="dxa"/>
            <w:vMerge w:val="restart"/>
            <w:tcBorders>
              <w:top w:val="single" w:sz="4" w:space="0" w:color="000000" w:themeColor="text1"/>
            </w:tcBorders>
            <w:shd w:val="clear" w:color="auto" w:fill="BDD7EE"/>
            <w:vAlign w:val="center"/>
          </w:tcPr>
          <w:p w14:paraId="1216B419" w14:textId="7E301F39" w:rsidR="00A60DDE" w:rsidRPr="005631E2" w:rsidRDefault="00095506" w:rsidP="005631E2">
            <w:pPr>
              <w:pStyle w:val="P68B1DB1-Normal017"/>
              <w:pBdr>
                <w:top w:val="nil"/>
                <w:left w:val="nil"/>
                <w:bottom w:val="nil"/>
                <w:right w:val="nil"/>
                <w:between w:val="nil"/>
              </w:pBdr>
              <w:spacing w:after="0" w:line="240" w:lineRule="auto"/>
              <w:jc w:val="center"/>
              <w:rPr>
                <w:noProof/>
              </w:rPr>
            </w:pPr>
            <w:r>
              <w:rPr>
                <w:noProof/>
              </w:rPr>
              <w:t>Nr.</w:t>
            </w:r>
            <w:r w:rsidR="005631E2">
              <w:rPr>
                <w:noProof/>
              </w:rPr>
              <w:t xml:space="preserve"> secv.</w:t>
            </w:r>
          </w:p>
        </w:tc>
        <w:tc>
          <w:tcPr>
            <w:tcW w:w="1984" w:type="dxa"/>
            <w:vMerge w:val="restart"/>
            <w:tcBorders>
              <w:top w:val="single" w:sz="4" w:space="0" w:color="000000" w:themeColor="text1"/>
            </w:tcBorders>
            <w:shd w:val="clear" w:color="auto" w:fill="BDD7EE"/>
            <w:vAlign w:val="center"/>
          </w:tcPr>
          <w:p w14:paraId="1216B41A"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276" w:type="dxa"/>
            <w:vMerge w:val="restart"/>
            <w:tcBorders>
              <w:top w:val="single" w:sz="4" w:space="0" w:color="000000" w:themeColor="text1"/>
            </w:tcBorders>
            <w:shd w:val="clear" w:color="auto" w:fill="BDD7EE"/>
            <w:vAlign w:val="center"/>
          </w:tcPr>
          <w:p w14:paraId="1216B41B"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2126" w:type="dxa"/>
            <w:vMerge w:val="restart"/>
            <w:tcBorders>
              <w:top w:val="single" w:sz="4" w:space="0" w:color="000000" w:themeColor="text1"/>
            </w:tcBorders>
            <w:shd w:val="clear" w:color="auto" w:fill="BDD7EE"/>
            <w:vAlign w:val="center"/>
          </w:tcPr>
          <w:p w14:paraId="1216B41C"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36" w:type="dxa"/>
            <w:vMerge w:val="restart"/>
            <w:tcBorders>
              <w:top w:val="single" w:sz="4" w:space="0" w:color="000000" w:themeColor="text1"/>
            </w:tcBorders>
            <w:shd w:val="clear" w:color="auto" w:fill="BDD7EE"/>
            <w:vAlign w:val="center"/>
          </w:tcPr>
          <w:p w14:paraId="1216B41D" w14:textId="3214640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br/>
            </w:r>
            <w:r>
              <w:rPr>
                <w:rFonts w:ascii="Times New Roman" w:hAnsi="Times New Roman"/>
                <w:b/>
                <w:noProof/>
                <w:color w:val="000000"/>
                <w:sz w:val="18"/>
              </w:rPr>
              <w:t>(pentru jaloane)</w:t>
            </w:r>
          </w:p>
        </w:tc>
        <w:tc>
          <w:tcPr>
            <w:tcW w:w="2557" w:type="dxa"/>
            <w:gridSpan w:val="3"/>
            <w:tcBorders>
              <w:top w:val="single" w:sz="4" w:space="0" w:color="000000" w:themeColor="text1"/>
            </w:tcBorders>
            <w:shd w:val="clear" w:color="auto" w:fill="BDD7EE"/>
            <w:vAlign w:val="center"/>
          </w:tcPr>
          <w:p w14:paraId="1216B41E" w14:textId="7AEED599"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br/>
            </w:r>
            <w:r>
              <w:rPr>
                <w:rFonts w:ascii="Times New Roman" w:hAnsi="Times New Roman"/>
                <w:b/>
                <w:noProof/>
                <w:color w:val="000000"/>
                <w:sz w:val="18"/>
              </w:rPr>
              <w:t>(pentru obiective)</w:t>
            </w:r>
          </w:p>
        </w:tc>
        <w:tc>
          <w:tcPr>
            <w:tcW w:w="1832" w:type="dxa"/>
            <w:gridSpan w:val="2"/>
            <w:tcBorders>
              <w:top w:val="single" w:sz="4" w:space="0" w:color="000000" w:themeColor="text1"/>
            </w:tcBorders>
            <w:shd w:val="clear" w:color="auto" w:fill="BDD7EE"/>
            <w:vAlign w:val="center"/>
          </w:tcPr>
          <w:p w14:paraId="1216B41F"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123" w:type="dxa"/>
            <w:vMerge w:val="restart"/>
            <w:tcBorders>
              <w:top w:val="single" w:sz="4" w:space="0" w:color="000000" w:themeColor="text1"/>
            </w:tcBorders>
            <w:shd w:val="clear" w:color="auto" w:fill="BDD7EE"/>
            <w:vAlign w:val="center"/>
          </w:tcPr>
          <w:p w14:paraId="1216B420"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A60DDE" w14:paraId="1216B42D" w14:textId="77777777">
        <w:trPr>
          <w:trHeight w:val="300"/>
          <w:jc w:val="center"/>
        </w:trPr>
        <w:tc>
          <w:tcPr>
            <w:tcW w:w="875" w:type="dxa"/>
            <w:vMerge/>
            <w:vAlign w:val="center"/>
          </w:tcPr>
          <w:p w14:paraId="1216B422"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984" w:type="dxa"/>
            <w:vMerge/>
            <w:vAlign w:val="center"/>
          </w:tcPr>
          <w:p w14:paraId="1216B423"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24"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25"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36" w:type="dxa"/>
            <w:vMerge/>
            <w:vAlign w:val="center"/>
          </w:tcPr>
          <w:p w14:paraId="1216B426"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shd w:val="clear" w:color="auto" w:fill="BDD7EE"/>
            <w:vAlign w:val="center"/>
          </w:tcPr>
          <w:p w14:paraId="1216B427"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60" w:type="dxa"/>
            <w:shd w:val="clear" w:color="auto" w:fill="BDD7EE"/>
            <w:vAlign w:val="center"/>
          </w:tcPr>
          <w:p w14:paraId="1216B428"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605" w:type="dxa"/>
            <w:shd w:val="clear" w:color="auto" w:fill="BDD7EE"/>
            <w:vAlign w:val="center"/>
          </w:tcPr>
          <w:p w14:paraId="1216B429"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986" w:type="dxa"/>
            <w:shd w:val="clear" w:color="auto" w:fill="BDD7EE"/>
            <w:vAlign w:val="center"/>
          </w:tcPr>
          <w:p w14:paraId="1216B42A"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846" w:type="dxa"/>
            <w:shd w:val="clear" w:color="auto" w:fill="BDD7EE"/>
            <w:vAlign w:val="center"/>
          </w:tcPr>
          <w:p w14:paraId="1216B42B"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123" w:type="dxa"/>
            <w:vMerge/>
            <w:vAlign w:val="center"/>
          </w:tcPr>
          <w:p w14:paraId="1216B42C"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443"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E"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A27G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A2.1 Accelerarea proceselor de robotizare, digitalizare și inovare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1" w14:textId="58707B63"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unei noi legi pentru sprijinirea automatizării, a digitalizării și a inovării întreprinderilor prin introducerea unei reduceri fiscale pentru robotizare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2" w14:textId="6E3A7714"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noua lege privind sprijinirea automatizării, a digitalizării și a inovării întreprinderilor,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5"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8" w14:textId="29AD4653"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O nouă lege introduce o reducere fiscală, astfel încât un antreprenor să aibă dreptul la o anulare suplimentară a unei părți din costurile de robotizare din baza fiscală la sfârșitul anului fiscal. Scutirea fiscală este disponibilă pentru toți antreprenorii, indiferent de dimensiunea și locul lor de desfășurare a activității. Următoarele costuri sunt considerate eligibile:</w:t>
            </w:r>
          </w:p>
          <w:p w14:paraId="1216B439" w14:textId="776FA4A8"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costurile achiziționării de noi roboți;</w:t>
            </w:r>
          </w:p>
          <w:p w14:paraId="1216B43A" w14:textId="110CBE51"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mașini și dispozitive periferice pentru roboți legate funcțional de acestea</w:t>
            </w:r>
          </w:p>
          <w:p w14:paraId="1216B43B" w14:textId="30EDD183"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mașini, dispozitive și alte lucruri legate funcțional de roboți, utilizate pentru a asigura ergonomia și siguranța la locul de muncă</w:t>
            </w:r>
          </w:p>
          <w:p w14:paraId="1216B43C" w14:textId="2E8B6F40"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mașini, dispozitive sau sisteme pentru gestionarea, diagnosticarea, monitorizarea sau întreținerea de la distanță a roboților</w:t>
            </w:r>
          </w:p>
          <w:p w14:paraId="1216B43D" w14:textId="3637A9DD"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dispozitive de interacțiune om-mașină pentru coboți sau roboți cu sensibilitate ridicată</w:t>
            </w:r>
          </w:p>
          <w:p w14:paraId="1216B43E" w14:textId="107C654B"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costurile imobilizărilor necorporale privind imobilizările menționate mai sus</w:t>
            </w:r>
          </w:p>
          <w:p w14:paraId="1216B43F" w14:textId="0F46B834"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costurile serviciilor de formare privind roboții</w:t>
            </w:r>
          </w:p>
          <w:p w14:paraId="1216B440" w14:textId="27156115"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comisioanele menționate în contractul de leasing privind activele fixe enumerate mai sus, în cazul în care, după încheierea perioadei de bază a contractului de leasing, dreptul de proprietate asupra activelor fixe este transferat contribuabilului.</w:t>
            </w:r>
          </w:p>
          <w:p w14:paraId="1216B441"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442" w14:textId="53F72C9B"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Se preconizează că această măsură nu aduce prejudicii semnificative obiectivelor de mediu în sensul articolului 17 din Regulamentul (UE) 2020/852, ținând seama de descrierea măsurii și de măsurile de atenuare prevăzute în planul de redresare și reziliență în conformitate cu Orientările tehnice privind principiul de „a nu aduce prejudicii semnificative” (2021/C 58/01). În special, reforma sprijină investițiile cu impact redus care sunt neutre din punct de vedere tehnologic la nivelul aplicării lor.</w:t>
            </w:r>
          </w:p>
        </w:tc>
      </w:tr>
      <w:tr w:rsidR="00A60DDE" w14:paraId="1216B44F"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4"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A29G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5" w14:textId="751665E3"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A2.1.1 Investiții în robotizare sau digitalizare în întreprinderi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7"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Proiecte legate de robotizarea, inteligența artificială sau digitalizarea proceselor, tehnologiilor, produselor sau serviciilor în întreprinderi</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8"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A"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E" w14:textId="4C77175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Cererile finale de plată din partea beneficiarilor trebuie să fi fost aprobate de autoritatea competentă pentru proiecte legate de robotizare sau de inteligența artificială ori de digitalizarea proceselor, tehnologiilor, produselor sau serviciilor în întreprinderi.</w:t>
            </w:r>
          </w:p>
        </w:tc>
      </w:tr>
      <w:tr w:rsidR="00A60DDE" w14:paraId="1216B45B"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0"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A2.2 Crearea condițiilor pentru tranziția către un model de economie circulară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3" w14:textId="0FC74711"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unei noi legislații care introduce modificări ale cadrului legislativ pentru a permite comerțul cu materii prime secundare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4"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noua legislație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5"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A" w14:textId="6AFDFE36"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Noua legislație va permite comerțul cu anumite materii prime secundare. Legislația permite gestionarea facilitată a acestor materiale, cu scopul de a reduce exploatarea zăcămintelor de resurse naturale, de a înlocui materialele și produsele naturale și de a reduce depozitarea deșeurilor în haldele de deșeuri.</w:t>
            </w:r>
          </w:p>
        </w:tc>
      </w:tr>
      <w:tr w:rsidR="00A60DDE" w14:paraId="1216B46A" w14:textId="77777777">
        <w:trPr>
          <w:trHeight w:val="198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C"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A31G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A2.2.1 Investiții în tehnologii și inovații de mediu, legate de economia circulară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F"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Acorduri de grant semnate pentru proiecte privind tehnologiile de mediu și inovațiile legate de economia circulară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0"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3"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150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6"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Numărul de acorduri de grant semnate pentru proiecte privind tehnologiile de mediu și inovațiile legate de economia circulară.</w:t>
            </w:r>
          </w:p>
          <w:p w14:paraId="1216B467"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468" w14:textId="77777777" w:rsidR="00A60DDE" w:rsidRDefault="00095506">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Criteriile de selecție pentru cererea de propuneri impun ca proiectele să contribuie la transformarea IMM-urilor în direcția unei economii circulare.</w:t>
            </w:r>
            <w:r>
              <w:rPr>
                <w:noProof/>
              </w:rPr>
              <w:br/>
            </w:r>
          </w:p>
          <w:p w14:paraId="1216B469"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Pentru a se asigura că măsura respectă Orientările tehnice de „a nu prejudicia în mod semnificativ” (2021/C 58/01), criteriile de eligibilitate cuprinse în termenii de referință pentru cererile de proiecte exclud următoarea listă de activități: (i) activitățile legate de combustibilii fosili, inclusiv utilizarea în aval;</w:t>
            </w:r>
            <w:r>
              <w:rPr>
                <w:rStyle w:val="FootnoteReference"/>
                <w:rFonts w:ascii="Times New Roman" w:hAnsi="Times New Roman"/>
                <w:noProof/>
                <w:color w:val="000000" w:themeColor="text1"/>
                <w:sz w:val="18"/>
                <w:szCs w:val="18"/>
              </w:rPr>
              <w:footnoteReference w:id="6"/>
            </w:r>
            <w:r>
              <w:rPr>
                <w:rFonts w:ascii="Times New Roman" w:hAnsi="Times New Roman"/>
                <w:noProof/>
                <w:color w:val="000000" w:themeColor="text1"/>
                <w:sz w:val="18"/>
                <w:szCs w:val="18"/>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color w:val="000000" w:themeColor="text1"/>
                <w:sz w:val="18"/>
                <w:szCs w:val="18"/>
              </w:rPr>
              <w:footnoteReference w:id="7"/>
            </w:r>
            <w:r>
              <w:rPr>
                <w:rFonts w:ascii="Times New Roman" w:hAnsi="Times New Roman"/>
                <w:noProof/>
                <w:color w:val="000000" w:themeColor="text1"/>
                <w:sz w:val="18"/>
                <w:szCs w:val="18"/>
              </w:rPr>
              <w:t xml:space="preserve"> (iii) activități legate de depozitele de deșeuri, incineratoare</w:t>
            </w:r>
            <w:r>
              <w:rPr>
                <w:rStyle w:val="FootnoteReference"/>
                <w:rFonts w:ascii="Times New Roman" w:hAnsi="Times New Roman"/>
                <w:noProof/>
                <w:color w:val="000000" w:themeColor="text1"/>
                <w:sz w:val="18"/>
                <w:szCs w:val="18"/>
              </w:rPr>
              <w:footnoteReference w:id="8"/>
            </w:r>
            <w:r>
              <w:rPr>
                <w:rFonts w:ascii="Times New Roman" w:hAnsi="Times New Roman"/>
                <w:noProof/>
                <w:color w:val="000000" w:themeColor="text1"/>
                <w:sz w:val="18"/>
                <w:szCs w:val="18"/>
              </w:rPr>
              <w:t xml:space="preserve"> și stații de tratare mecano-biologică;</w:t>
            </w:r>
            <w:r>
              <w:rPr>
                <w:rStyle w:val="FootnoteReference"/>
                <w:rFonts w:ascii="Times New Roman" w:hAnsi="Times New Roman"/>
                <w:noProof/>
                <w:color w:val="000000" w:themeColor="text1"/>
                <w:sz w:val="18"/>
                <w:szCs w:val="18"/>
              </w:rPr>
              <w:footnoteReference w:id="9"/>
            </w:r>
            <w:r>
              <w:rPr>
                <w:rFonts w:ascii="Times New Roman" w:hAnsi="Times New Roman"/>
                <w:noProof/>
                <w:color w:val="000000" w:themeColor="text1"/>
                <w:sz w:val="18"/>
                <w:szCs w:val="18"/>
              </w:rPr>
              <w:t xml:space="preserve"> și (iv) activități în care eliminarea pe termen lung a deșeurilor poate dăuna mediului.</w:t>
            </w:r>
          </w:p>
        </w:tc>
      </w:tr>
      <w:tr w:rsidR="00A60DDE" w14:paraId="1216B480"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B"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A32G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C"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A2.2.1 Investiții în tehnologii și inovații de mediu, legate de economia circulară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E" w14:textId="77777777" w:rsidR="00A60DDE" w:rsidRDefault="00095506">
            <w:pPr>
              <w:pStyle w:val="P68B1DB1-Normal019"/>
              <w:pBdr>
                <w:top w:val="nil"/>
                <w:left w:val="nil"/>
                <w:bottom w:val="nil"/>
                <w:right w:val="nil"/>
                <w:between w:val="nil"/>
              </w:pBdr>
              <w:spacing w:after="0" w:line="240" w:lineRule="auto"/>
              <w:rPr>
                <w:noProof/>
              </w:rPr>
            </w:pPr>
            <w:r>
              <w:rPr>
                <w:noProof/>
                <w:szCs w:val="18"/>
              </w:rPr>
              <w:t>Acorduri de grant semnate pentru proiecte privind tehnologiile și inovațiile de mediu, legate</w:t>
            </w:r>
            <w:r>
              <w:rPr>
                <w:noProof/>
              </w:rPr>
              <w:t xml:space="preserve"> </w:t>
            </w:r>
            <w:r>
              <w:rPr>
                <w:noProof/>
                <w:szCs w:val="18"/>
              </w:rPr>
              <w:t>de economia circulară sau de crearea unei piețe pentru materiile prime secundare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2"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7</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3"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5" w14:textId="2D0E4FCF" w:rsidR="00A60DDE" w:rsidRDefault="00095506">
            <w:pPr>
              <w:pStyle w:val="P68B1DB1-Normal020"/>
              <w:spacing w:after="0" w:line="240" w:lineRule="auto"/>
              <w:rPr>
                <w:noProof/>
              </w:rPr>
            </w:pPr>
            <w:r>
              <w:rPr>
                <w:noProof/>
              </w:rPr>
              <w:t>Numărul de acorduri de grant semnate pentru proiecte privind tehnologiile și inovațiile de mediu, legate de economia circulară sau de crearea unei piețe pentru materiile prime secundare.</w:t>
            </w:r>
          </w:p>
          <w:p w14:paraId="1216B476" w14:textId="77777777" w:rsidR="00A60DDE" w:rsidRDefault="00A60DDE">
            <w:pPr>
              <w:pStyle w:val="Normal0"/>
              <w:spacing w:after="0" w:line="240" w:lineRule="auto"/>
              <w:rPr>
                <w:rFonts w:ascii="Times New Roman" w:hAnsi="Times New Roman"/>
                <w:noProof/>
                <w:color w:val="000000" w:themeColor="text1"/>
                <w:sz w:val="18"/>
                <w:szCs w:val="18"/>
              </w:rPr>
            </w:pPr>
          </w:p>
          <w:p w14:paraId="1216B477" w14:textId="77777777" w:rsidR="00A60DDE" w:rsidRDefault="00095506">
            <w:pPr>
              <w:pStyle w:val="P68B1DB1-Normal020"/>
              <w:spacing w:after="0" w:line="240" w:lineRule="auto"/>
              <w:rPr>
                <w:rFonts w:eastAsia="Times New Roman" w:cs="Times New Roman"/>
                <w:noProof/>
              </w:rPr>
            </w:pPr>
            <w:r>
              <w:rPr>
                <w:noProof/>
              </w:rPr>
              <w:t xml:space="preserve">Cererea de candidaturi include criteriile de eligibilitate, solicitând ca proiectele să acopere cel puțin una dintre următoarele categorii: </w:t>
            </w:r>
          </w:p>
          <w:p w14:paraId="1216B478" w14:textId="77777777" w:rsidR="00A60DDE" w:rsidRDefault="00095506">
            <w:pPr>
              <w:pStyle w:val="P68B1DB1-Normal020"/>
              <w:spacing w:after="0" w:line="240" w:lineRule="auto"/>
              <w:rPr>
                <w:rFonts w:eastAsia="Times New Roman" w:cs="Times New Roman"/>
                <w:noProof/>
              </w:rPr>
            </w:pPr>
            <w:r>
              <w:rPr>
                <w:noProof/>
              </w:rPr>
              <w:t>tehnologii în domeniul utilizării deșeurilor ca materii prime secundare;</w:t>
            </w:r>
          </w:p>
          <w:p w14:paraId="1216B479" w14:textId="77777777" w:rsidR="00A60DDE" w:rsidRDefault="00095506">
            <w:pPr>
              <w:pStyle w:val="P68B1DB1-Normal020"/>
              <w:spacing w:after="0" w:line="240" w:lineRule="auto"/>
              <w:rPr>
                <w:noProof/>
              </w:rPr>
            </w:pPr>
            <w:r>
              <w:rPr>
                <w:noProof/>
              </w:rPr>
              <w:t>creșterea cantității de materiale reciclabile;</w:t>
            </w:r>
          </w:p>
          <w:p w14:paraId="1216B47A" w14:textId="77777777" w:rsidR="00A60DDE" w:rsidRDefault="00095506">
            <w:pPr>
              <w:pStyle w:val="P68B1DB1-Normal020"/>
              <w:spacing w:after="0" w:line="240" w:lineRule="auto"/>
              <w:rPr>
                <w:rFonts w:eastAsia="Times New Roman" w:cs="Times New Roman"/>
                <w:noProof/>
              </w:rPr>
            </w:pPr>
            <w:r>
              <w:rPr>
                <w:noProof/>
              </w:rPr>
              <w:t>reducerea cantității de materii prime primare utilizate în procesele de producție;</w:t>
            </w:r>
          </w:p>
          <w:p w14:paraId="1216B47B" w14:textId="77777777" w:rsidR="00A60DDE" w:rsidRDefault="00095506">
            <w:pPr>
              <w:pStyle w:val="P68B1DB1-Normal020"/>
              <w:spacing w:after="0" w:line="240" w:lineRule="auto"/>
              <w:rPr>
                <w:rFonts w:eastAsia="Times New Roman" w:cs="Times New Roman"/>
                <w:noProof/>
              </w:rPr>
            </w:pPr>
            <w:r>
              <w:rPr>
                <w:noProof/>
              </w:rPr>
              <w:t>- sprijinirea principalelor procese de proiectare în vederea reciclării;</w:t>
            </w:r>
          </w:p>
          <w:p w14:paraId="1216B47C" w14:textId="77777777" w:rsidR="00A60DDE" w:rsidRDefault="00095506">
            <w:pPr>
              <w:pStyle w:val="P68B1DB1-Normal020"/>
              <w:spacing w:after="0" w:line="240" w:lineRule="auto"/>
              <w:rPr>
                <w:rFonts w:eastAsia="Times New Roman" w:cs="Times New Roman"/>
                <w:noProof/>
              </w:rPr>
            </w:pPr>
            <w:r>
              <w:rPr>
                <w:noProof/>
              </w:rPr>
              <w:t>prelungirea duratei de viață a produselor;</w:t>
            </w:r>
          </w:p>
          <w:p w14:paraId="1216B47D" w14:textId="77777777" w:rsidR="00A60DDE" w:rsidRDefault="00095506">
            <w:pPr>
              <w:pStyle w:val="P68B1DB1-Normal020"/>
              <w:spacing w:after="0" w:line="240" w:lineRule="auto"/>
              <w:rPr>
                <w:rFonts w:eastAsia="Times New Roman" w:cs="Times New Roman"/>
                <w:noProof/>
              </w:rPr>
            </w:pPr>
            <w:r>
              <w:rPr>
                <w:noProof/>
              </w:rPr>
              <w:t>reducerea cantității de deșeuri direcționate către depozitele de deșeuri.</w:t>
            </w:r>
          </w:p>
          <w:p w14:paraId="1216B47E" w14:textId="77777777" w:rsidR="00A60DDE" w:rsidRDefault="00A60DDE">
            <w:pPr>
              <w:pStyle w:val="Normal0"/>
              <w:spacing w:after="0" w:line="240" w:lineRule="auto"/>
              <w:rPr>
                <w:rFonts w:ascii="Times New Roman" w:hAnsi="Times New Roman"/>
                <w:noProof/>
                <w:color w:val="000000" w:themeColor="text1"/>
                <w:sz w:val="18"/>
                <w:szCs w:val="18"/>
              </w:rPr>
            </w:pPr>
          </w:p>
          <w:p w14:paraId="1216B47F" w14:textId="77777777" w:rsidR="00A60DDE" w:rsidRDefault="00095506">
            <w:pPr>
              <w:pStyle w:val="Normal0"/>
              <w:spacing w:after="0" w:line="240" w:lineRule="auto"/>
              <w:rPr>
                <w:rFonts w:ascii="Times New Roman" w:hAnsi="Times New Roman"/>
                <w:noProof/>
                <w:color w:val="000000"/>
                <w:sz w:val="18"/>
                <w:szCs w:val="18"/>
              </w:rPr>
            </w:pPr>
            <w:r>
              <w:rPr>
                <w:rFonts w:ascii="Times New Roman" w:hAnsi="Times New Roman"/>
                <w:noProof/>
                <w:color w:val="000000" w:themeColor="text1"/>
                <w:sz w:val="18"/>
                <w:szCs w:val="18"/>
              </w:rPr>
              <w:t>Pentru a se asigura că măsura respectă Orientările tehnice de „a nu prejudicia în mod semnificativ” (2021/C 58/01), criteriile de eligibilitate cuprinse în termenii de referință pentru cererile de proiecte exclud următoarea listă de activități: (i) activitățile legate de combustibilii fosili, inclusiv utilizarea în aval;</w:t>
            </w:r>
            <w:r>
              <w:rPr>
                <w:rStyle w:val="FootnoteReference"/>
                <w:rFonts w:ascii="Times New Roman" w:hAnsi="Times New Roman"/>
                <w:noProof/>
                <w:color w:val="000000" w:themeColor="text1"/>
                <w:sz w:val="18"/>
                <w:szCs w:val="18"/>
              </w:rPr>
              <w:footnoteReference w:id="10"/>
            </w:r>
            <w:r>
              <w:rPr>
                <w:rFonts w:ascii="Times New Roman" w:hAnsi="Times New Roman"/>
                <w:noProof/>
                <w:color w:val="000000" w:themeColor="text1"/>
                <w:sz w:val="18"/>
                <w:szCs w:val="18"/>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color w:val="000000" w:themeColor="text1"/>
                <w:sz w:val="18"/>
                <w:szCs w:val="18"/>
              </w:rPr>
              <w:footnoteReference w:id="11"/>
            </w:r>
            <w:r>
              <w:rPr>
                <w:rFonts w:ascii="Times New Roman" w:hAnsi="Times New Roman"/>
                <w:noProof/>
                <w:color w:val="000000" w:themeColor="text1"/>
                <w:sz w:val="18"/>
                <w:szCs w:val="18"/>
              </w:rPr>
              <w:t xml:space="preserve"> (iii) activități legate de depozitele de deșeuri, incineratoare</w:t>
            </w:r>
            <w:r>
              <w:rPr>
                <w:rStyle w:val="FootnoteReference"/>
                <w:rFonts w:ascii="Times New Roman" w:hAnsi="Times New Roman"/>
                <w:noProof/>
                <w:color w:val="000000" w:themeColor="text1"/>
                <w:sz w:val="18"/>
                <w:szCs w:val="18"/>
              </w:rPr>
              <w:footnoteReference w:id="12"/>
            </w:r>
            <w:r>
              <w:rPr>
                <w:rFonts w:ascii="Times New Roman" w:hAnsi="Times New Roman"/>
                <w:noProof/>
                <w:color w:val="000000" w:themeColor="text1"/>
                <w:sz w:val="18"/>
                <w:szCs w:val="18"/>
              </w:rPr>
              <w:t xml:space="preserve"> și stații de tratare mecano-biologică;</w:t>
            </w:r>
            <w:r>
              <w:rPr>
                <w:rStyle w:val="FootnoteReference"/>
                <w:rFonts w:ascii="Times New Roman" w:hAnsi="Times New Roman"/>
                <w:noProof/>
                <w:color w:val="000000" w:themeColor="text1"/>
                <w:sz w:val="18"/>
                <w:szCs w:val="18"/>
              </w:rPr>
              <w:footnoteReference w:id="13"/>
            </w:r>
            <w:r>
              <w:rPr>
                <w:rFonts w:ascii="Times New Roman" w:hAnsi="Times New Roman"/>
                <w:noProof/>
                <w:color w:val="000000" w:themeColor="text1"/>
                <w:sz w:val="18"/>
                <w:szCs w:val="18"/>
              </w:rPr>
              <w:t xml:space="preserve"> și (iv) activități în care eliminarea pe termen lung a deșeurilor poate dăuna mediului.</w:t>
            </w:r>
          </w:p>
        </w:tc>
      </w:tr>
      <w:tr w:rsidR="00A60DDE" w14:paraId="1216B48C"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1"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A33G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A2.3 Asigurarea unui temei instituțional și juridic pentru dezvoltarea vehiculelor aeriene fără pilot (UAV)</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4"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act de modificare a Legii privind Agenția poloneză pentru servicii de navigație aeriană</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5"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privind Agenția poloneză pentru servicii de navigație aeriană,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B" w14:textId="19188B26"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Actul de modificare acordă Agenției poloneze pentru servicii de navigație aeriană (PANSA) dreptul de a deține capital propriu în societăți comerciale și autorizează PANSA sau filialele sale să desfășoare proiecte-pilot de sprijinire a punerii în aplicare a modelelor de afaceri și a serviciilor bazate pe UAV.</w:t>
            </w:r>
          </w:p>
        </w:tc>
      </w:tr>
      <w:tr w:rsidR="00A60DDE" w14:paraId="1216B498"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D"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A35G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E" w14:textId="34188AC9"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A2.3.1 Centre locale de competență pentru vehicule aeriene fără pilot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F"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0" w14:textId="5D9EE733"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Centre locale de competență pentru vehicule aeriene fără pilot</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1"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2"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3"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4"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5"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6"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7"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Certificat(e) de audit independent(e) care să confirme că au fost înființate zece centre locale de competență pentru vehicule aeriene fără pilot, care furnizează infrastructură digitală, terenuri de aterizare și infrastructură de urmărire.</w:t>
            </w:r>
          </w:p>
        </w:tc>
      </w:tr>
      <w:tr w:rsidR="00A60DDE" w14:paraId="1216B4A4"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9"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A38G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A2.4 Consolidarea mecanismelor de cooperare între știință și industrie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C"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act de modificare a Legii privind învățământul superior și știința în ceea ce privește catalogul entităților care pot crea vehicule investiționale împreună cu universitățile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privind învățământul superior și știința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3" w14:textId="46EB19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Actul de modificare permite crearea de vehicule cu destinație specială concepute special pentru comercializarea rezultatelor </w:t>
            </w:r>
            <w:r w:rsidR="005631E2">
              <w:rPr>
                <w:noProof/>
              </w:rPr>
              <w:t>C&amp;D</w:t>
            </w:r>
            <w:r>
              <w:rPr>
                <w:noProof/>
              </w:rPr>
              <w:t>. Se preconizează că acest lucru va permite o mai mare interdisciplinaritate și flexibilitate a transferului de tehnologie.</w:t>
            </w:r>
          </w:p>
        </w:tc>
      </w:tr>
      <w:tr w:rsidR="00A60DDE" w14:paraId="1216B4B0" w14:textId="77777777">
        <w:trPr>
          <w:trHeight w:val="164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5"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6" w14:textId="319E5D03"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A2.4 Consolidarea mecanismelor de cooperare între știință și industrie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8" w14:textId="77777777" w:rsidR="00A60DDE" w:rsidRDefault="00095506">
            <w:pPr>
              <w:pStyle w:val="P68B1DB1-Normal019"/>
              <w:spacing w:after="0" w:line="240" w:lineRule="auto"/>
              <w:rPr>
                <w:rFonts w:eastAsia="Times New Roman" w:cs="Times New Roman"/>
                <w:noProof/>
                <w:color w:val="000000" w:themeColor="text1"/>
                <w:szCs w:val="18"/>
              </w:rPr>
            </w:pPr>
            <w:r>
              <w:rPr>
                <w:noProof/>
              </w:rPr>
              <w:t>Stabilirea normelor de utilizare a laboratoarelor și transferul de cunoștințe al institutelor supravegheate de Ministerul Agriculturii și Dezvoltării Rurale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9" w14:textId="6C6674DE"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Document care conține normele stabilite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F" w14:textId="549828EA"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Normele privind utilizarea laboratoarelor și transferul de cunoștințe stabilesc procedurile privind utilizarea infrastructurii de cercetare în cadrul cooperării dintre știință și mediul de afaceri. Dispozițiile respectă principiile nediscriminării și transparenței.</w:t>
            </w:r>
          </w:p>
        </w:tc>
      </w:tr>
      <w:tr w:rsidR="00A60DDE" w14:paraId="1216B4BC"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1"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A40G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2" w14:textId="23631961"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A2.4.1 Investiții în capacitățile de cercetare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4" w14:textId="2BD1572F"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bookmarkStart w:id="3" w:name="_Hlk200446949"/>
            <w:r>
              <w:rPr>
                <w:noProof/>
              </w:rPr>
              <w:t>Proiecte pentru laboratoare cu infrastructură de cercetare sau analitică</w:t>
            </w:r>
            <w:bookmarkEnd w:id="3"/>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5"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8" w14:textId="77777777" w:rsidR="00A60DDE" w:rsidRDefault="00095506">
            <w:pPr>
              <w:pStyle w:val="P68B1DB1-Normal020"/>
              <w:spacing w:after="0" w:line="240" w:lineRule="auto"/>
              <w:jc w:val="center"/>
              <w:rPr>
                <w:rFonts w:eastAsia="Times New Roman" w:cs="Times New Roman"/>
                <w:noProof/>
                <w:color w:val="000000"/>
              </w:rPr>
            </w:pPr>
            <w:r>
              <w:rPr>
                <w:noProof/>
              </w:rPr>
              <w:t>54</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B" w14:textId="11EC7098"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bookmarkStart w:id="4" w:name="_Hlk208607661"/>
            <w:r>
              <w:rPr>
                <w:noProof/>
              </w:rPr>
              <w:t>Protocoale de acceptare a proiectelor sau cereri de plată finală pentru proiecte privind laboratoare cu infrastructură de cercetare sau analitică.</w:t>
            </w:r>
            <w:bookmarkEnd w:id="4"/>
          </w:p>
        </w:tc>
      </w:tr>
    </w:tbl>
    <w:p w14:paraId="1216B4BD" w14:textId="20D37DD1" w:rsidR="00A60DDE" w:rsidRDefault="00A60DDE">
      <w:pPr>
        <w:rPr>
          <w:noProof/>
        </w:rPr>
      </w:pPr>
    </w:p>
    <w:p w14:paraId="1216B4BF" w14:textId="77777777" w:rsidR="00A60DDE" w:rsidRDefault="00095506">
      <w:pPr>
        <w:pStyle w:val="P68B1DB1-Normal27"/>
        <w:rPr>
          <w:rFonts w:eastAsia="Times New Roman" w:cs="Times New Roman"/>
          <w:noProof/>
          <w:szCs w:val="24"/>
        </w:rPr>
      </w:pPr>
      <w:r>
        <w:rPr>
          <w:noProof/>
        </w:rPr>
        <w:t>A3 – EDUCAȚIE</w:t>
      </w:r>
    </w:p>
    <w:tbl>
      <w:tblPr>
        <w:tblW w:w="15208"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998"/>
        <w:gridCol w:w="1843"/>
        <w:gridCol w:w="1276"/>
        <w:gridCol w:w="2126"/>
        <w:gridCol w:w="1559"/>
        <w:gridCol w:w="992"/>
        <w:gridCol w:w="993"/>
        <w:gridCol w:w="708"/>
        <w:gridCol w:w="993"/>
        <w:gridCol w:w="850"/>
        <w:gridCol w:w="2861"/>
        <w:gridCol w:w="9"/>
      </w:tblGrid>
      <w:tr w:rsidR="00A60DDE" w14:paraId="1216B4C8" w14:textId="77777777">
        <w:trPr>
          <w:trHeight w:val="747"/>
          <w:tblHeader/>
        </w:trPr>
        <w:tc>
          <w:tcPr>
            <w:tcW w:w="9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0" w14:textId="3DF0A5CC" w:rsidR="00A60DDE" w:rsidRDefault="005631E2">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Nr. secv</w:t>
            </w:r>
          </w:p>
        </w:tc>
        <w:tc>
          <w:tcPr>
            <w:tcW w:w="184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1"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2"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3"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4" w14:textId="61516646"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calitativi</w:t>
            </w:r>
            <w:r>
              <w:rPr>
                <w:noProof/>
              </w:rPr>
              <w:br/>
            </w:r>
            <w:r>
              <w:rPr>
                <w:rFonts w:ascii="Times New Roman" w:hAnsi="Times New Roman"/>
                <w:b/>
                <w:noProof/>
                <w:color w:val="000000" w:themeColor="text1"/>
                <w:sz w:val="18"/>
              </w:rPr>
              <w:t>(pentru jaloane)</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5" w14:textId="05F1EB63"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cantitativi</w:t>
            </w:r>
            <w:r>
              <w:rPr>
                <w:noProof/>
              </w:rPr>
              <w:br/>
            </w:r>
            <w:r>
              <w:rPr>
                <w:rFonts w:ascii="Times New Roman" w:hAnsi="Times New Roman"/>
                <w:b/>
                <w:noProof/>
                <w:color w:val="000000" w:themeColor="text1"/>
                <w:sz w:val="18"/>
              </w:rPr>
              <w:t>(pentru obiective)</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6"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2870"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7"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A60DDE" w14:paraId="1216B4D4" w14:textId="77777777">
        <w:trPr>
          <w:trHeight w:val="647"/>
        </w:trPr>
        <w:tc>
          <w:tcPr>
            <w:tcW w:w="998" w:type="dxa"/>
            <w:vMerge/>
            <w:vAlign w:val="center"/>
          </w:tcPr>
          <w:p w14:paraId="1216B4C9"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3" w:type="dxa"/>
            <w:vMerge/>
            <w:vAlign w:val="center"/>
          </w:tcPr>
          <w:p w14:paraId="1216B4CA"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CB"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CC"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4CD"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bottom w:val="single" w:sz="4" w:space="0" w:color="auto"/>
            </w:tcBorders>
            <w:shd w:val="clear" w:color="auto" w:fill="BDD7EE"/>
            <w:vAlign w:val="center"/>
          </w:tcPr>
          <w:p w14:paraId="1216B4CE"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93" w:type="dxa"/>
            <w:tcBorders>
              <w:bottom w:val="single" w:sz="4" w:space="0" w:color="auto"/>
            </w:tcBorders>
            <w:shd w:val="clear" w:color="auto" w:fill="BDD7EE"/>
            <w:vAlign w:val="center"/>
          </w:tcPr>
          <w:p w14:paraId="1216B4CF"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708" w:type="dxa"/>
            <w:tcBorders>
              <w:bottom w:val="single" w:sz="4" w:space="0" w:color="auto"/>
            </w:tcBorders>
            <w:shd w:val="clear" w:color="auto" w:fill="BDD7EE"/>
            <w:vAlign w:val="center"/>
          </w:tcPr>
          <w:p w14:paraId="1216B4D0"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993" w:type="dxa"/>
            <w:tcBorders>
              <w:bottom w:val="single" w:sz="4" w:space="0" w:color="auto"/>
            </w:tcBorders>
            <w:shd w:val="clear" w:color="auto" w:fill="BDD7EE"/>
            <w:vAlign w:val="center"/>
          </w:tcPr>
          <w:p w14:paraId="1216B4D1"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850" w:type="dxa"/>
            <w:tcBorders>
              <w:bottom w:val="single" w:sz="4" w:space="0" w:color="auto"/>
            </w:tcBorders>
            <w:shd w:val="clear" w:color="auto" w:fill="BDD7EE"/>
            <w:vAlign w:val="center"/>
          </w:tcPr>
          <w:p w14:paraId="1216B4D2"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2870" w:type="dxa"/>
            <w:gridSpan w:val="2"/>
            <w:vMerge/>
            <w:vAlign w:val="center"/>
          </w:tcPr>
          <w:p w14:paraId="1216B4D3"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4EA" w14:textId="77777777">
        <w:trPr>
          <w:gridAfter w:val="1"/>
          <w:wAfter w:w="9" w:type="dxa"/>
          <w:trHeight w:val="313"/>
        </w:trPr>
        <w:tc>
          <w:tcPr>
            <w:tcW w:w="998" w:type="dxa"/>
            <w:tcBorders>
              <w:top w:val="single" w:sz="4" w:space="0" w:color="auto"/>
              <w:left w:val="single" w:sz="4" w:space="0" w:color="auto"/>
              <w:bottom w:val="single" w:sz="4" w:space="0" w:color="auto"/>
              <w:right w:val="single" w:sz="4" w:space="0" w:color="auto"/>
            </w:tcBorders>
            <w:shd w:val="clear" w:color="auto" w:fill="C6EFCE"/>
          </w:tcPr>
          <w:p w14:paraId="1216B4D5"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A41G</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216B4D6" w14:textId="6E384C4A"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A3.1 Forța de muncă pentru economia modernă: îmbunătățirea corelării competențelor și calificărilor cu cerințele pieței forței de muncă</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16B4D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auto"/>
              <w:left w:val="single" w:sz="4" w:space="0" w:color="auto"/>
              <w:bottom w:val="single" w:sz="4" w:space="0" w:color="auto"/>
              <w:right w:val="single" w:sz="4" w:space="0" w:color="auto"/>
            </w:tcBorders>
            <w:shd w:val="clear" w:color="auto" w:fill="C6EFCE"/>
          </w:tcPr>
          <w:p w14:paraId="1216B4D8" w14:textId="77777777" w:rsidR="00A60DDE" w:rsidRDefault="00095506">
            <w:pPr>
              <w:pStyle w:val="P68B1DB1-Normal020"/>
              <w:pBdr>
                <w:top w:val="nil"/>
                <w:left w:val="nil"/>
                <w:bottom w:val="nil"/>
                <w:right w:val="nil"/>
                <w:between w:val="nil"/>
              </w:pBdr>
              <w:spacing w:after="0" w:line="240" w:lineRule="auto"/>
              <w:rPr>
                <w:noProof/>
              </w:rPr>
            </w:pPr>
            <w:r>
              <w:rPr>
                <w:noProof/>
              </w:rPr>
              <w:t>Intrarea în vigoare a actelor juridice (inclusiv a actului de modificare a Legii educației) de instituire a cadrului juridic pentru rețeaua de centre sectoriale de competențe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216B4D9" w14:textId="00D399B0"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Dispoziții din actul (actele) juridic(e) care indică intrarea lor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216B4D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216B4D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861" w:type="dxa"/>
            <w:tcBorders>
              <w:top w:val="single" w:sz="4" w:space="0" w:color="auto"/>
              <w:left w:val="single" w:sz="4" w:space="0" w:color="auto"/>
              <w:bottom w:val="single" w:sz="4" w:space="0" w:color="auto"/>
              <w:right w:val="single" w:sz="4" w:space="0" w:color="auto"/>
            </w:tcBorders>
            <w:shd w:val="clear" w:color="auto" w:fill="C6EFCE"/>
          </w:tcPr>
          <w:p w14:paraId="1216B4DF" w14:textId="36A8364F"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Intrarea în vigoare a actelor juridice (inclusiv a actului de modificare a Legii educației) care stabilesc cadrul juridic pentru rețeaua de centre sectoriale de competențe, asigurând perfecționarea și recalificarea specifice relevante pentru nevoile pieței forței de muncă. Modificarea Legii educației se face în consultare cu părțile interesate, inclusiv cu reprezentanții sectorului, cu partenerii sociali și cu autoritățile regionale.</w:t>
            </w:r>
          </w:p>
          <w:p w14:paraId="1216B4E0" w14:textId="77777777" w:rsidR="00A60DDE" w:rsidRDefault="00A60DDE">
            <w:pPr>
              <w:pStyle w:val="Normal0"/>
              <w:pBdr>
                <w:top w:val="nil"/>
                <w:left w:val="nil"/>
                <w:bottom w:val="nil"/>
                <w:right w:val="nil"/>
                <w:between w:val="nil"/>
              </w:pBdr>
              <w:spacing w:after="0" w:line="240" w:lineRule="auto"/>
              <w:rPr>
                <w:noProof/>
              </w:rPr>
            </w:pPr>
          </w:p>
          <w:p w14:paraId="1216B4E1" w14:textId="77777777" w:rsidR="00A60DDE" w:rsidRDefault="00095506">
            <w:pPr>
              <w:pStyle w:val="P68B1DB1-Normal020"/>
              <w:pBdr>
                <w:top w:val="nil"/>
                <w:left w:val="nil"/>
                <w:bottom w:val="nil"/>
                <w:right w:val="nil"/>
                <w:between w:val="nil"/>
              </w:pBdr>
              <w:spacing w:after="0" w:line="240" w:lineRule="auto"/>
              <w:rPr>
                <w:noProof/>
              </w:rPr>
            </w:pPr>
            <w:r>
              <w:rPr>
                <w:noProof/>
              </w:rPr>
              <w:t>Actele juridice:</w:t>
            </w:r>
          </w:p>
          <w:p w14:paraId="1216B4E2" w14:textId="77777777" w:rsidR="00A60DDE" w:rsidRDefault="00095506">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să prevadă un plan de dezvoltare pentru rețeaua centrelor de competențe;</w:t>
            </w:r>
          </w:p>
          <w:p w14:paraId="1216B4E3" w14:textId="77777777" w:rsidR="00A60DDE" w:rsidRDefault="00095506">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Determinarea rolului centrelor de competențe în sistemul de educație și formare;</w:t>
            </w:r>
          </w:p>
          <w:p w14:paraId="1216B4E4" w14:textId="77777777" w:rsidR="00A60DDE" w:rsidRDefault="00095506">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Determinarea condițiilor de angajare a personalului în centrele de competențe;</w:t>
            </w:r>
          </w:p>
          <w:p w14:paraId="1216B4E5" w14:textId="77777777" w:rsidR="00A60DDE" w:rsidRDefault="00095506">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să stabilească dispoziții privind revizuirile periodice pentru a asigura supravegherea centrelor sectoriale de competențe;</w:t>
            </w:r>
          </w:p>
          <w:p w14:paraId="1216B4E6" w14:textId="77777777" w:rsidR="00A60DDE" w:rsidRDefault="00095506">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Adaptarea unui sistem de guvernanță existent cu dispoziții adaptate privind guvernanța centrelor de competențe, inclusiv a angajatorilor (inclusiv a reprezentanților IMM-urilor), a partenerilor sociali și a altor părți interesate relevante, inclusiv a autorităților regionale și locale;</w:t>
            </w:r>
          </w:p>
          <w:p w14:paraId="1216B4E7" w14:textId="77777777" w:rsidR="00A60DDE" w:rsidRDefault="00095506">
            <w:pPr>
              <w:pStyle w:val="P68B1DB1-Normal019"/>
              <w:numPr>
                <w:ilvl w:val="0"/>
                <w:numId w:val="4"/>
              </w:numPr>
              <w:pBdr>
                <w:top w:val="nil"/>
                <w:left w:val="nil"/>
                <w:bottom w:val="nil"/>
                <w:right w:val="nil"/>
                <w:between w:val="nil"/>
              </w:pBdr>
              <w:spacing w:after="0" w:line="240" w:lineRule="auto"/>
              <w:ind w:left="314"/>
              <w:rPr>
                <w:rFonts w:eastAsia="Times New Roman" w:cs="Times New Roman"/>
                <w:noProof/>
                <w:color w:val="000000" w:themeColor="text1"/>
                <w:szCs w:val="18"/>
              </w:rPr>
            </w:pPr>
            <w:r>
              <w:rPr>
                <w:noProof/>
                <w:szCs w:val="18"/>
              </w:rPr>
              <w:t>stabilirea modalităților de finanțare, a condițiilor de formare, a dispozițiilor privind orientarea profesională și a programelor de învățământ; și</w:t>
            </w:r>
          </w:p>
          <w:p w14:paraId="1216B4E8" w14:textId="77777777" w:rsidR="00A60DDE" w:rsidRDefault="00095506">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Identificarea tipurilor de formare furnizate, a grupurilor-țintă, a tipurilor de calificări și standarde, a mecanismelor de asigurare a calității și de verificare, asigurarea legăturii sectoarelor cu centrele de competențe.</w:t>
            </w:r>
          </w:p>
          <w:p w14:paraId="1216B4E9" w14:textId="77777777" w:rsidR="00A60DDE" w:rsidRDefault="00095506">
            <w:pPr>
              <w:pStyle w:val="P68B1DB1-Text128"/>
              <w:pBdr>
                <w:top w:val="nil"/>
                <w:left w:val="nil"/>
                <w:bottom w:val="nil"/>
                <w:right w:val="nil"/>
                <w:between w:val="nil"/>
              </w:pBdr>
              <w:spacing w:after="0"/>
              <w:ind w:left="0"/>
              <w:rPr>
                <w:noProof/>
                <w:color w:val="000000"/>
              </w:rPr>
            </w:pPr>
            <w:r>
              <w:rPr>
                <w:noProof/>
              </w:rPr>
              <w:t>Incluziunea persoanelor cu handicap este, de asemenea, abordată.</w:t>
            </w:r>
          </w:p>
        </w:tc>
      </w:tr>
      <w:tr w:rsidR="00A60DDE" w14:paraId="1216B4F7" w14:textId="77777777">
        <w:trPr>
          <w:gridAfter w:val="1"/>
          <w:wAfter w:w="9" w:type="dxa"/>
          <w:trHeight w:val="313"/>
        </w:trPr>
        <w:tc>
          <w:tcPr>
            <w:tcW w:w="998" w:type="dxa"/>
            <w:tcBorders>
              <w:top w:val="single" w:sz="4" w:space="0" w:color="auto"/>
            </w:tcBorders>
            <w:shd w:val="clear" w:color="auto" w:fill="C6EFCE"/>
          </w:tcPr>
          <w:p w14:paraId="1216B4EB"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A42G</w:t>
            </w:r>
          </w:p>
        </w:tc>
        <w:tc>
          <w:tcPr>
            <w:tcW w:w="1843" w:type="dxa"/>
            <w:tcBorders>
              <w:top w:val="single" w:sz="4" w:space="0" w:color="auto"/>
            </w:tcBorders>
            <w:shd w:val="clear" w:color="auto" w:fill="C6EFCE"/>
          </w:tcPr>
          <w:p w14:paraId="1216B4EC"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A3.1 Forța de muncă pentru economia modernă: îmbunătățirea corelării competențelor și calificărilor cu cerințele pieței forței de muncă </w:t>
            </w:r>
          </w:p>
        </w:tc>
        <w:tc>
          <w:tcPr>
            <w:tcW w:w="1276" w:type="dxa"/>
            <w:tcBorders>
              <w:top w:val="single" w:sz="4" w:space="0" w:color="auto"/>
            </w:tcBorders>
            <w:shd w:val="clear" w:color="auto" w:fill="C6EFCE"/>
          </w:tcPr>
          <w:p w14:paraId="1216B4ED"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Etapa de referință</w:t>
            </w:r>
          </w:p>
        </w:tc>
        <w:tc>
          <w:tcPr>
            <w:tcW w:w="2126" w:type="dxa"/>
            <w:tcBorders>
              <w:top w:val="single" w:sz="4" w:space="0" w:color="auto"/>
            </w:tcBorders>
            <w:shd w:val="clear" w:color="auto" w:fill="C6EFCE"/>
          </w:tcPr>
          <w:p w14:paraId="1216B4EE"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actelor juridice (inclusiv actul de modificare a Legii privind cadrele didactice) care permit punerea în aplicare a formării profesionale a cadrelor didactice în centrele sectoriale de competențe</w:t>
            </w:r>
          </w:p>
        </w:tc>
        <w:tc>
          <w:tcPr>
            <w:tcW w:w="1559" w:type="dxa"/>
            <w:tcBorders>
              <w:top w:val="single" w:sz="4" w:space="0" w:color="auto"/>
            </w:tcBorders>
            <w:shd w:val="clear" w:color="auto" w:fill="C6EFCE"/>
          </w:tcPr>
          <w:p w14:paraId="1216B4EF" w14:textId="7A3A3353"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Dispoziții care să permită punerea în aplicare a formării profesionale a cadrelor didactice în centrele sectoriale de competențe</w:t>
            </w:r>
          </w:p>
        </w:tc>
        <w:tc>
          <w:tcPr>
            <w:tcW w:w="992" w:type="dxa"/>
            <w:tcBorders>
              <w:top w:val="single" w:sz="4" w:space="0" w:color="auto"/>
            </w:tcBorders>
            <w:shd w:val="clear" w:color="auto" w:fill="C6EFCE"/>
          </w:tcPr>
          <w:p w14:paraId="1216B4F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tcBorders>
            <w:shd w:val="clear" w:color="auto" w:fill="C6EFCE"/>
          </w:tcPr>
          <w:p w14:paraId="1216B4F1"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08" w:type="dxa"/>
            <w:tcBorders>
              <w:top w:val="single" w:sz="4" w:space="0" w:color="auto"/>
            </w:tcBorders>
            <w:shd w:val="clear" w:color="auto" w:fill="C6EFCE"/>
          </w:tcPr>
          <w:p w14:paraId="1216B4F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tcBorders>
            <w:shd w:val="clear" w:color="auto" w:fill="C6EFCE"/>
          </w:tcPr>
          <w:p w14:paraId="1216B4F3"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850" w:type="dxa"/>
            <w:tcBorders>
              <w:top w:val="single" w:sz="4" w:space="0" w:color="auto"/>
            </w:tcBorders>
            <w:shd w:val="clear" w:color="auto" w:fill="C6EFCE"/>
          </w:tcPr>
          <w:p w14:paraId="1216B4F4"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2023</w:t>
            </w:r>
          </w:p>
        </w:tc>
        <w:tc>
          <w:tcPr>
            <w:tcW w:w="2861" w:type="dxa"/>
            <w:tcBorders>
              <w:top w:val="single" w:sz="4" w:space="0" w:color="auto"/>
            </w:tcBorders>
            <w:shd w:val="clear" w:color="auto" w:fill="C6EFCE"/>
          </w:tcPr>
          <w:p w14:paraId="1216B4F5" w14:textId="77777777" w:rsidR="00A60DDE" w:rsidRDefault="00095506">
            <w:pPr>
              <w:pStyle w:val="P68B1DB1-Normal020"/>
              <w:pBdr>
                <w:top w:val="nil"/>
                <w:left w:val="nil"/>
                <w:bottom w:val="nil"/>
                <w:right w:val="nil"/>
                <w:between w:val="nil"/>
              </w:pBdr>
              <w:spacing w:after="0" w:line="240" w:lineRule="auto"/>
              <w:rPr>
                <w:noProof/>
              </w:rPr>
            </w:pPr>
            <w:r>
              <w:rPr>
                <w:noProof/>
              </w:rPr>
              <w:t>Intrarea în vigoare a actelor juridice (inclusiv a actului de modificare a Legii privind cadrele didactice) permite centrelor sectoriale de competențe să asigure formarea profesională a cadrelor didactice, inclusiv formarea cadrelor didactice pentru utilizarea noilor tehnologii.</w:t>
            </w:r>
          </w:p>
          <w:p w14:paraId="08E7DE81"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4F6" w14:textId="5B047906"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Actele juridice stabilesc cadrul pentru formarea cadrelor didactice în centrele de competențe.</w:t>
            </w:r>
          </w:p>
        </w:tc>
      </w:tr>
      <w:tr w:rsidR="00A60DDE" w14:paraId="1216B503" w14:textId="77777777">
        <w:trPr>
          <w:gridAfter w:val="1"/>
          <w:wAfter w:w="9" w:type="dxa"/>
          <w:trHeight w:val="313"/>
        </w:trPr>
        <w:tc>
          <w:tcPr>
            <w:tcW w:w="998" w:type="dxa"/>
            <w:shd w:val="clear" w:color="auto" w:fill="C6EFCE"/>
          </w:tcPr>
          <w:p w14:paraId="1216B4F8" w14:textId="77777777" w:rsidR="00A60DDE" w:rsidRDefault="00095506">
            <w:pPr>
              <w:pStyle w:val="P68B1DB1-Normal023"/>
              <w:pBdr>
                <w:top w:val="nil"/>
                <w:left w:val="nil"/>
                <w:bottom w:val="nil"/>
                <w:right w:val="nil"/>
                <w:between w:val="nil"/>
              </w:pBdr>
              <w:spacing w:after="0" w:line="240" w:lineRule="auto"/>
              <w:jc w:val="center"/>
              <w:rPr>
                <w:rFonts w:cs="Times New Roman"/>
                <w:noProof/>
                <w:szCs w:val="18"/>
              </w:rPr>
            </w:pPr>
            <w:r>
              <w:rPr>
                <w:noProof/>
              </w:rPr>
              <w:t>A43G</w:t>
            </w:r>
          </w:p>
        </w:tc>
        <w:tc>
          <w:tcPr>
            <w:tcW w:w="1843" w:type="dxa"/>
            <w:shd w:val="clear" w:color="auto" w:fill="C6EFCE"/>
          </w:tcPr>
          <w:p w14:paraId="1216B4F9" w14:textId="587ACB0F"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A3.1 Forța de muncă pentru economia modernă: îmbunătățirea corelării competențelor și calificărilor cu cerințele pieței forței de muncă</w:t>
            </w:r>
          </w:p>
        </w:tc>
        <w:tc>
          <w:tcPr>
            <w:tcW w:w="1276" w:type="dxa"/>
            <w:shd w:val="clear" w:color="auto" w:fill="C6EFCE"/>
          </w:tcPr>
          <w:p w14:paraId="1216B4F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shd w:val="clear" w:color="auto" w:fill="C6EFCE"/>
          </w:tcPr>
          <w:p w14:paraId="1216B4FB" w14:textId="226003B4"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Intrarea în vigoare a actului (actelor) juridic(e) de definire a responsabilităților regiunilor în ceea ce privește politicile în materie de competențe</w:t>
            </w:r>
          </w:p>
        </w:tc>
        <w:tc>
          <w:tcPr>
            <w:tcW w:w="1559" w:type="dxa"/>
            <w:shd w:val="clear" w:color="auto" w:fill="C6EFCE"/>
          </w:tcPr>
          <w:p w14:paraId="1216B4FC"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Dispoziții din actul (actele) juridic(e) care indică datele intrării în vigoare</w:t>
            </w:r>
          </w:p>
        </w:tc>
        <w:tc>
          <w:tcPr>
            <w:tcW w:w="992" w:type="dxa"/>
            <w:shd w:val="clear" w:color="auto" w:fill="C6EFCE"/>
          </w:tcPr>
          <w:p w14:paraId="1216B4F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shd w:val="clear" w:color="auto" w:fill="C6EFCE"/>
          </w:tcPr>
          <w:p w14:paraId="1216B4F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08" w:type="dxa"/>
            <w:shd w:val="clear" w:color="auto" w:fill="C6EFCE"/>
          </w:tcPr>
          <w:p w14:paraId="1216B4F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shd w:val="clear" w:color="auto" w:fill="C6EFCE"/>
          </w:tcPr>
          <w:p w14:paraId="1216B50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Q1</w:t>
            </w:r>
          </w:p>
        </w:tc>
        <w:tc>
          <w:tcPr>
            <w:tcW w:w="850" w:type="dxa"/>
            <w:shd w:val="clear" w:color="auto" w:fill="C6EFCE"/>
          </w:tcPr>
          <w:p w14:paraId="1216B50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861" w:type="dxa"/>
            <w:shd w:val="clear" w:color="auto" w:fill="C6EFCE"/>
          </w:tcPr>
          <w:p w14:paraId="1216B502" w14:textId="77777777" w:rsidR="00A60DDE" w:rsidRDefault="00095506">
            <w:pPr>
              <w:pStyle w:val="P68B1DB1-Normal020"/>
              <w:pBdr>
                <w:top w:val="nil"/>
                <w:left w:val="nil"/>
                <w:bottom w:val="nil"/>
                <w:right w:val="nil"/>
                <w:between w:val="nil"/>
              </w:pBdr>
              <w:spacing w:after="0" w:line="240" w:lineRule="auto"/>
              <w:rPr>
                <w:noProof/>
              </w:rPr>
            </w:pPr>
            <w:r>
              <w:rPr>
                <w:noProof/>
              </w:rPr>
              <w:t>Actul (actele) juridic(e) definește (definesc) responsabilitățile regiunilor în ceea ce privește politicile în materie de competențe și mandatul echipelor de coordonare regionale, inclusiv obligația de a monitoriza politica regională în materie de competențe.</w:t>
            </w:r>
          </w:p>
        </w:tc>
      </w:tr>
      <w:tr w:rsidR="00A60DDE" w14:paraId="1216B514" w14:textId="77777777">
        <w:trPr>
          <w:gridAfter w:val="1"/>
          <w:wAfter w:w="9" w:type="dxa"/>
          <w:trHeight w:val="4060"/>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4" w14:textId="77777777" w:rsidR="00A60DDE" w:rsidRDefault="00095506">
            <w:pPr>
              <w:pStyle w:val="P68B1DB1-Normal023"/>
              <w:pBdr>
                <w:top w:val="nil"/>
                <w:left w:val="nil"/>
                <w:bottom w:val="nil"/>
                <w:right w:val="nil"/>
                <w:between w:val="nil"/>
              </w:pBdr>
              <w:spacing w:after="0" w:line="240" w:lineRule="auto"/>
              <w:jc w:val="center"/>
              <w:rPr>
                <w:rFonts w:cs="Times New Roman"/>
                <w:noProof/>
                <w:szCs w:val="18"/>
              </w:rPr>
            </w:pPr>
            <w:r>
              <w:rPr>
                <w:noProof/>
              </w:rPr>
              <w:t>A44G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5"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7" w14:textId="25CFE90C"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T1 – Instituirea unei rețele de centre sectoriale de competențe care să asigure perfecționarea și recalificarea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8"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Număr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Q1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2024</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E"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Înființarea a 10 centre sectoriale de competențe pentru a oferi formare EFP sectorială, inclusiv pentru cursanți, studenți, profesori din domeniul educației și formării profesionale (EFP) și alți adulți. Printre acestea se numără:</w:t>
            </w:r>
            <w:r>
              <w:rPr>
                <w:noProof/>
              </w:rPr>
              <w:br/>
            </w:r>
            <w:r>
              <w:rPr>
                <w:rFonts w:ascii="Times New Roman" w:hAnsi="Times New Roman"/>
                <w:noProof/>
                <w:color w:val="000000" w:themeColor="text1"/>
                <w:sz w:val="18"/>
                <w:szCs w:val="18"/>
              </w:rPr>
              <w:t>• construirea, reconstrucția, extinderea sau renovarea centrelor de competențe;</w:t>
            </w:r>
            <w:r>
              <w:rPr>
                <w:noProof/>
              </w:rPr>
              <w:t xml:space="preserve"> </w:t>
            </w:r>
            <w:r>
              <w:rPr>
                <w:noProof/>
              </w:rPr>
              <w:br/>
            </w:r>
            <w:r>
              <w:rPr>
                <w:rFonts w:ascii="Times New Roman" w:hAnsi="Times New Roman"/>
                <w:noProof/>
                <w:color w:val="000000" w:themeColor="text1"/>
                <w:sz w:val="18"/>
                <w:szCs w:val="18"/>
              </w:rPr>
              <w:t>• achiziționarea de echipamente;</w:t>
            </w:r>
            <w:r>
              <w:rPr>
                <w:noProof/>
              </w:rPr>
              <w:br/>
            </w:r>
            <w:r>
              <w:rPr>
                <w:rFonts w:ascii="Times New Roman" w:hAnsi="Times New Roman"/>
                <w:noProof/>
                <w:color w:val="000000" w:themeColor="text1"/>
                <w:sz w:val="18"/>
                <w:szCs w:val="18"/>
              </w:rPr>
              <w:t>• structura instituțională a centrelor, inclusiv implicarea organizațiilor sectoriale;</w:t>
            </w:r>
          </w:p>
          <w:p w14:paraId="1216B50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w:t>
            </w:r>
            <w:r>
              <w:rPr>
                <w:noProof/>
                <w:szCs w:val="18"/>
              </w:rPr>
              <w:t>angajarea de personal;</w:t>
            </w:r>
          </w:p>
          <w:p w14:paraId="1216B510" w14:textId="79CCE0E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 un set de programe de învățământ care urmează să fie furnizate în cadrul centrului, cu cursuri alese care să conțină dimensiuni verzi și digitale pentru fiecare centru.</w:t>
            </w:r>
          </w:p>
          <w:p w14:paraId="1216B511" w14:textId="77777777" w:rsidR="00A60DDE" w:rsidRDefault="00A60DDE">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themeColor="text1"/>
                <w:sz w:val="18"/>
                <w:szCs w:val="18"/>
              </w:rPr>
            </w:pPr>
          </w:p>
          <w:p w14:paraId="1216B512" w14:textId="77777777" w:rsidR="00A60DDE" w:rsidRDefault="00095506">
            <w:pPr>
              <w:pStyle w:val="P68B1DB1-Normal020"/>
              <w:pBdr>
                <w:top w:val="nil"/>
                <w:left w:val="nil"/>
                <w:bottom w:val="nil"/>
                <w:right w:val="nil"/>
                <w:between w:val="nil"/>
              </w:pBdr>
              <w:spacing w:after="0" w:line="240" w:lineRule="auto"/>
              <w:rPr>
                <w:noProof/>
              </w:rPr>
            </w:pPr>
            <w:r>
              <w:rPr>
                <w:noProof/>
              </w:rPr>
              <w:t>Construcția de clădiri noi trebuie să respecte standardul privind clădirile al căror consum de energie este aproape egal cu zero, astfel cum se prevede în Directiva privind performanța energetică a clădirilor.</w:t>
            </w:r>
          </w:p>
          <w:p w14:paraId="1216B513" w14:textId="77777777" w:rsidR="00A60DDE" w:rsidRDefault="00095506">
            <w:pPr>
              <w:pStyle w:val="P68B1DB1-Normal020"/>
              <w:pBdr>
                <w:top w:val="nil"/>
                <w:left w:val="nil"/>
                <w:bottom w:val="nil"/>
                <w:right w:val="nil"/>
                <w:between w:val="nil"/>
              </w:pBdr>
              <w:spacing w:after="0" w:line="240" w:lineRule="auto"/>
              <w:jc w:val="both"/>
              <w:rPr>
                <w:noProof/>
              </w:rPr>
            </w:pPr>
            <w:r>
              <w:rPr>
                <w:noProof/>
              </w:rPr>
              <w:t>Studiile de fezabilitate trebuie efectuate înainte de finalizarea investiției.</w:t>
            </w:r>
          </w:p>
        </w:tc>
      </w:tr>
      <w:tr w:rsidR="00A60DDE" w14:paraId="1216B528" w14:textId="77777777">
        <w:trPr>
          <w:gridAfter w:val="1"/>
          <w:wAfter w:w="9" w:type="dxa"/>
          <w:trHeight w:val="300"/>
        </w:trPr>
        <w:tc>
          <w:tcPr>
            <w:tcW w:w="998" w:type="dxa"/>
            <w:shd w:val="clear" w:color="auto" w:fill="C6EFCE"/>
          </w:tcPr>
          <w:p w14:paraId="1216B515"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A45G</w:t>
            </w:r>
          </w:p>
        </w:tc>
        <w:tc>
          <w:tcPr>
            <w:tcW w:w="1843" w:type="dxa"/>
            <w:shd w:val="clear" w:color="auto" w:fill="C6EFCE"/>
          </w:tcPr>
          <w:p w14:paraId="1216B51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shd w:val="clear" w:color="auto" w:fill="C6EFCE"/>
          </w:tcPr>
          <w:p w14:paraId="1216B51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shd w:val="clear" w:color="auto" w:fill="C6EFCE"/>
          </w:tcPr>
          <w:p w14:paraId="1216B518"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 xml:space="preserve">T2 - Centre sectoriale de competențe </w:t>
            </w:r>
          </w:p>
        </w:tc>
        <w:tc>
          <w:tcPr>
            <w:tcW w:w="1559" w:type="dxa"/>
            <w:shd w:val="clear" w:color="auto" w:fill="C6EFCE"/>
          </w:tcPr>
          <w:p w14:paraId="1216B51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1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3" w:type="dxa"/>
            <w:shd w:val="clear" w:color="auto" w:fill="C6EFCE"/>
          </w:tcPr>
          <w:p w14:paraId="1216B51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w:t>
            </w:r>
          </w:p>
        </w:tc>
        <w:tc>
          <w:tcPr>
            <w:tcW w:w="708" w:type="dxa"/>
            <w:shd w:val="clear" w:color="auto" w:fill="C6EFCE"/>
          </w:tcPr>
          <w:p w14:paraId="1216B51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120</w:t>
            </w:r>
          </w:p>
        </w:tc>
        <w:tc>
          <w:tcPr>
            <w:tcW w:w="993" w:type="dxa"/>
            <w:shd w:val="clear" w:color="auto" w:fill="C6EFCE"/>
          </w:tcPr>
          <w:p w14:paraId="1216B51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shd w:val="clear" w:color="auto" w:fill="C6EFCE"/>
          </w:tcPr>
          <w:p w14:paraId="1216B51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861" w:type="dxa"/>
            <w:shd w:val="clear" w:color="auto" w:fill="C6EFCE"/>
          </w:tcPr>
          <w:p w14:paraId="1216B51F"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120 de centre sectoriale de competențe construite sau reconstruite, extinse sau renovate. </w:t>
            </w:r>
          </w:p>
          <w:p w14:paraId="1216B520"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1" w14:textId="439046DA" w:rsidR="00A60DDE" w:rsidRDefault="00095506">
            <w:pPr>
              <w:pStyle w:val="P68B1DB1-Normal020"/>
              <w:pBdr>
                <w:top w:val="nil"/>
                <w:left w:val="nil"/>
                <w:bottom w:val="nil"/>
                <w:right w:val="nil"/>
                <w:between w:val="nil"/>
              </w:pBdr>
              <w:spacing w:after="0" w:line="240" w:lineRule="auto"/>
              <w:rPr>
                <w:noProof/>
              </w:rPr>
            </w:pPr>
            <w:r>
              <w:rPr>
                <w:noProof/>
              </w:rPr>
              <w:t>Fiecare centru achiziționează echipamente, după cum reiese dintr-o listă de facturi pentru echipamentele achiziționate.</w:t>
            </w:r>
          </w:p>
          <w:p w14:paraId="1216B522"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3" w14:textId="77777777" w:rsidR="00A60DDE" w:rsidRDefault="00095506">
            <w:pPr>
              <w:pStyle w:val="P68B1DB1-Normal029"/>
              <w:pBdr>
                <w:top w:val="nil"/>
                <w:left w:val="nil"/>
                <w:bottom w:val="nil"/>
                <w:right w:val="nil"/>
                <w:between w:val="nil"/>
              </w:pBdr>
              <w:spacing w:after="0" w:line="240" w:lineRule="auto"/>
              <w:rPr>
                <w:noProof/>
              </w:rPr>
            </w:pPr>
            <w:r>
              <w:rPr>
                <w:noProof/>
              </w:rPr>
              <w:t>Pentru centrele de competențe sectoriale din domeniul ocupațional al industriei petrochimice, se furnizează programe de învățământ pentru a evalua respectarea principiului de „a nu aduce prejudicii semnificative”.</w:t>
            </w:r>
          </w:p>
          <w:p w14:paraId="1216B524" w14:textId="77777777" w:rsidR="00A60DDE" w:rsidRDefault="00A60DDE">
            <w:pPr>
              <w:pStyle w:val="Normal0"/>
              <w:pBdr>
                <w:top w:val="nil"/>
                <w:left w:val="nil"/>
                <w:bottom w:val="nil"/>
                <w:right w:val="nil"/>
                <w:between w:val="nil"/>
              </w:pBdr>
              <w:spacing w:after="0" w:line="240" w:lineRule="auto"/>
              <w:rPr>
                <w:rFonts w:ascii="Times New Roman" w:hAnsi="Times New Roman"/>
                <w:noProof/>
                <w:sz w:val="18"/>
                <w:szCs w:val="18"/>
              </w:rPr>
            </w:pPr>
          </w:p>
          <w:p w14:paraId="1216B525" w14:textId="77777777" w:rsidR="00A60DDE" w:rsidRDefault="00095506">
            <w:pPr>
              <w:pStyle w:val="P68B1DB1-Normal018"/>
              <w:pBdr>
                <w:top w:val="nil"/>
                <w:left w:val="nil"/>
                <w:bottom w:val="nil"/>
                <w:right w:val="nil"/>
                <w:between w:val="nil"/>
              </w:pBdr>
              <w:spacing w:after="0" w:line="240" w:lineRule="auto"/>
              <w:rPr>
                <w:noProof/>
              </w:rPr>
            </w:pPr>
            <w:r>
              <w:rPr>
                <w:noProof/>
              </w:rPr>
              <w:t>Centrele de competențe sectoriale nu se înființează în domeniile profesionale ale:</w:t>
            </w:r>
          </w:p>
          <w:p w14:paraId="1216B526" w14:textId="77777777" w:rsidR="00A60DDE" w:rsidRDefault="00095506">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mineritul subteran și prelucrarea cărbunelui superior;</w:t>
            </w:r>
          </w:p>
          <w:p w14:paraId="1216B527" w14:textId="77777777" w:rsidR="00A60DDE" w:rsidRDefault="00095506">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geologie, foraj, minerit și rețele de gaze.</w:t>
            </w:r>
          </w:p>
        </w:tc>
      </w:tr>
      <w:tr w:rsidR="00A60DDE" w14:paraId="1216B534" w14:textId="77777777">
        <w:trPr>
          <w:gridAfter w:val="1"/>
          <w:wAfter w:w="9" w:type="dxa"/>
          <w:trHeight w:val="1871"/>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9" w14:textId="77777777" w:rsidR="00A60DDE" w:rsidRDefault="00095506">
            <w:pPr>
              <w:pStyle w:val="P68B1DB1-Normal023"/>
              <w:pBdr>
                <w:top w:val="nil"/>
                <w:left w:val="nil"/>
                <w:bottom w:val="nil"/>
                <w:right w:val="nil"/>
                <w:between w:val="nil"/>
              </w:pBdr>
              <w:spacing w:after="0" w:line="240" w:lineRule="auto"/>
              <w:jc w:val="center"/>
              <w:rPr>
                <w:rFonts w:cs="Times New Roman"/>
                <w:noProof/>
                <w:szCs w:val="18"/>
              </w:rPr>
            </w:pPr>
            <w:r>
              <w:rPr>
                <w:noProof/>
              </w:rPr>
              <w:t>A49G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C" w14:textId="342C286F"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Înființarea unor echipe de coordonare regională funcționale care să coordoneze politica în domeniul educației și formării profesionale și al învățării pe tot parcursul vieții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3" w14:textId="10FAFFED"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Se înființează cel puțin 14 echipe de coordonare regională, cu un obiectiv general de 16 echipe de coordonare regională (câte una pentru fiecare „voievodat”). Echipele de coordonare regională, formate din principalele părți interesate, coordonează politicile din domeniul educației și formării profesionale și al învățării pe tot parcursul vieții și cooperează cu învățământul superior, după caz și dacă se convine cu instituțiile de învățământ superior în cauză.</w:t>
            </w:r>
          </w:p>
        </w:tc>
      </w:tr>
      <w:tr w:rsidR="00A60DDE" w14:paraId="1216B540" w14:textId="77777777">
        <w:trPr>
          <w:gridAfter w:val="1"/>
          <w:wAfter w:w="9" w:type="dxa"/>
          <w:trHeight w:val="313"/>
        </w:trPr>
        <w:tc>
          <w:tcPr>
            <w:tcW w:w="998" w:type="dxa"/>
            <w:shd w:val="clear" w:color="auto" w:fill="C6EFCE"/>
          </w:tcPr>
          <w:p w14:paraId="1216B535" w14:textId="77777777" w:rsidR="00A60DDE" w:rsidRDefault="00095506">
            <w:pPr>
              <w:pStyle w:val="P68B1DB1-Normal023"/>
              <w:pBdr>
                <w:top w:val="nil"/>
                <w:left w:val="nil"/>
                <w:bottom w:val="nil"/>
                <w:right w:val="nil"/>
                <w:between w:val="nil"/>
              </w:pBdr>
              <w:spacing w:after="0" w:line="240" w:lineRule="auto"/>
              <w:jc w:val="center"/>
              <w:rPr>
                <w:rFonts w:cs="Times New Roman"/>
                <w:noProof/>
                <w:szCs w:val="18"/>
              </w:rPr>
            </w:pPr>
            <w:r>
              <w:rPr>
                <w:noProof/>
              </w:rPr>
              <w:t>A50G</w:t>
            </w:r>
          </w:p>
        </w:tc>
        <w:tc>
          <w:tcPr>
            <w:tcW w:w="1843" w:type="dxa"/>
            <w:shd w:val="clear" w:color="auto" w:fill="C6EFCE"/>
          </w:tcPr>
          <w:p w14:paraId="1216B53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shd w:val="clear" w:color="auto" w:fill="C6EFCE"/>
          </w:tcPr>
          <w:p w14:paraId="1216B53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shd w:val="clear" w:color="auto" w:fill="C6EFCE"/>
          </w:tcPr>
          <w:p w14:paraId="1216B538"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Elaborarea de programe operaționalizate de punere în aplicare a Strategiei integrate privind competențele la nivel regional de către echipele regionale de coordonare instituite pentru educația și formarea profesională și învățarea pe tot parcursul vieții</w:t>
            </w:r>
          </w:p>
        </w:tc>
        <w:tc>
          <w:tcPr>
            <w:tcW w:w="1559" w:type="dxa"/>
            <w:shd w:val="clear" w:color="auto" w:fill="C6EFCE"/>
          </w:tcPr>
          <w:p w14:paraId="1216B53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3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3" w:type="dxa"/>
            <w:shd w:val="clear" w:color="auto" w:fill="C6EFCE"/>
          </w:tcPr>
          <w:p w14:paraId="1216B53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708" w:type="dxa"/>
            <w:shd w:val="clear" w:color="auto" w:fill="C6EFCE"/>
          </w:tcPr>
          <w:p w14:paraId="1216B53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993" w:type="dxa"/>
            <w:shd w:val="clear" w:color="auto" w:fill="C6EFCE"/>
          </w:tcPr>
          <w:p w14:paraId="1216B53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shd w:val="clear" w:color="auto" w:fill="C6EFCE"/>
          </w:tcPr>
          <w:p w14:paraId="1216B53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861" w:type="dxa"/>
            <w:shd w:val="clear" w:color="auto" w:fill="C6EFCE"/>
          </w:tcPr>
          <w:p w14:paraId="6C824D1D" w14:textId="0838DBB3" w:rsidR="00A60DDE" w:rsidRDefault="00095506">
            <w:pPr>
              <w:pStyle w:val="Normal0"/>
              <w:pBdr>
                <w:top w:val="nil"/>
                <w:left w:val="nil"/>
                <w:bottom w:val="nil"/>
                <w:right w:val="nil"/>
                <w:between w:val="nil"/>
              </w:pBdr>
              <w:spacing w:after="0" w:line="240" w:lineRule="auto"/>
              <w:rPr>
                <w:noProof/>
              </w:rPr>
            </w:pPr>
            <w:r>
              <w:rPr>
                <w:rFonts w:ascii="Times New Roman" w:hAnsi="Times New Roman"/>
                <w:noProof/>
                <w:color w:val="000000" w:themeColor="text1"/>
                <w:sz w:val="18"/>
                <w:szCs w:val="18"/>
              </w:rPr>
              <w:t>Se elaborează cel puțin 14 programe regionale operaționalizate de punere în aplicare, cu un obiectiv general de 16 programe regionale operaționalizate de punere în aplicare (câte unul pentru fiecare „voievodat”)</w:t>
            </w:r>
            <w:r>
              <w:rPr>
                <w:noProof/>
              </w:rPr>
              <w:t xml:space="preserve"> </w:t>
            </w:r>
          </w:p>
          <w:p w14:paraId="13581CE8" w14:textId="77777777" w:rsidR="00A60DDE" w:rsidRDefault="00095506">
            <w:pPr>
              <w:pStyle w:val="P68B1DB1-Normal020"/>
              <w:pBdr>
                <w:top w:val="nil"/>
                <w:left w:val="nil"/>
                <w:bottom w:val="nil"/>
                <w:right w:val="nil"/>
                <w:between w:val="nil"/>
              </w:pBdr>
              <w:spacing w:after="0" w:line="240" w:lineRule="auto"/>
              <w:rPr>
                <w:noProof/>
              </w:rPr>
            </w:pPr>
            <w:r>
              <w:rPr>
                <w:noProof/>
              </w:rPr>
              <w:t>Programele de punere în aplicare operaționalizate pentru Strategia națională privind competențele integrate pentru 2030 acoperă diferite forme de învățare, inclusiv coordonarea educației și formării profesionale (EFP) și învățarea pe tot parcursul vieții.</w:t>
            </w:r>
          </w:p>
          <w:p w14:paraId="7E360D5A" w14:textId="77777777" w:rsidR="00A60DDE" w:rsidRDefault="00095506">
            <w:pPr>
              <w:pStyle w:val="P68B1DB1-Normal020"/>
              <w:pBdr>
                <w:top w:val="nil"/>
                <w:left w:val="nil"/>
                <w:bottom w:val="nil"/>
                <w:right w:val="nil"/>
                <w:between w:val="nil"/>
              </w:pBdr>
              <w:spacing w:after="0" w:line="240" w:lineRule="auto"/>
              <w:rPr>
                <w:noProof/>
              </w:rPr>
            </w:pPr>
            <w:r>
              <w:rPr>
                <w:noProof/>
              </w:rPr>
              <w:t>Acestea includ planuri de dezvoltare a EFP în regiuni, ținând seama de tranziția digitală și tranziția verde și promovând inovarea.</w:t>
            </w:r>
          </w:p>
          <w:p w14:paraId="1216B53F" w14:textId="29A6C73C"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Acestea includ mecanisme de monitorizare și evaluare.</w:t>
            </w:r>
          </w:p>
        </w:tc>
      </w:tr>
    </w:tbl>
    <w:p w14:paraId="1216B541" w14:textId="77777777" w:rsidR="00A60DDE" w:rsidRDefault="00A60DDE">
      <w:pPr>
        <w:rPr>
          <w:noProof/>
        </w:rPr>
        <w:sectPr w:rsidR="00A60DDE" w:rsidSect="006C5441">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299"/>
        </w:sectPr>
      </w:pPr>
    </w:p>
    <w:p w14:paraId="1216B542" w14:textId="77777777" w:rsidR="00A60DDE" w:rsidRDefault="00095506">
      <w:pPr>
        <w:pStyle w:val="P68B1DB1-Normal27"/>
        <w:rPr>
          <w:noProof/>
        </w:rPr>
      </w:pPr>
      <w:r>
        <w:rPr>
          <w:noProof/>
        </w:rPr>
        <w:t>A4 – PIAȚA MUNCII</w:t>
      </w:r>
    </w:p>
    <w:tbl>
      <w:tblPr>
        <w:tblW w:w="1573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02"/>
        <w:gridCol w:w="1865"/>
        <w:gridCol w:w="1035"/>
        <w:gridCol w:w="1852"/>
        <w:gridCol w:w="1712"/>
        <w:gridCol w:w="1159"/>
        <w:gridCol w:w="932"/>
        <w:gridCol w:w="885"/>
        <w:gridCol w:w="885"/>
        <w:gridCol w:w="944"/>
        <w:gridCol w:w="3660"/>
      </w:tblGrid>
      <w:tr w:rsidR="00A60DDE" w14:paraId="1216B54B" w14:textId="77777777">
        <w:trPr>
          <w:trHeight w:val="300"/>
          <w:tblHeader/>
          <w:jc w:val="center"/>
        </w:trPr>
        <w:tc>
          <w:tcPr>
            <w:tcW w:w="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3" w14:textId="54BAEF81" w:rsidR="00A60DDE" w:rsidRDefault="005631E2">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Nr. secv</w:t>
            </w:r>
          </w:p>
        </w:tc>
        <w:tc>
          <w:tcPr>
            <w:tcW w:w="18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4"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0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5"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185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6"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7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7" w14:textId="5A55C18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calitativi</w:t>
            </w:r>
            <w:r>
              <w:rPr>
                <w:noProof/>
              </w:rPr>
              <w:br/>
            </w:r>
            <w:r>
              <w:rPr>
                <w:rFonts w:ascii="Times New Roman" w:hAnsi="Times New Roman"/>
                <w:b/>
                <w:noProof/>
                <w:color w:val="000000" w:themeColor="text1"/>
                <w:sz w:val="18"/>
              </w:rPr>
              <w:t>(pentru jaloane)</w:t>
            </w:r>
          </w:p>
        </w:tc>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8" w14:textId="1F8E6824"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cantitativi</w:t>
            </w:r>
            <w:r>
              <w:rPr>
                <w:noProof/>
              </w:rPr>
              <w:br/>
            </w:r>
            <w:r>
              <w:rPr>
                <w:rFonts w:ascii="Times New Roman" w:hAnsi="Times New Roman"/>
                <w:b/>
                <w:noProof/>
                <w:color w:val="000000" w:themeColor="text1"/>
                <w:sz w:val="18"/>
              </w:rPr>
              <w:t>(pentru obiective)</w:t>
            </w:r>
          </w:p>
        </w:tc>
        <w:tc>
          <w:tcPr>
            <w:tcW w:w="18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9"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6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A"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A60DDE" w14:paraId="1216B557" w14:textId="77777777">
        <w:trPr>
          <w:trHeight w:val="300"/>
          <w:jc w:val="center"/>
        </w:trPr>
        <w:tc>
          <w:tcPr>
            <w:tcW w:w="802" w:type="dxa"/>
            <w:vMerge/>
            <w:vAlign w:val="center"/>
          </w:tcPr>
          <w:p w14:paraId="1216B54C"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65" w:type="dxa"/>
            <w:vMerge/>
            <w:vAlign w:val="center"/>
          </w:tcPr>
          <w:p w14:paraId="1216B54D"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35" w:type="dxa"/>
            <w:vMerge/>
            <w:vAlign w:val="center"/>
          </w:tcPr>
          <w:p w14:paraId="1216B54E"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852" w:type="dxa"/>
            <w:vMerge/>
            <w:vAlign w:val="center"/>
          </w:tcPr>
          <w:p w14:paraId="1216B54F"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712" w:type="dxa"/>
            <w:vMerge/>
            <w:vAlign w:val="center"/>
          </w:tcPr>
          <w:p w14:paraId="1216B550"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1"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2"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3"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4"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5"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660" w:type="dxa"/>
            <w:vMerge/>
            <w:vAlign w:val="center"/>
          </w:tcPr>
          <w:p w14:paraId="1216B556"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566" w14:textId="77777777">
        <w:trPr>
          <w:trHeight w:val="3261"/>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8" w14:textId="77777777" w:rsidR="00A60DDE" w:rsidRDefault="00095506">
            <w:pPr>
              <w:pStyle w:val="P68B1DB1-Normal018"/>
              <w:spacing w:after="0" w:line="240" w:lineRule="auto"/>
              <w:jc w:val="center"/>
              <w:rPr>
                <w:rFonts w:eastAsia="Times New Roman" w:cs="Times New Roman"/>
                <w:noProof/>
                <w:color w:val="000000"/>
              </w:rPr>
            </w:pPr>
            <w:r>
              <w:rPr>
                <w:noProof/>
              </w:rPr>
              <w:t>A51G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B"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Intrarea în vigoare a noilor legi privind serviciile publice de ocupare a forței de muncă, angajarea resortisanților țărilor terțe și încheierea electronică a anumitor contracte de muncă:</w:t>
            </w:r>
            <w:r>
              <w:rPr>
                <w:noProof/>
              </w:rPr>
              <w:t xml:space="preserve"> </w:t>
            </w:r>
            <w:r>
              <w:rPr>
                <w:noProof/>
              </w:rPr>
              <w:br/>
            </w:r>
            <w:r>
              <w:rPr>
                <w:rFonts w:ascii="Times New Roman" w:hAnsi="Times New Roman"/>
                <w:noProof/>
                <w:color w:val="000000" w:themeColor="text1"/>
                <w:sz w:val="18"/>
              </w:rPr>
              <w:t xml:space="preserve">- introducerea unor modificări ale serviciilor publice de ocupare a forței de muncă și </w:t>
            </w:r>
            <w:r>
              <w:rPr>
                <w:rFonts w:ascii="Times New Roman" w:hAnsi="Times New Roman"/>
                <w:noProof/>
                <w:sz w:val="18"/>
              </w:rPr>
              <w:t>ale politicilor active în domeniul pieței forței</w:t>
            </w:r>
            <w:r>
              <w:rPr>
                <w:rFonts w:ascii="Times New Roman" w:hAnsi="Times New Roman"/>
                <w:noProof/>
                <w:color w:val="000000" w:themeColor="text1"/>
                <w:sz w:val="18"/>
              </w:rPr>
              <w:t xml:space="preserve"> de muncă pentru a spori participarea forței de muncă</w:t>
            </w:r>
            <w:r>
              <w:rPr>
                <w:noProof/>
              </w:rPr>
              <w:t xml:space="preserve"> </w:t>
            </w:r>
            <w:r>
              <w:rPr>
                <w:noProof/>
              </w:rPr>
              <w:br/>
              <w:t xml:space="preserve"> </w:t>
            </w:r>
            <w:r>
              <w:rPr>
                <w:rFonts w:ascii="Times New Roman" w:hAnsi="Times New Roman"/>
                <w:noProof/>
                <w:color w:val="000000" w:themeColor="text1"/>
                <w:sz w:val="18"/>
              </w:rPr>
              <w:t>reducerea barierelor administrative în calea angajării străinilor;</w:t>
            </w:r>
            <w:r>
              <w:rPr>
                <w:noProof/>
              </w:rPr>
              <w:t xml:space="preserve"> </w:t>
            </w:r>
            <w:r>
              <w:rPr>
                <w:noProof/>
              </w:rPr>
              <w:br/>
              <w:t xml:space="preserve"> </w:t>
            </w:r>
            <w:r>
              <w:rPr>
                <w:rFonts w:ascii="Times New Roman" w:hAnsi="Times New Roman"/>
                <w:noProof/>
                <w:color w:val="000000" w:themeColor="text1"/>
                <w:sz w:val="18"/>
              </w:rPr>
              <w:t>simplificarea procesului de încheiere a anumitor contracte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C"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legislația privind serviciile publice de ocupare a forței de muncă, încadrarea în muncă a resortisanților țărilor terțe și încheierea electronică a anumitor contracte de muncă care să indice intrarea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D" w14:textId="77777777" w:rsidR="00A60DDE" w:rsidRDefault="00A60DDE">
            <w:pPr>
              <w:rPr>
                <w:noProof/>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0" w14:textId="77777777" w:rsidR="00A60DDE" w:rsidRDefault="00095506">
            <w:pPr>
              <w:pStyle w:val="P68B1DB1-Normal020"/>
              <w:spacing w:after="0" w:line="240" w:lineRule="auto"/>
              <w:jc w:val="center"/>
              <w:rPr>
                <w:noProof/>
                <w:color w:val="000000"/>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1" w14:textId="77777777" w:rsidR="00A60DDE" w:rsidRDefault="00095506">
            <w:pPr>
              <w:pStyle w:val="P68B1DB1-Normal020"/>
              <w:spacing w:after="0" w:line="240" w:lineRule="auto"/>
              <w:jc w:val="center"/>
              <w:rPr>
                <w:rFonts w:eastAsia="Times New Roman" w:cs="Times New Roman"/>
                <w:noProof/>
                <w:color w:val="000000"/>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2" w14:textId="77777777" w:rsidR="00A60DDE" w:rsidRDefault="00095506">
            <w:pPr>
              <w:pStyle w:val="P68B1DB1-Normal019"/>
              <w:pBdr>
                <w:top w:val="nil"/>
                <w:left w:val="nil"/>
                <w:bottom w:val="nil"/>
                <w:right w:val="nil"/>
                <w:between w:val="nil"/>
              </w:pBdr>
              <w:spacing w:after="0" w:line="240" w:lineRule="auto"/>
              <w:rPr>
                <w:noProof/>
                <w:color w:val="000000" w:themeColor="text1"/>
              </w:rPr>
            </w:pPr>
            <w:r>
              <w:rPr>
                <w:noProof/>
              </w:rPr>
              <w:t>Intrarea în vigoare a trei noi legi, care introduc noi dispoziții:</w:t>
            </w:r>
          </w:p>
          <w:p w14:paraId="6276F1A1"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563" w14:textId="16679D0F" w:rsidR="00A60DDE" w:rsidRDefault="00095506">
            <w:pPr>
              <w:pStyle w:val="P68B1DB1-Normal020"/>
              <w:spacing w:after="0" w:line="240" w:lineRule="auto"/>
              <w:rPr>
                <w:noProof/>
              </w:rPr>
            </w:pPr>
            <w:r>
              <w:rPr>
                <w:noProof/>
              </w:rPr>
              <w:t>1. privind serviciile publice de ocupare a forței de muncă și politicile active în domeniul pieței forței de muncă, pentru a spori participarea la ocuparea forței de muncă prin: (i) extinderea grupului de clienți ai oficiilor de ocupare a forței de muncă pentru a include persoanele inactive din punct de vedere profesional; (ii) identificarea persoanelor inactive din punct de vedere economic și stabilirea de contacte cu acestea, (iii) introducerea unei obligații pentru angajatorii din sectorul public și privat (pentru antreprenorii care utilizează fonduri publice, cum ar fi prin participarea la licitații) de a depune oferte de locuri de muncă în baza de date centrală a ofertelor de locuri de muncă; (iv) creșterea accesului la învățarea pe tot parcursul vieții pentru persoanele aflate în căutarea unui loc de muncă prin finanțarea din Fondul pentru ocuparea forței de muncă atât a costurilor de formare, cât și a certificării dobândirii de cunoștințe și competențe, inclusiv calificări profesionale; (v) introducerea unei noi forme de sprijin (un voucher pentru educație continuă) atât pentru angajați, cât și pentru șomeri.</w:t>
            </w:r>
          </w:p>
          <w:p w14:paraId="279AD8CD" w14:textId="77777777" w:rsidR="00A60DDE" w:rsidRDefault="00A60DDE">
            <w:pPr>
              <w:pStyle w:val="Normal0"/>
              <w:spacing w:after="0" w:line="240" w:lineRule="auto"/>
              <w:rPr>
                <w:rFonts w:ascii="Times New Roman" w:eastAsia="Times New Roman" w:hAnsi="Times New Roman" w:cs="Times New Roman"/>
                <w:noProof/>
                <w:color w:val="000000" w:themeColor="text1"/>
                <w:sz w:val="18"/>
                <w:szCs w:val="18"/>
              </w:rPr>
            </w:pPr>
          </w:p>
          <w:p w14:paraId="1DE7AFF2" w14:textId="08512923" w:rsidR="00A60DDE" w:rsidRDefault="00095506">
            <w:pPr>
              <w:pStyle w:val="P68B1DB1-Normal020"/>
              <w:pBdr>
                <w:top w:val="nil"/>
                <w:left w:val="nil"/>
                <w:bottom w:val="nil"/>
                <w:right w:val="nil"/>
                <w:between w:val="nil"/>
              </w:pBdr>
              <w:spacing w:after="0" w:line="240" w:lineRule="auto"/>
              <w:rPr>
                <w:noProof/>
              </w:rPr>
            </w:pPr>
            <w:r>
              <w:rPr>
                <w:noProof/>
              </w:rPr>
              <w:t>2. Reducerea barierelor administrative și simplificarea procedurilor privind angajarea străinilor: (i) este posibil ca serviciile publice de ocupare a forței de muncă să creeze servicii specializate în cadrul SPOFM (nu un birou separat) pentru a sprijini străinii pe piața forței de muncă, atât pentru angajați, cât și pentru șomeri; (ii) rolul serviciilor publice de ocupare a forței de muncă va crește în procesul de eliberare a permiselor de muncă pentru străini, ceea ce îl va face mai eficient; (iii) intră în vigoare dispozițiile care stabilesc un cadru pentru digitalizarea completă a procedurilor legate de obținerea unui permis de muncă pentru străini; (iv) intră în vigoare cadrul de integrare și dispozițiile de consolidare a serviciilor de control pentru monitorizarea legalității ocupării forței de muncă.</w:t>
            </w:r>
          </w:p>
          <w:p w14:paraId="4C5F6B23"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65" w14:textId="2CA3E5A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3. La încheierea electronică a anumitor contracte, pentru a simplifica procesul de angajare. Reglementările legale introduc posibilitatea de a încheia și de a soluționa anumite contracte de muncă în mod electronic, integrat în sistemele de securitate socială și fiscale. Acest lucru facilitează procesul de încheiere a unui raport de muncă. Legea poate prevedea o perioadă de tranziție rezonabilă pentru aplicarea efectivă a dispozițiilor necesare pentru dezvoltarea sistemului informatic.</w:t>
            </w:r>
          </w:p>
        </w:tc>
      </w:tr>
      <w:tr w:rsidR="00A60DDE" w14:paraId="1216B572"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7"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8"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A" w14:textId="1D17F135" w:rsidR="00A60DDE" w:rsidRDefault="00095506">
            <w:pPr>
              <w:pStyle w:val="P68B1DB1-Normal020"/>
              <w:spacing w:after="0" w:line="240" w:lineRule="auto"/>
              <w:rPr>
                <w:rFonts w:eastAsia="Times New Roman" w:cs="Times New Roman"/>
                <w:noProof/>
                <w:color w:val="000000"/>
              </w:rPr>
            </w:pPr>
            <w:r>
              <w:rPr>
                <w:noProof/>
              </w:rPr>
              <w:t>Publicarea Planului de dezvoltare a serviciilor publice de ocupare a forței de muncă pentru perioada 2025-2027</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B" w14:textId="7DFC843E" w:rsidR="00A60DDE" w:rsidRDefault="00095506">
            <w:pPr>
              <w:pStyle w:val="P68B1DB1-Normal020"/>
              <w:spacing w:after="0" w:line="240" w:lineRule="auto"/>
              <w:rPr>
                <w:rFonts w:eastAsia="Times New Roman" w:cs="Times New Roman"/>
                <w:noProof/>
                <w:color w:val="000000"/>
              </w:rPr>
            </w:pPr>
            <w:r>
              <w:rPr>
                <w:noProof/>
              </w:rPr>
              <w:t>Publicarea de către Ministerul Familiei, Muncii și Politicii Sociale (MRPiPS) a Planului de dezvoltare a serviciilor publice de ocupare a forței de muncă pentru perioada 2025-2027</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F" w14:textId="77777777" w:rsidR="00A60DDE" w:rsidRDefault="00095506">
            <w:pPr>
              <w:pStyle w:val="P68B1DB1-Normal020"/>
              <w:spacing w:after="0" w:line="240" w:lineRule="auto"/>
              <w:jc w:val="center"/>
              <w:rPr>
                <w:rFonts w:eastAsia="Times New Roman" w:cs="Times New Roman"/>
                <w:noProof/>
                <w:color w:val="000000"/>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0" w14:textId="77777777" w:rsidR="00A60DDE" w:rsidRDefault="00095506">
            <w:pPr>
              <w:pStyle w:val="P68B1DB1-Normal020"/>
              <w:spacing w:after="0" w:line="240" w:lineRule="auto"/>
              <w:jc w:val="center"/>
              <w:rPr>
                <w:rFonts w:eastAsia="Times New Roman" w:cs="Times New Roman"/>
                <w:noProof/>
                <w:color w:val="000000"/>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1" w14:textId="26AE0B84" w:rsidR="00A60DDE" w:rsidRDefault="00095506">
            <w:pPr>
              <w:pStyle w:val="P68B1DB1-Normal26"/>
              <w:spacing w:after="0" w:line="240" w:lineRule="auto"/>
              <w:rPr>
                <w:b/>
                <w:noProof/>
              </w:rPr>
            </w:pPr>
            <w:r>
              <w:rPr>
                <w:noProof/>
              </w:rPr>
              <w:t>Se publică Planul de dezvoltare a serviciilor publice de ocupare a forței de muncă pentru perioada 2025-2027. Acesta stabilește prioritățile politicii privind piața forței de muncă și modalitățile prin care serviciile publice de ocupare a forței de muncă le pun în aplicare.</w:t>
            </w:r>
          </w:p>
        </w:tc>
      </w:tr>
      <w:tr w:rsidR="00A60DDE" w14:paraId="1216B57F"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3"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5" w14:textId="7905E6A6"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Desfășurarea unui proces de consultare a partenerilor sociali cu privire la potențialul contractelor colective de muncă și realizarea unui studiu cuprinzător privind rolul potențial al unui contract unic de muncă pentru a aduce o nouă flexibilitate și securitate pe piața forței de muncă din Polonia</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8"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de către Ministerul Familiei și Politicii Sociale (MRPiPS) a unui raport privind consultarea partenerilor sociali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9"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E" w14:textId="5B6A2EB1"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Obiectivul consultării cu partenerii sociali este de a identifica rolul și potențialul contractelor colective de muncă pe piața forței de muncă din Polonia de a oferi noi flexibilități în conformitate cu realitățile noi și în schimbare rapidă. Se efectuează un studiu pentru a analiza potențialul unui posibil contract unic de muncă, pentru a oferi o bază analitică și juridică și pentru a utiliza o analiză comparativă. Acesta poate fi elaborat cu sprijinul organizațiilor internaționale și/sau cu asistență tehnică specifică.</w:t>
            </w:r>
          </w:p>
        </w:tc>
      </w:tr>
      <w:tr w:rsidR="00A60DDE" w14:paraId="1216B58F"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0"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1"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3"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legii (legilor) ținând seama de rezultatele consultării privind contractele colective de muncă și de studiul privind un singur contract de muncă în Polonia</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4"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Dispoziție legală (dispoziții legale)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5"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A" w14:textId="77777777" w:rsidR="00A60DDE" w:rsidRDefault="00095506">
            <w:pPr>
              <w:pStyle w:val="P68B1DB1-Normal020"/>
              <w:pBdr>
                <w:top w:val="nil"/>
                <w:left w:val="nil"/>
                <w:bottom w:val="nil"/>
                <w:right w:val="nil"/>
                <w:between w:val="nil"/>
              </w:pBdr>
              <w:spacing w:after="0" w:line="240" w:lineRule="auto"/>
              <w:rPr>
                <w:noProof/>
              </w:rPr>
            </w:pPr>
            <w:r>
              <w:rPr>
                <w:noProof/>
              </w:rPr>
              <w:t>Intrarea în vigoare a legii (legilor) ținând seama de rezultatul studiului privind rolul potențial al contractului unic de muncă și cel puțin de următoarele rezultate ale consultării privind contractele colective de muncă:</w:t>
            </w:r>
          </w:p>
          <w:p w14:paraId="1216B58B" w14:textId="77777777" w:rsidR="00A60DDE" w:rsidRDefault="00095506">
            <w:pPr>
              <w:pStyle w:val="P68B1DB1-Normal020"/>
              <w:pBdr>
                <w:top w:val="nil"/>
                <w:left w:val="nil"/>
                <w:bottom w:val="nil"/>
                <w:right w:val="nil"/>
                <w:between w:val="nil"/>
              </w:pBdr>
              <w:spacing w:after="0" w:line="240" w:lineRule="auto"/>
              <w:rPr>
                <w:noProof/>
              </w:rPr>
            </w:pPr>
            <w:r>
              <w:rPr>
                <w:noProof/>
              </w:rPr>
              <w:t>1) Simplificarea procedurilor de înregistrare a contractelor colective de muncă;</w:t>
            </w:r>
          </w:p>
          <w:p w14:paraId="1216B58C" w14:textId="77777777" w:rsidR="00A60DDE" w:rsidRDefault="00095506">
            <w:pPr>
              <w:pStyle w:val="P68B1DB1-Normal020"/>
              <w:pBdr>
                <w:top w:val="nil"/>
                <w:left w:val="nil"/>
                <w:bottom w:val="nil"/>
                <w:right w:val="nil"/>
                <w:between w:val="nil"/>
              </w:pBdr>
              <w:spacing w:after="0" w:line="240" w:lineRule="auto"/>
              <w:rPr>
                <w:noProof/>
              </w:rPr>
            </w:pPr>
            <w:r>
              <w:rPr>
                <w:noProof/>
              </w:rPr>
              <w:t>2) Utilizarea medierii în negocieri;</w:t>
            </w:r>
          </w:p>
          <w:p w14:paraId="1216B58D" w14:textId="77777777" w:rsidR="00A60DDE" w:rsidRDefault="00095506">
            <w:pPr>
              <w:pStyle w:val="P68B1DB1-Normal020"/>
              <w:pBdr>
                <w:top w:val="nil"/>
                <w:left w:val="nil"/>
                <w:bottom w:val="nil"/>
                <w:right w:val="nil"/>
                <w:between w:val="nil"/>
              </w:pBdr>
              <w:spacing w:after="0" w:line="240" w:lineRule="auto"/>
              <w:rPr>
                <w:noProof/>
              </w:rPr>
            </w:pPr>
            <w:r>
              <w:rPr>
                <w:noProof/>
              </w:rPr>
              <w:t>3) Entitățile autorizate să încheie contracte colective de muncă;</w:t>
            </w:r>
          </w:p>
          <w:p w14:paraId="1216B58E"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4) Obiectele reglementate de contractele colective de muncă.</w:t>
            </w:r>
          </w:p>
        </w:tc>
      </w:tr>
      <w:tr w:rsidR="00A60DDE" w14:paraId="1216B5A0" w14:textId="77777777">
        <w:trPr>
          <w:trHeight w:val="2743"/>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0"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1"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Investiții în sprijinul reformei instituțiilor de pe piața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2"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3" w14:textId="138E12FF"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Digitalizarea serviciilor publice de ocupare a forței de muncă (SPOFM)</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4" w14:textId="4C7B7A2E" w:rsidR="00A60DDE" w:rsidRDefault="00095506">
            <w:pPr>
              <w:pStyle w:val="P68B1DB1-Normal029"/>
              <w:pBdr>
                <w:top w:val="nil"/>
                <w:left w:val="nil"/>
                <w:bottom w:val="nil"/>
                <w:right w:val="nil"/>
                <w:between w:val="nil"/>
              </w:pBdr>
              <w:spacing w:after="0" w:line="240" w:lineRule="auto"/>
              <w:rPr>
                <w:noProof/>
                <w:color w:val="000000"/>
              </w:rPr>
            </w:pPr>
            <w:r>
              <w:rPr>
                <w:noProof/>
              </w:rPr>
              <w:t>Sisteme și infrastructuri informatice modernizate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5"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8"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9" w14:textId="77777777" w:rsidR="00A60DDE" w:rsidRDefault="00095506">
            <w:pPr>
              <w:pStyle w:val="P68B1DB1-Normal020"/>
              <w:spacing w:after="0" w:line="240" w:lineRule="auto"/>
              <w:jc w:val="center"/>
              <w:rPr>
                <w:rFonts w:eastAsia="Times New Roman" w:cs="Times New Roman"/>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A" w14:textId="3A8D51A6" w:rsidR="00A60DDE" w:rsidRDefault="00095506">
            <w:pPr>
              <w:pStyle w:val="P68B1DB1-Normal020"/>
              <w:spacing w:after="0" w:line="240" w:lineRule="auto"/>
              <w:rPr>
                <w:noProof/>
              </w:rPr>
            </w:pPr>
            <w:r>
              <w:rPr>
                <w:noProof/>
              </w:rPr>
              <w:t>13 sisteme informatice modernizate sunt puse la dispoziția serviciilor publice de ocupare a forței de muncă (SPOFM) și includ:</w:t>
            </w:r>
          </w:p>
          <w:p w14:paraId="1216B59B" w14:textId="5A822D83" w:rsidR="00A60DDE" w:rsidRDefault="00095506">
            <w:pPr>
              <w:pStyle w:val="P68B1DB1-Normal020"/>
              <w:spacing w:after="0" w:line="240" w:lineRule="auto"/>
              <w:rPr>
                <w:noProof/>
              </w:rPr>
            </w:pPr>
            <w:r>
              <w:rPr>
                <w:noProof/>
              </w:rPr>
              <w:t>- cereri de înregistrare a clienților SPOFM, pentru a permite străinilor să lucreze în Polonia, să obțină o indemnizație și să se înscrie într-un registru sau</w:t>
            </w:r>
          </w:p>
          <w:p w14:paraId="1216B59C" w14:textId="05CAEEA7" w:rsidR="00A60DDE" w:rsidRDefault="00095506">
            <w:pPr>
              <w:pStyle w:val="P68B1DB1-Normal020"/>
              <w:spacing w:after="0" w:line="240" w:lineRule="auto"/>
              <w:rPr>
                <w:noProof/>
              </w:rPr>
            </w:pPr>
            <w:r>
              <w:rPr>
                <w:noProof/>
              </w:rPr>
              <w:t>profilurile individuale ale clienților SPOFM sau</w:t>
            </w:r>
          </w:p>
          <w:p w14:paraId="1216B59D" w14:textId="77777777" w:rsidR="00A60DDE" w:rsidRDefault="00095506">
            <w:pPr>
              <w:pStyle w:val="P68B1DB1-Normal020"/>
              <w:spacing w:after="0" w:line="240" w:lineRule="auto"/>
              <w:rPr>
                <w:noProof/>
              </w:rPr>
            </w:pPr>
            <w:r>
              <w:rPr>
                <w:noProof/>
              </w:rPr>
              <w:t>- instrumentul de sondaj privind satisfacția clienților pentru clienții SPOFM sau</w:t>
            </w:r>
          </w:p>
          <w:p w14:paraId="1216B59E" w14:textId="77777777" w:rsidR="00A60DDE" w:rsidRDefault="00095506">
            <w:pPr>
              <w:pStyle w:val="P68B1DB1-Normal020"/>
              <w:spacing w:after="0" w:line="240" w:lineRule="auto"/>
              <w:rPr>
                <w:noProof/>
              </w:rPr>
            </w:pPr>
            <w:r>
              <w:rPr>
                <w:noProof/>
              </w:rPr>
              <w:t>- extinderea funcționalității site-urilor SPOFM cu mecanisme bazate pe IA.</w:t>
            </w:r>
          </w:p>
          <w:p w14:paraId="1216B59F" w14:textId="380B23BB" w:rsidR="00A60DDE" w:rsidRDefault="00095506">
            <w:pPr>
              <w:pStyle w:val="P68B1DB1-Normal020"/>
              <w:spacing w:after="0" w:line="240" w:lineRule="auto"/>
              <w:rPr>
                <w:rFonts w:eastAsia="Times New Roman" w:cs="Times New Roman"/>
                <w:noProof/>
                <w:color w:val="000000"/>
              </w:rPr>
            </w:pPr>
            <w:r>
              <w:rPr>
                <w:noProof/>
              </w:rPr>
              <w:t>Se achiziționează infrastructura informatică pentru SPOFM.</w:t>
            </w:r>
          </w:p>
        </w:tc>
      </w:tr>
      <w:tr w:rsidR="00A60DDE" w14:paraId="1216B5AC"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1"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A56G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2"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Investiții în sprijinul reformei instituțiilor de pe piața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3"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4"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Cursuri de formare privind aplicarea noilor proceduri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5" w14:textId="1335D67A" w:rsidR="00A60DDE" w:rsidRDefault="00095506">
            <w:pPr>
              <w:pStyle w:val="P68B1DB1-Normal020"/>
              <w:pBdr>
                <w:top w:val="nil"/>
                <w:left w:val="nil"/>
                <w:bottom w:val="nil"/>
                <w:right w:val="nil"/>
                <w:between w:val="nil"/>
              </w:pBdr>
              <w:spacing w:after="0" w:line="240" w:lineRule="auto"/>
              <w:rPr>
                <w:noProof/>
                <w:color w:val="000000"/>
              </w:rPr>
            </w:pPr>
            <w:r>
              <w:rPr>
                <w:noProof/>
              </w:rPr>
              <w:t>Cursuri de formare privind aplicarea noilor proceduri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9" w14:textId="77777777" w:rsidR="00A60DDE" w:rsidRDefault="00095506">
            <w:pPr>
              <w:pStyle w:val="P68B1DB1-Normal020"/>
              <w:spacing w:after="0" w:line="240" w:lineRule="auto"/>
              <w:jc w:val="center"/>
              <w:rPr>
                <w:rFonts w:eastAsia="Times New Roman" w:cs="Times New Roman"/>
                <w:noProof/>
                <w:color w:val="000000"/>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A" w14:textId="77777777" w:rsidR="00A60DDE" w:rsidRDefault="00095506">
            <w:pPr>
              <w:pStyle w:val="P68B1DB1-Normal020"/>
              <w:spacing w:after="0" w:line="240" w:lineRule="auto"/>
              <w:jc w:val="center"/>
              <w:rPr>
                <w:rFonts w:eastAsia="Times New Roman" w:cs="Times New Roman"/>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B" w14:textId="5A99C8DC" w:rsidR="00A60DDE" w:rsidRDefault="00095506">
            <w:pPr>
              <w:pStyle w:val="P68B1DB1-Normal020"/>
              <w:pBdr>
                <w:top w:val="nil"/>
                <w:left w:val="nil"/>
                <w:bottom w:val="nil"/>
                <w:right w:val="nil"/>
                <w:between w:val="nil"/>
              </w:pBdr>
              <w:spacing w:after="0" w:line="240" w:lineRule="auto"/>
              <w:rPr>
                <w:noProof/>
              </w:rPr>
            </w:pPr>
            <w:r>
              <w:rPr>
                <w:noProof/>
              </w:rPr>
              <w:t xml:space="preserve">Autoritățile furnizează (a) raportul (rapoartele) final(e) privind cursurile de formare oferite unui număr de 10 025 de participanți cu privire la noile proceduri prevăzute fie la (i) noua lege privind piața forței de muncă și serviciile publice de ocupare a forței de muncă, fie la (ii) noua lege privind încadrarea în muncă a resortisanților țărilor terțe, fie la (iii) noua lege privind sistemul de informații pentru gestionarea anumitor tipuri de contracte. </w:t>
            </w:r>
          </w:p>
        </w:tc>
      </w:tr>
      <w:tr w:rsidR="00A60DDE" w14:paraId="1216B5BC"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D" w14:textId="77777777" w:rsidR="00A60DDE" w:rsidRDefault="00095506">
            <w:pPr>
              <w:pStyle w:val="P68B1DB1-Normal018"/>
              <w:spacing w:after="0" w:line="240" w:lineRule="auto"/>
              <w:jc w:val="center"/>
              <w:rPr>
                <w:rFonts w:eastAsia="Times New Roman" w:cs="Times New Roman"/>
                <w:noProof/>
                <w:color w:val="000000"/>
              </w:rPr>
            </w:pPr>
            <w:r>
              <w:rPr>
                <w:noProof/>
              </w:rPr>
              <w:t>A57G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A4.2 Reforma menită să îmbunătățească situația părinților pe piața forței de muncă prin creșterea accesului la servicii de îngrijire a copiilor de înaltă calitate pentru copiii cu vârsta de până la trei ani</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0" w14:textId="77777777" w:rsidR="00A60DDE" w:rsidRDefault="00095506">
            <w:pPr>
              <w:pStyle w:val="P68B1DB1-Normal020"/>
              <w:pBdr>
                <w:left w:val="nil"/>
                <w:bottom w:val="nil"/>
                <w:right w:val="nil"/>
                <w:between w:val="nil"/>
              </w:pBdr>
              <w:spacing w:after="0" w:line="240" w:lineRule="auto"/>
              <w:rPr>
                <w:rFonts w:eastAsia="Times New Roman" w:cs="Times New Roman"/>
                <w:noProof/>
                <w:color w:val="000000"/>
              </w:rPr>
            </w:pPr>
            <w:r>
              <w:rPr>
                <w:noProof/>
              </w:rPr>
              <w:t>Adoptarea unor standarde de calitate pentru îngrijirea copiilor, inclusiv a unor standarde educaționale și de îngrijire a serviciilor pentru copiii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legislația relevantă care indică intrarea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5" w14:textId="77777777" w:rsidR="00A60DDE" w:rsidRDefault="00095506">
            <w:pPr>
              <w:pStyle w:val="P68B1DB1-Normal020"/>
              <w:spacing w:after="0" w:line="240" w:lineRule="auto"/>
              <w:jc w:val="center"/>
              <w:rPr>
                <w:rFonts w:eastAsia="Times New Roman" w:cs="Times New Roman"/>
                <w:noProof/>
                <w:color w:val="000000"/>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6" w14:textId="77777777" w:rsidR="00A60DDE" w:rsidRDefault="00095506">
            <w:pPr>
              <w:pStyle w:val="P68B1DB1-Normal020"/>
              <w:spacing w:after="0" w:line="240" w:lineRule="auto"/>
              <w:jc w:val="center"/>
              <w:rPr>
                <w:rFonts w:eastAsia="Times New Roman" w:cs="Times New Roman"/>
                <w:noProof/>
                <w:color w:val="000000"/>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7" w14:textId="77777777" w:rsidR="00A60DDE" w:rsidRDefault="00095506">
            <w:pPr>
              <w:pStyle w:val="P68B1DB1-Normal020"/>
              <w:spacing w:after="0" w:line="240" w:lineRule="auto"/>
              <w:rPr>
                <w:rFonts w:eastAsia="Times New Roman" w:cs="Times New Roman"/>
                <w:noProof/>
                <w:color w:val="000000"/>
              </w:rPr>
            </w:pPr>
            <w:r>
              <w:rPr>
                <w:noProof/>
              </w:rPr>
              <w:t>Analiza independentă a standardelor existente de îngrijire și educație pentru copiii cu vârsta de până la trei ani și accesul la sisteme de educație și îngrijire timpurie de înaltă calitate și la prețuri accesibile. Analiza se efectuează ținând seama de Recomandarea Consiliului din 22 mai 2019 privind sisteme de înaltă calitate de educație și îngrijire timpurie a copiilor (2019/C 189/02) și se prezintă într-un raport care urmează să fie publicat de Ministerul Familiei, Muncii și Politicii Sociale.</w:t>
            </w:r>
          </w:p>
          <w:p w14:paraId="1216B5B8" w14:textId="77777777" w:rsidR="00A60DDE" w:rsidRDefault="00A60DDE">
            <w:pPr>
              <w:pStyle w:val="Normal0"/>
              <w:spacing w:after="0" w:line="240" w:lineRule="auto"/>
              <w:rPr>
                <w:rFonts w:ascii="Times New Roman" w:eastAsia="Times New Roman" w:hAnsi="Times New Roman" w:cs="Times New Roman"/>
                <w:noProof/>
                <w:color w:val="000000" w:themeColor="text1"/>
                <w:sz w:val="18"/>
                <w:szCs w:val="18"/>
              </w:rPr>
            </w:pPr>
          </w:p>
          <w:p w14:paraId="1216B5B9" w14:textId="77777777" w:rsidR="00A60DDE" w:rsidRDefault="00095506">
            <w:pPr>
              <w:pStyle w:val="P68B1DB1-Normal020"/>
              <w:spacing w:after="0" w:line="240" w:lineRule="auto"/>
              <w:rPr>
                <w:noProof/>
              </w:rPr>
            </w:pPr>
            <w:r>
              <w:rPr>
                <w:noProof/>
              </w:rPr>
              <w:t>Un regulament privind standardele de calitate pentru îngrijirea copiilor, care include standardele educaționale și de îngrijire a serviciilor pentru copiii cu vârsta de până la trei ani, este consultat public și convenit de Ministerul Familiei, Muncii și Politicii Sociale cu părțile interesate. Legea poate prevedea o perioadă de tranziție rezonabilă pentru aplicarea efectivă a standardelor adoptate de către serviciile de îngrijire a copiilor.</w:t>
            </w:r>
          </w:p>
          <w:p w14:paraId="1216B5BA" w14:textId="77777777" w:rsidR="00A60DDE" w:rsidRDefault="00A60DDE">
            <w:pPr>
              <w:pStyle w:val="Normal0"/>
              <w:spacing w:after="0" w:line="240" w:lineRule="auto"/>
              <w:rPr>
                <w:rFonts w:ascii="Times New Roman" w:hAnsi="Times New Roman"/>
                <w:noProof/>
                <w:color w:val="000000" w:themeColor="text1"/>
                <w:sz w:val="18"/>
                <w:szCs w:val="18"/>
              </w:rPr>
            </w:pPr>
          </w:p>
          <w:p w14:paraId="1216B5BB" w14:textId="77777777" w:rsidR="00A60DDE" w:rsidRDefault="00095506">
            <w:pPr>
              <w:pStyle w:val="P68B1DB1-Normal020"/>
              <w:spacing w:after="0" w:line="240" w:lineRule="auto"/>
              <w:rPr>
                <w:noProof/>
                <w:color w:val="000000"/>
              </w:rPr>
            </w:pPr>
            <w:r>
              <w:rPr>
                <w:noProof/>
              </w:rPr>
              <w:t>Intrarea în vigoare a unei modificări a Legii din 4 februarie 2011 privind îngrijirea copiilor cu vârsta de până la trei ani face ca standardele minime să devină obligatorii pentru furnizorii de servicii de îngrijire a copiilor. Legea prevede baza pentru ca Ministerul Familiei, Muncii și Politicii Sociale să sprijine municipalitățile în efectuarea controlului calității.</w:t>
            </w:r>
          </w:p>
        </w:tc>
      </w:tr>
      <w:tr w:rsidR="00A60DDE" w14:paraId="1216B5C8"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D"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A58G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A4.2 Reforma menită să îmbunătățească situația părinților pe piața forței de muncă prin creșterea accesului la servicii de îngrijire a copiilor de înaltă calitate pentru copiii cu vârsta de până la trei ani</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0" w14:textId="77777777" w:rsidR="00A60DDE" w:rsidRDefault="00095506">
            <w:pPr>
              <w:pStyle w:val="P68B1DB1-Normal020"/>
              <w:pBdr>
                <w:left w:val="nil"/>
                <w:bottom w:val="nil"/>
                <w:right w:val="nil"/>
                <w:between w:val="nil"/>
              </w:pBdr>
              <w:spacing w:after="0" w:line="240" w:lineRule="auto"/>
              <w:rPr>
                <w:rFonts w:eastAsia="Times New Roman" w:cs="Times New Roman"/>
                <w:noProof/>
              </w:rPr>
            </w:pPr>
            <w:r>
              <w:rPr>
                <w:noProof/>
              </w:rPr>
              <w:t>Intrarea în vigoare a unui act de modificare a Legii privind îngrijirea copiilor cu vârsta de până la trei ani, care asigură finanțarea pe termen lung la nivel național a serviciilor de îngrijire a copiilor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Dispoziție din actul de modificare a Legii din 4 februarie 2011 privind îngrijirea copiilor în vârstă de până la trei ani,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7"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rPr>
            </w:pPr>
            <w:r>
              <w:rPr>
                <w:noProof/>
              </w:rPr>
              <w:t>Intrarea în vigoare a unui act de modificare a Legii din 4 februarie 2011 privind îngrijirea copiilor cu vârsta de până la trei ani, care asigură finanțarea pe termen lung din resurse naționale pentru funcționarea serviciilor de îngrijire a copiilor cu vârsta de până la trei ani.</w:t>
            </w:r>
          </w:p>
        </w:tc>
      </w:tr>
      <w:tr w:rsidR="00A60DDE" w14:paraId="1216B5D4"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9"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A4.2 Reforma menită să îmbunătățească situația părinților pe piața forței de muncă prin creșterea accesului la servicii de îngrijire a copiilor cu vârsta de până la trei ani</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B" w14:textId="00B2F586"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Etapa de referință </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C"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unui act de modificare a Legii privind îngrijirea copiilor cu vârsta de până la trei ani, care vizează modificarea organizării sistemului de finanțare a îngrijirii copiilor cu vârsta de până la trei ani, în vederea punerii în aplicare a unui sistem unic și coerent de gestionare a finanțării pentru crearea și funcționarea serviciilor de îngrijire a copiilor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din 4 februarie 2011 privind îngrijirea copiilor cu vârsta de până la trei ani,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C25515" w14:textId="77777777" w:rsidR="00A60DDE" w:rsidRDefault="00095506">
            <w:pPr>
              <w:pStyle w:val="P68B1DB1-Normal020"/>
              <w:pBdr>
                <w:top w:val="nil"/>
                <w:left w:val="nil"/>
                <w:bottom w:val="nil"/>
                <w:right w:val="nil"/>
                <w:between w:val="nil"/>
              </w:pBdr>
              <w:spacing w:after="0" w:line="240" w:lineRule="auto"/>
              <w:rPr>
                <w:noProof/>
              </w:rPr>
            </w:pPr>
            <w:r>
              <w:rPr>
                <w:noProof/>
              </w:rPr>
              <w:t>Intrarea în vigoare a unui act de modificare a Legii din 4 februarie 2011 privind îngrijirea copiilor cu vârsta de până la trei ani raționalizează gestionarea finanțării creării și funcționării structurilor de îngrijire a copiilor prin:</w:t>
            </w:r>
          </w:p>
          <w:p w14:paraId="5F90D08C" w14:textId="77777777" w:rsidR="00A60DDE" w:rsidRDefault="00095506">
            <w:pPr>
              <w:pStyle w:val="P68B1DB1-Normal020"/>
              <w:pBdr>
                <w:top w:val="nil"/>
                <w:left w:val="nil"/>
                <w:bottom w:val="nil"/>
                <w:right w:val="nil"/>
                <w:between w:val="nil"/>
              </w:pBdr>
              <w:spacing w:after="0" w:line="240" w:lineRule="auto"/>
              <w:rPr>
                <w:noProof/>
              </w:rPr>
            </w:pPr>
            <w:r>
              <w:rPr>
                <w:noProof/>
              </w:rPr>
              <w:t>punerea în aplicare a unui sistem unic și coerent de gestionare a finanțării pentru crearea și funcționarea serviciilor de îngrijire a copiilor cu vârsta de până la trei ani;</w:t>
            </w:r>
          </w:p>
          <w:p w14:paraId="1216B5D3" w14:textId="57AE94D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gestionarea fondurilor provenite din diverse surse de finanțare în cadrul programului Maluch+.</w:t>
            </w:r>
          </w:p>
        </w:tc>
      </w:tr>
      <w:tr w:rsidR="00A60DDE" w14:paraId="1216B5E0" w14:textId="77777777">
        <w:trPr>
          <w:trHeight w:val="2448"/>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5"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6"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A4.2.1 Sprijin pentru structurile de îngrijire a copiilor cu vârsta de până la trei ani în cadrul categoriei „Copil mic activ” (fostul Maluch+)</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8"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Crearea unui sistem informatic de gestionare a finanțării și a creării de structuri de îngrijire a copiilor cu vârsta de până la trei ani, care să combine diferite surse de finanțare a îngrijirii copiilor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Sistem informatic pe deplin funcțional</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F"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Crearea și implementarea unui sistem informatic operațional (sau extinderea unuia dintre sistemele existente), care va fi utilizat pentru a sprijini proiectele destinatarilor finali ai sprijinului financiar, și anume entitățile care creează și gestionează instituții de îngrijire a copiilor, în fiecare etapă a punerii lor în aplicare. Sistemul este utilizat și de instituțiile care supraveghează și pun în aplicare reforma. Sistemul include informații privind diferitele surse de finanțare a serviciilor de îngrijire a copiilor.</w:t>
            </w:r>
          </w:p>
        </w:tc>
      </w:tr>
      <w:tr w:rsidR="00A60DDE" w14:paraId="1216B5EC"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1"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2"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A4.2.1 Sprijin pentru structurile de îngrijire a copiilor cu vârsta de până la trei ani în cadrul categoriei „Copil mic activ” (fostul Maluch+)</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3"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4"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Construirea sau renovarea sau adaptarea structurilor de îngrijire a copiilor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5"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6"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7"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8"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eastAsia="Times New Roman" w:hAnsi="Times New Roman" w:cs="Times New Roman"/>
                <w:noProof/>
                <w:color w:val="000000" w:themeColor="text1"/>
                <w:sz w:val="18"/>
                <w:szCs w:val="18"/>
              </w:rPr>
              <w:t>1</w:t>
            </w:r>
            <w:r>
              <w:rPr>
                <w:rFonts w:eastAsia="Times New Roman"/>
                <w:noProof/>
                <w:color w:val="006100"/>
                <w:szCs w:val="24"/>
              </w:rPr>
              <w:t xml:space="preserve"> </w:t>
            </w:r>
            <w:r>
              <w:rPr>
                <w:rFonts w:ascii="Times New Roman" w:eastAsia="Times New Roman" w:hAnsi="Times New Roman" w:cs="Times New Roman"/>
                <w:noProof/>
                <w:color w:val="000000" w:themeColor="text1"/>
                <w:sz w:val="18"/>
                <w:szCs w:val="18"/>
              </w:rPr>
              <w:t>060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9"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A"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B"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Numărul de structuri de îngrijire a copiilor cu vârsta de până la trei ani construite, renovate sau adaptate.</w:t>
            </w:r>
          </w:p>
        </w:tc>
      </w:tr>
      <w:tr w:rsidR="00A60DDE" w14:paraId="1216B5F8"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D"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A4.3 Punerea în aplicare a cadrului juridic pentru entitățile din economia socială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0"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act privind economia socială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Legea privind economia socială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7" w14:textId="781DCE9D"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act privind economia socială care reglementează aspectele de bază legate de acest sector, inclusiv, în special: definirea unei întreprinderi sociale, principiile funcționării și sprijinirii unei întreprinderi din economia socială, noile modele de cooperare între întreprinderile din economia socială și administrația locală în ceea ce privește punerea în aplicare a serviciilor sociale, precum și principiile coordonării politicilor în domeniul dezvoltării economiei sociale.</w:t>
            </w:r>
          </w:p>
        </w:tc>
      </w:tr>
      <w:tr w:rsidR="00A60DDE" w14:paraId="1216B604"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9"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A63G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A4.3.1 Investiții în entități din economia socială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B"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C"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Decizii de acordare a statutului de întreprindere socială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1 400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3" w14:textId="2A8C4D21"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Decizii de acordare a statutului de întreprindere socială unui număr de 1 400 de entități.</w:t>
            </w:r>
          </w:p>
        </w:tc>
      </w:tr>
      <w:tr w:rsidR="00A60DDE" w14:paraId="1216B610"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5" w14:textId="5A5362C2" w:rsidR="00A60DDE" w:rsidRDefault="00095506">
            <w:pPr>
              <w:pStyle w:val="P68B1DB1-Normal018"/>
              <w:pBdr>
                <w:top w:val="nil"/>
                <w:left w:val="nil"/>
                <w:bottom w:val="nil"/>
                <w:right w:val="nil"/>
                <w:between w:val="nil"/>
              </w:pBdr>
              <w:spacing w:after="0" w:line="240" w:lineRule="auto"/>
              <w:jc w:val="center"/>
              <w:rPr>
                <w:noProof/>
              </w:rPr>
            </w:pPr>
            <w:r>
              <w:rPr>
                <w:noProof/>
              </w:rPr>
              <w:t>A64G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A4.3.1 Investiții în entități din economia socială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8" w14:textId="058CACAA"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Numărul de entități din sectorul economiei sociale care beneficiază de sprijin financiar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1 000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F" w14:textId="43F25A32"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Se semnează acorduri de grant pentru sprijinirea a cel puțin 1 000 de entități din economia socială cu privire la furnizarea de sprijin financiar. Acordurile de grant includ angajamentul de menținere a locurilor de muncă timp de cel puțin 12 luni de la data acordului.</w:t>
            </w:r>
          </w:p>
        </w:tc>
      </w:tr>
      <w:tr w:rsidR="00A60DDE" w14:paraId="1216B61C"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1"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A4.4 Sporirea flexibilității formelor de ocupare a forței de muncă și introducerea muncii la distanță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3"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4"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actului de modificare a Codului muncii care introduce instituția permanentă a muncii la distanță în dispozițiile Codului muncii și forme flexibile de organizare a timpului de lucru</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5"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Codului muncii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B"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Intrarea în vigoare a actului de modificare a Codului muncii, care va contribui la o mai bună reconciliere a responsabilităților profesionale cu cele private, va răspunde crizei și va oferi sprijin pentru a ajuta persoanele inactive cu o activitate economică mai redusă să își găsească un loc de muncă permanent. Reforma constă în:</w:t>
            </w:r>
            <w:r>
              <w:rPr>
                <w:noProof/>
              </w:rPr>
              <w:br/>
            </w:r>
            <w:r>
              <w:rPr>
                <w:rFonts w:ascii="Times New Roman" w:hAnsi="Times New Roman"/>
                <w:noProof/>
                <w:color w:val="000000" w:themeColor="text1"/>
                <w:sz w:val="18"/>
              </w:rPr>
              <w:t>introducerea posibilității muncii la distanță (integral sau parțial) în afara locului de muncă pe baza acordurilor dintre angajat și angajator încheiate la încheierea contractului de muncă sau în timpul angajării;</w:t>
            </w:r>
            <w:r>
              <w:rPr>
                <w:noProof/>
              </w:rPr>
              <w:t xml:space="preserve"> </w:t>
            </w:r>
            <w:r>
              <w:rPr>
                <w:noProof/>
              </w:rPr>
              <w:br/>
            </w:r>
            <w:r>
              <w:rPr>
                <w:rFonts w:ascii="Times New Roman" w:hAnsi="Times New Roman"/>
                <w:noProof/>
                <w:color w:val="000000" w:themeColor="text1"/>
                <w:sz w:val="18"/>
              </w:rPr>
              <w:t xml:space="preserve"> - stabilirea de norme privind munca de la distanță de comun acord între angajator și reprezentanții lucrătorilor;</w:t>
            </w:r>
            <w:r>
              <w:rPr>
                <w:noProof/>
              </w:rPr>
              <w:br/>
            </w:r>
            <w:r>
              <w:rPr>
                <w:rFonts w:ascii="Times New Roman" w:hAnsi="Times New Roman"/>
                <w:noProof/>
                <w:color w:val="000000" w:themeColor="text1"/>
                <w:sz w:val="18"/>
              </w:rPr>
              <w:t xml:space="preserve"> - inclusiv cazurile specifice în care munca la distanță ar putea fi efectuată la cererea angajatorului (de exemplu, în circumstanțe extraordinare);</w:t>
            </w:r>
            <w:r>
              <w:rPr>
                <w:noProof/>
              </w:rPr>
              <w:br/>
            </w:r>
            <w:r>
              <w:rPr>
                <w:rFonts w:ascii="Times New Roman" w:hAnsi="Times New Roman"/>
                <w:noProof/>
                <w:color w:val="000000" w:themeColor="text1"/>
                <w:sz w:val="18"/>
              </w:rPr>
              <w:t xml:space="preserve"> - stabilirea unei obligații pentru angajator de a furniza materialele și instrumentele necesare pentru efectuarea muncii la distanță și/sau utilizarea echipamentelor private ale angajaților;</w:t>
            </w:r>
            <w:r>
              <w:rPr>
                <w:noProof/>
              </w:rPr>
              <w:br/>
            </w:r>
            <w:r>
              <w:rPr>
                <w:rFonts w:ascii="Times New Roman" w:hAnsi="Times New Roman"/>
                <w:noProof/>
                <w:color w:val="000000" w:themeColor="text1"/>
                <w:sz w:val="18"/>
              </w:rPr>
              <w:t xml:space="preserve"> punerea în aplicare a unor forme flexibile de organizare a timpului de lucru.</w:t>
            </w:r>
          </w:p>
        </w:tc>
      </w:tr>
      <w:tr w:rsidR="00A60DDE" w14:paraId="1216B628"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D"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Extinderea carierelor și promovarea muncii dincolo de vârsta legală de pensionare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0"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actului de modificare a Legii privind impozitul pe venitul persoanelor fizice prin care se pune în aplicare, începând din 2023, o reducere a impozitului pe venitul persoanelor fizice pentru cei care au împlinit vârsta de pensionare, dar continuă să lucreze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privind impozitul pe venitul persoanelor fizice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7" w14:textId="77777777"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Intrarea în vigoare a legii de modificare a Legii privind impozitul pe venitul persoanelor fizice, care pune în aplicare următoarele modificări: reducerea impozitului pe venitul persoanelor fizice este destinată contribuabililor care ating vârsta legală de pensionare și care nu decid să se pensioneze, dar continuă să lucreze. Lucrătorii respectivi sunt scutiți de impozitul pe venit până la o anumită limită a venitului (nu mai mult de prima tranșă de impozit pe venit,</w:t>
            </w:r>
            <w:r>
              <w:rPr>
                <w:rFonts w:eastAsia="Times New Roman"/>
                <w:noProof/>
                <w:color w:val="006100"/>
                <w:szCs w:val="24"/>
              </w:rPr>
              <w:t> </w:t>
            </w:r>
            <w:r>
              <w:rPr>
                <w:rFonts w:ascii="Times New Roman" w:hAnsi="Times New Roman"/>
                <w:noProof/>
                <w:color w:val="000000" w:themeColor="text1"/>
                <w:sz w:val="18"/>
              </w:rPr>
              <w:t>85</w:t>
            </w:r>
            <w:r>
              <w:rPr>
                <w:rFonts w:eastAsia="Times New Roman"/>
                <w:noProof/>
                <w:color w:val="006100"/>
                <w:szCs w:val="24"/>
              </w:rPr>
              <w:t> </w:t>
            </w:r>
            <w:r>
              <w:rPr>
                <w:rFonts w:ascii="Times New Roman" w:hAnsi="Times New Roman"/>
                <w:noProof/>
                <w:color w:val="000000" w:themeColor="text1"/>
                <w:sz w:val="18"/>
              </w:rPr>
              <w:t xml:space="preserve">528 PLN în 2021, și nu mai mult de salariul mediu brut </w:t>
            </w:r>
            <w:r>
              <w:rPr>
                <w:rFonts w:ascii="Times New Roman" w:hAnsi="Times New Roman"/>
                <w:noProof/>
                <w:sz w:val="18"/>
              </w:rPr>
              <w:t>în</w:t>
            </w:r>
            <w:r>
              <w:rPr>
                <w:rFonts w:ascii="Times New Roman" w:hAnsi="Times New Roman"/>
                <w:noProof/>
                <w:color w:val="000000" w:themeColor="text1"/>
                <w:sz w:val="18"/>
              </w:rPr>
              <w:t xml:space="preserve"> economia națională în Polonia). Cota impozitului pe venitul persoanelor fizice a celor care se situează deasupra primei tranșe se reduce. Datorită acestui stimulent fiscal, contribuabilii câștigă sume suplimentare corespunzătoare cuantumului impozitului pe venit neplătit care urmărește să îi stimuleze să își extindă cariera.</w:t>
            </w:r>
          </w:p>
        </w:tc>
      </w:tr>
      <w:tr w:rsidR="00A60DDE" w14:paraId="1216B634"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9"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Extinderea carierelor și promovarea muncii dincolo de vârsta legală de pensionare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B"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C"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Raport de evaluare a impactului măsurilor luate pentru creșterea vârstei efective de pensionare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D"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raportului de evaluare de către Ministerul Familiei,</w:t>
            </w:r>
            <w:r>
              <w:rPr>
                <w:noProof/>
                <w:szCs w:val="18"/>
              </w:rPr>
              <w:t xml:space="preserve"> Muncii</w:t>
            </w:r>
            <w:r>
              <w:rPr>
                <w:noProof/>
              </w:rPr>
              <w:t xml:space="preserve"> și Politicii Sociale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3"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Obiectivul prezentului raport este de a evalua efectul modificărilor aduse impozitului pe venitul persoanelor fizice asupra vârstei efective de pensionare </w:t>
            </w:r>
            <w:r>
              <w:rPr>
                <w:noProof/>
                <w:szCs w:val="18"/>
              </w:rPr>
              <w:t xml:space="preserve">după </w:t>
            </w:r>
            <w:r>
              <w:rPr>
                <w:noProof/>
              </w:rPr>
              <w:t>doi ani de la introducerea acestora. Aceasta analizează impactul asupra participării pe piața forței de muncă, asupra sustenabilității sistemului de pensii, asupra finanțelor publice și asupra egalității de gen.</w:t>
            </w:r>
          </w:p>
        </w:tc>
      </w:tr>
      <w:tr w:rsidR="00A60DDE" w14:paraId="1216B640"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5"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A4.6 Creșterea participării pe piața muncii a anumitor grupuri prin dezvoltarea îngrijirii pe termen lung</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8"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Revizuirea strategică a îngrijirii pe termen lung în Polonia în vederea identificării priorităților de reformă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9"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Publicarea raportului de analiză strategică de către Ministerul Familiei, Muncii și Politicii Sociale (MRPiPS) și Ministerul Sănătății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25EABB" w14:textId="437B182B" w:rsidR="00A60DDE" w:rsidRDefault="00095506">
            <w:pPr>
              <w:pStyle w:val="P68B1DB1-Normal019"/>
              <w:pBdr>
                <w:top w:val="nil"/>
                <w:left w:val="nil"/>
                <w:bottom w:val="nil"/>
                <w:right w:val="nil"/>
                <w:between w:val="nil"/>
              </w:pBdr>
              <w:spacing w:after="0" w:line="240" w:lineRule="auto"/>
              <w:rPr>
                <w:noProof/>
              </w:rPr>
            </w:pPr>
            <w:r>
              <w:rPr>
                <w:noProof/>
                <w:szCs w:val="18"/>
              </w:rPr>
              <w:t>Finalizarea unei analize a sistemului de îngrijire pe termen lung din Polonia în vederea reformării acestuia în viitor și publicarea unui raport relevant pe site-ul Biuletyn Informacji Publicznej al Ministerului Familiei, Muncii și Politicii Sociale și pe site-ul Biuletyn Informacji Publicznej al Ministerului Sănătății. Analiza evaluează, în special, dacă este posibil:</w:t>
            </w:r>
          </w:p>
          <w:p w14:paraId="0174858A" w14:textId="77777777" w:rsidR="00A60DDE" w:rsidRDefault="00095506">
            <w:pPr>
              <w:pStyle w:val="P68B1DB1-Normal020"/>
              <w:pBdr>
                <w:top w:val="nil"/>
                <w:left w:val="nil"/>
                <w:bottom w:val="nil"/>
                <w:right w:val="nil"/>
                <w:between w:val="nil"/>
              </w:pBdr>
              <w:spacing w:after="0" w:line="240" w:lineRule="auto"/>
              <w:rPr>
                <w:noProof/>
              </w:rPr>
            </w:pPr>
            <w:r>
              <w:rPr>
                <w:noProof/>
              </w:rPr>
              <w:t>integrarea îngrijirii sociale și medicale pe termen lung;</w:t>
            </w:r>
          </w:p>
          <w:p w14:paraId="16A072EF" w14:textId="77777777" w:rsidR="00A60DDE" w:rsidRDefault="00095506">
            <w:pPr>
              <w:pStyle w:val="P68B1DB1-Normal020"/>
              <w:pBdr>
                <w:top w:val="nil"/>
                <w:left w:val="nil"/>
                <w:bottom w:val="nil"/>
                <w:right w:val="nil"/>
                <w:between w:val="nil"/>
              </w:pBdr>
              <w:spacing w:after="0" w:line="240" w:lineRule="auto"/>
              <w:rPr>
                <w:noProof/>
              </w:rPr>
            </w:pPr>
            <w:r>
              <w:rPr>
                <w:noProof/>
              </w:rPr>
              <w:t>accelerarea dezinstituționalizării acestor servicii;</w:t>
            </w:r>
          </w:p>
          <w:p w14:paraId="6F83D2F7" w14:textId="645AF898" w:rsidR="00A60DDE" w:rsidRDefault="00095506">
            <w:pPr>
              <w:pStyle w:val="P68B1DB1-Normal020"/>
              <w:pBdr>
                <w:top w:val="nil"/>
                <w:left w:val="nil"/>
                <w:bottom w:val="nil"/>
                <w:right w:val="nil"/>
                <w:between w:val="nil"/>
              </w:pBdr>
              <w:spacing w:after="0" w:line="240" w:lineRule="auto"/>
              <w:rPr>
                <w:noProof/>
              </w:rPr>
            </w:pPr>
            <w:r>
              <w:rPr>
                <w:noProof/>
              </w:rPr>
              <w:t>să le pună sub o singură autoritate,</w:t>
            </w:r>
          </w:p>
          <w:p w14:paraId="75112C54" w14:textId="77777777" w:rsidR="00A60DDE" w:rsidRDefault="00095506">
            <w:pPr>
              <w:pStyle w:val="P68B1DB1-Normal020"/>
              <w:pBdr>
                <w:top w:val="nil"/>
                <w:left w:val="nil"/>
                <w:bottom w:val="nil"/>
                <w:right w:val="nil"/>
                <w:between w:val="nil"/>
              </w:pBdr>
              <w:spacing w:after="0" w:line="240" w:lineRule="auto"/>
              <w:rPr>
                <w:noProof/>
              </w:rPr>
            </w:pPr>
            <w:r>
              <w:rPr>
                <w:noProof/>
              </w:rPr>
              <w:t>reducerea fragmentării serviciilor de îngrijire;</w:t>
            </w:r>
          </w:p>
          <w:p w14:paraId="6E4DC1A7" w14:textId="10FFCA4B" w:rsidR="00A60DDE" w:rsidRDefault="00095506">
            <w:pPr>
              <w:pStyle w:val="P68B1DB1-Normal019"/>
              <w:pBdr>
                <w:top w:val="nil"/>
                <w:left w:val="nil"/>
                <w:bottom w:val="nil"/>
                <w:right w:val="nil"/>
                <w:between w:val="nil"/>
              </w:pBdr>
              <w:spacing w:after="0" w:line="240" w:lineRule="auto"/>
              <w:rPr>
                <w:noProof/>
              </w:rPr>
            </w:pPr>
            <w:r>
              <w:rPr>
                <w:noProof/>
              </w:rPr>
              <w:t>revizuirea prestațiilor de îngrijire pentru a permite încadrarea în muncă a întreprinderilor;</w:t>
            </w:r>
          </w:p>
          <w:p w14:paraId="3E6508FD" w14:textId="40006860" w:rsidR="00A60DDE" w:rsidRDefault="00095506">
            <w:pPr>
              <w:pStyle w:val="P68B1DB1-Normal019"/>
              <w:pBdr>
                <w:top w:val="nil"/>
                <w:left w:val="nil"/>
                <w:bottom w:val="nil"/>
                <w:right w:val="nil"/>
                <w:between w:val="nil"/>
              </w:pBdr>
              <w:spacing w:after="0" w:line="240" w:lineRule="auto"/>
              <w:rPr>
                <w:noProof/>
              </w:rPr>
            </w:pPr>
            <w:r>
              <w:rPr>
                <w:noProof/>
              </w:rPr>
              <w:t>crearea unui sistem stabil de finanțare adecvată a serviciilor de îngrijire pe termen lung, în special a îngrijirii comunitare și la domiciliu;</w:t>
            </w:r>
          </w:p>
          <w:p w14:paraId="1C781D5E" w14:textId="6A70EBD0" w:rsidR="00A60DDE" w:rsidRDefault="00095506">
            <w:pPr>
              <w:pStyle w:val="P68B1DB1-Normal019"/>
              <w:pBdr>
                <w:top w:val="nil"/>
                <w:left w:val="nil"/>
                <w:bottom w:val="nil"/>
                <w:right w:val="nil"/>
                <w:between w:val="nil"/>
              </w:pBdr>
              <w:spacing w:after="0" w:line="240" w:lineRule="auto"/>
              <w:rPr>
                <w:noProof/>
              </w:rPr>
            </w:pPr>
            <w:r>
              <w:rPr>
                <w:noProof/>
              </w:rPr>
              <w:t>introducerea unui cadru de calitate privind serviciile de îngrijire pe termen lung (cerințe pentru personal, echipamente, admiterea pe piață a furnizorilor de servicii de îngrijire pe termen lung).</w:t>
            </w:r>
          </w:p>
          <w:p w14:paraId="1216B63F" w14:textId="0F71D153"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Analiza se efectuează în consultare cu părțile interesate relevante, inclusiv cu partenerii sociali care se ocupă de furnizarea de servicii de îngrijire pe termen lung, cu îngrijitorii informali, cu persoanele care primesc îngrijire, cu cei care nu primesc îngrijire, dar ar trebui să o primească, precum și cu autoritățile locale.</w:t>
            </w:r>
          </w:p>
        </w:tc>
      </w:tr>
      <w:tr w:rsidR="00A60DDE" w14:paraId="1216B655"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1" w14:textId="3B6EED64" w:rsidR="00A60DDE" w:rsidRDefault="00095506">
            <w:pPr>
              <w:pStyle w:val="P68B1DB1-Normal018"/>
              <w:spacing w:after="0" w:line="240" w:lineRule="auto"/>
              <w:jc w:val="center"/>
              <w:rPr>
                <w:rFonts w:eastAsia="Times New Roman" w:cs="Times New Roman"/>
                <w:noProof/>
                <w:color w:val="000000"/>
              </w:rPr>
            </w:pPr>
            <w:r>
              <w:rPr>
                <w:noProof/>
              </w:rPr>
              <w:t>A70G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A4.6 Creșterea participării pe piața muncii a anumitor grupuri prin dezvoltarea îngrijirii pe termen lung</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3"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4" w14:textId="691C3ADF" w:rsidR="00A60DDE" w:rsidRDefault="00095506">
            <w:pPr>
              <w:pStyle w:val="P68B1DB1-Normal020"/>
              <w:spacing w:after="0" w:line="240" w:lineRule="auto"/>
              <w:rPr>
                <w:rFonts w:eastAsia="Times New Roman" w:cs="Times New Roman"/>
                <w:noProof/>
                <w:color w:val="000000"/>
              </w:rPr>
            </w:pPr>
            <w:r>
              <w:rPr>
                <w:noProof/>
              </w:rPr>
              <w:t>Intrarea în vigoare a actului (actelor) juridic(e) și publicarea documentelor fără caracter legislativ</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5" w14:textId="177AF57D" w:rsidR="00A60DDE" w:rsidRDefault="00095506">
            <w:pPr>
              <w:pStyle w:val="P68B1DB1-Normal019"/>
              <w:spacing w:after="0" w:line="240" w:lineRule="auto"/>
              <w:rPr>
                <w:noProof/>
                <w:szCs w:val="18"/>
              </w:rPr>
            </w:pPr>
            <w:r>
              <w:rPr>
                <w:noProof/>
                <w:szCs w:val="18"/>
              </w:rPr>
              <w:t>Dispoziție din actul (actele) juridic(e) care indică intrarea sa în vigoare</w:t>
            </w:r>
            <w:r>
              <w:rPr>
                <w:noProof/>
              </w:rPr>
              <w:t xml:space="preserve"> </w:t>
            </w:r>
            <w:r>
              <w:rPr>
                <w:noProof/>
                <w:szCs w:val="18"/>
              </w:rPr>
              <w:t>și publicarea documentelor referitoare la revizuirea cheltuielilor publice și la cadrul de calitate pentru îngrijirea pe termen lung</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9" w14:textId="7B0B7771"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A" w14:textId="01F2229D" w:rsidR="00A60DDE" w:rsidRDefault="00095506">
            <w:pPr>
              <w:pStyle w:val="P68B1DB1-Normal020"/>
              <w:spacing w:after="0" w:line="240" w:lineRule="auto"/>
              <w:jc w:val="center"/>
              <w:rPr>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8F66965" w14:textId="09136860" w:rsidR="00A60DDE" w:rsidRDefault="00095506">
            <w:pPr>
              <w:pStyle w:val="P68B1DB1-Normal020"/>
              <w:spacing w:after="0" w:line="240" w:lineRule="auto"/>
              <w:rPr>
                <w:noProof/>
              </w:rPr>
            </w:pPr>
            <w:r>
              <w:rPr>
                <w:noProof/>
              </w:rPr>
              <w:t>Intrarea în vigoare a actului (actelor) juridic(e) care prevede (prevăd) următoarele:</w:t>
            </w:r>
          </w:p>
          <w:p w14:paraId="6C771AA7" w14:textId="1701F1D9" w:rsidR="00A60DDE" w:rsidRDefault="00095506">
            <w:pPr>
              <w:pStyle w:val="P68B1DB1-Normal30"/>
              <w:numPr>
                <w:ilvl w:val="0"/>
                <w:numId w:val="6"/>
              </w:numPr>
              <w:spacing w:after="60" w:line="240" w:lineRule="auto"/>
              <w:ind w:left="357" w:hanging="357"/>
              <w:contextualSpacing/>
              <w:rPr>
                <w:noProof/>
                <w:kern w:val="2"/>
                <w14:ligatures w14:val="standardContextual"/>
              </w:rPr>
            </w:pPr>
            <w:r>
              <w:rPr>
                <w:noProof/>
                <w:kern w:val="2"/>
                <w14:ligatures w14:val="standardContextual"/>
              </w:rPr>
              <w:t>să definească noțiunea</w:t>
            </w:r>
            <w:r>
              <w:rPr>
                <w:noProof/>
              </w:rPr>
              <w:t xml:space="preserve"> de</w:t>
            </w:r>
            <w:r>
              <w:rPr>
                <w:noProof/>
                <w:kern w:val="2"/>
                <w14:ligatures w14:val="standardContextual"/>
              </w:rPr>
              <w:t xml:space="preserve"> „îngrijire pe termen lung”;</w:t>
            </w:r>
          </w:p>
          <w:p w14:paraId="5FA42CCE" w14:textId="59BE3444" w:rsidR="00A60DDE" w:rsidRDefault="00095506">
            <w:pPr>
              <w:pStyle w:val="P68B1DB1-Normal31"/>
              <w:numPr>
                <w:ilvl w:val="0"/>
                <w:numId w:val="6"/>
              </w:numPr>
              <w:spacing w:after="60" w:line="240" w:lineRule="auto"/>
              <w:ind w:left="357" w:hanging="357"/>
              <w:contextualSpacing/>
              <w:rPr>
                <w:noProof/>
              </w:rPr>
            </w:pPr>
            <w:r>
              <w:rPr>
                <w:noProof/>
              </w:rPr>
              <w:t>definiția „îngrijitorului informal” și a „</w:t>
            </w:r>
            <w:r w:rsidR="005631E2">
              <w:rPr>
                <w:noProof/>
              </w:rPr>
              <w:t>îngrijirii</w:t>
            </w:r>
            <w:r>
              <w:rPr>
                <w:noProof/>
              </w:rPr>
              <w:t xml:space="preserve"> informale”;</w:t>
            </w:r>
          </w:p>
          <w:p w14:paraId="0F6BCC33" w14:textId="731ABCB2" w:rsidR="00A60DDE" w:rsidRDefault="005631E2">
            <w:pPr>
              <w:pStyle w:val="P68B1DB1-Normal32"/>
              <w:numPr>
                <w:ilvl w:val="0"/>
                <w:numId w:val="6"/>
              </w:numPr>
              <w:spacing w:after="60" w:line="240" w:lineRule="auto"/>
              <w:ind w:left="357" w:hanging="357"/>
              <w:contextualSpacing/>
              <w:rPr>
                <w:rFonts w:ascii="Times New Roman" w:hAnsi="Times New Roman"/>
                <w:noProof/>
                <w:kern w:val="2"/>
                <w14:ligatures w14:val="standardContextual"/>
              </w:rPr>
            </w:pPr>
            <w:r>
              <w:rPr>
                <w:rFonts w:ascii="Times New Roman" w:eastAsia="Aptos" w:hAnsi="Times New Roman" w:cs="Arial"/>
                <w:noProof/>
                <w:kern w:val="2"/>
                <w14:ligatures w14:val="standardContextual"/>
              </w:rPr>
              <w:t>adoptarea</w:t>
            </w:r>
            <w:r>
              <w:rPr>
                <w:rFonts w:ascii="Times New Roman" w:hAnsi="Times New Roman"/>
                <w:noProof/>
                <w:kern w:val="2"/>
                <w14:ligatures w14:val="standardContextual"/>
              </w:rPr>
              <w:t xml:space="preserve"> dispozițiilor legale privind standardele organizaționale</w:t>
            </w:r>
            <w:r>
              <w:rPr>
                <w:rFonts w:ascii="Times New Roman" w:eastAsia="Aptos" w:hAnsi="Times New Roman" w:cs="Arial"/>
                <w:noProof/>
                <w:kern w:val="2"/>
                <w14:ligatures w14:val="standardContextual"/>
              </w:rPr>
              <w:t xml:space="preserve"> </w:t>
            </w:r>
            <w:r>
              <w:rPr>
                <w:rFonts w:ascii="Times New Roman" w:eastAsia="Aptos" w:hAnsi="Times New Roman" w:cs="Arial"/>
                <w:noProof/>
              </w:rPr>
              <w:t xml:space="preserve">pentru îngrijirea pe termen lung în sistemul de sănătate și </w:t>
            </w:r>
            <w:r>
              <w:rPr>
                <w:rFonts w:ascii="Times New Roman" w:eastAsia="Aptos" w:hAnsi="Times New Roman" w:cs="Arial"/>
                <w:noProof/>
                <w:kern w:val="2"/>
                <w14:ligatures w14:val="standardContextual"/>
              </w:rPr>
              <w:t>adoptarea</w:t>
            </w:r>
            <w:r w:rsidR="00A52676">
              <w:rPr>
                <w:rFonts w:ascii="Times New Roman" w:eastAsia="Aptos" w:hAnsi="Times New Roman" w:cs="Arial"/>
                <w:noProof/>
                <w:kern w:val="2"/>
                <w14:ligatures w14:val="standardContextual"/>
              </w:rPr>
              <w:t xml:space="preserve"> </w:t>
            </w:r>
            <w:r>
              <w:rPr>
                <w:rFonts w:ascii="Times New Roman" w:eastAsia="Aptos" w:hAnsi="Times New Roman" w:cs="Arial"/>
                <w:noProof/>
                <w:kern w:val="2"/>
                <w14:ligatures w14:val="standardContextual"/>
              </w:rPr>
              <w:t>noilor</w:t>
            </w:r>
            <w:r w:rsidR="00A52676">
              <w:rPr>
                <w:rFonts w:ascii="Times New Roman" w:eastAsia="Aptos" w:hAnsi="Times New Roman" w:cs="Arial"/>
                <w:noProof/>
                <w:kern w:val="2"/>
                <w14:ligatures w14:val="standardContextual"/>
              </w:rPr>
              <w:t xml:space="preserve"> </w:t>
            </w:r>
            <w:r>
              <w:rPr>
                <w:rFonts w:ascii="Times New Roman" w:hAnsi="Times New Roman"/>
                <w:noProof/>
                <w:kern w:val="2"/>
                <w14:ligatures w14:val="standardContextual"/>
              </w:rPr>
              <w:t xml:space="preserve">dispoziții legale privind standardele pentru </w:t>
            </w:r>
            <w:r>
              <w:rPr>
                <w:rFonts w:ascii="Times New Roman" w:hAnsi="Times New Roman"/>
                <w:noProof/>
              </w:rPr>
              <w:t>serviciile de îngrijire</w:t>
            </w:r>
            <w:r>
              <w:rPr>
                <w:rFonts w:ascii="Times New Roman" w:hAnsi="Times New Roman"/>
                <w:noProof/>
                <w:kern w:val="2"/>
                <w14:ligatures w14:val="standardContextual"/>
              </w:rPr>
              <w:t xml:space="preserve"> furnizate la locul de reședință;</w:t>
            </w:r>
            <w:r>
              <w:rPr>
                <w:rFonts w:ascii="Times New Roman" w:eastAsia="Aptos" w:hAnsi="Times New Roman" w:cs="Arial"/>
                <w:noProof/>
              </w:rPr>
              <w:t xml:space="preserve"> </w:t>
            </w:r>
          </w:p>
          <w:p w14:paraId="5C38D69A" w14:textId="4897EE3C" w:rsidR="00A60DDE" w:rsidRDefault="00095506">
            <w:pPr>
              <w:pStyle w:val="P68B1DB1-Normal26"/>
              <w:numPr>
                <w:ilvl w:val="0"/>
                <w:numId w:val="6"/>
              </w:numPr>
              <w:spacing w:after="60" w:line="240" w:lineRule="auto"/>
              <w:ind w:left="357" w:hanging="357"/>
              <w:contextualSpacing/>
              <w:rPr>
                <w:noProof/>
              </w:rPr>
            </w:pPr>
            <w:r>
              <w:rPr>
                <w:noProof/>
              </w:rPr>
              <w:t>desemnarea organismelor responsabile cu coordonarea sistemului de îngrijire pe termen lung, monitorizarea, evaluarea și activitățile de informare.</w:t>
            </w:r>
          </w:p>
          <w:p w14:paraId="32F7C003" w14:textId="77777777" w:rsidR="00A60DDE" w:rsidRDefault="00A60DDE">
            <w:pPr>
              <w:pStyle w:val="Normal0"/>
              <w:spacing w:after="0" w:line="240" w:lineRule="auto"/>
              <w:rPr>
                <w:rFonts w:ascii="Times New Roman" w:hAnsi="Times New Roman"/>
                <w:noProof/>
                <w:color w:val="000000" w:themeColor="text1"/>
                <w:sz w:val="18"/>
              </w:rPr>
            </w:pPr>
          </w:p>
          <w:p w14:paraId="658E1000" w14:textId="4681A823" w:rsidR="00A60DDE" w:rsidRDefault="00095506">
            <w:pPr>
              <w:pStyle w:val="P68B1DB1-Normal020"/>
              <w:spacing w:after="0" w:line="240" w:lineRule="auto"/>
              <w:rPr>
                <w:noProof/>
              </w:rPr>
            </w:pPr>
            <w:r>
              <w:rPr>
                <w:noProof/>
              </w:rPr>
              <w:t xml:space="preserve">Pe lângă modificările aduse cadrului juridic, Polonia ia următoarele măsuri: </w:t>
            </w:r>
          </w:p>
          <w:p w14:paraId="4E884FD8" w14:textId="07E7C2A2" w:rsidR="00A60DDE" w:rsidRDefault="00095506">
            <w:pPr>
              <w:pStyle w:val="P68B1DB1-Normal020"/>
              <w:numPr>
                <w:ilvl w:val="0"/>
                <w:numId w:val="38"/>
              </w:numPr>
              <w:spacing w:after="0" w:line="240" w:lineRule="auto"/>
              <w:rPr>
                <w:noProof/>
              </w:rPr>
            </w:pPr>
            <w:r>
              <w:rPr>
                <w:noProof/>
              </w:rPr>
              <w:t>publică în buletinul public serviciile și prestațiile de îngrijire pe termen lung furnizate în cadrul politicii de sănătate și asistență socială;</w:t>
            </w:r>
          </w:p>
          <w:p w14:paraId="66C15F42" w14:textId="6122888E" w:rsidR="00A60DDE" w:rsidRDefault="00095506">
            <w:pPr>
              <w:pStyle w:val="P68B1DB1-Normal020"/>
              <w:numPr>
                <w:ilvl w:val="0"/>
                <w:numId w:val="38"/>
              </w:numPr>
              <w:spacing w:after="0" w:line="240" w:lineRule="auto"/>
              <w:rPr>
                <w:noProof/>
              </w:rPr>
            </w:pPr>
            <w:r>
              <w:rPr>
                <w:noProof/>
              </w:rPr>
              <w:t>publică analiza cheltuielilor publice pentru a evalua situația finanțelor publice pentru îngrijirea pe termen lung;</w:t>
            </w:r>
          </w:p>
          <w:p w14:paraId="1216B654" w14:textId="4F18DD1F" w:rsidR="00A60DDE" w:rsidRDefault="00095506">
            <w:pPr>
              <w:pStyle w:val="P68B1DB1-Normal020"/>
              <w:numPr>
                <w:ilvl w:val="0"/>
                <w:numId w:val="38"/>
              </w:numPr>
              <w:spacing w:after="0" w:line="240" w:lineRule="auto"/>
              <w:rPr>
                <w:noProof/>
              </w:rPr>
            </w:pPr>
            <w:r>
              <w:rPr>
                <w:noProof/>
              </w:rPr>
              <w:t>publică un document care propune o definiție armonizată a calității îngrijirii pe termen lung în sistemele sociale și de sănătate și un sistem de monitorizare și de colectare a datelor și utilizarea acestuia pentru evaluarea calității îngrijirii pe termen lung.</w:t>
            </w:r>
          </w:p>
        </w:tc>
      </w:tr>
      <w:tr w:rsidR="00A60DDE" w14:paraId="1216B666"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6"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b/>
                <w:bCs/>
                <w:noProof/>
                <w:color w:val="000000"/>
              </w:rPr>
            </w:pPr>
            <w:r>
              <w:rPr>
                <w:noProof/>
              </w:rPr>
              <w:t>A71G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A4.7 Limitarea segmentării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8"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9" w14:textId="04DDA946" w:rsidR="00A60DDE" w:rsidRDefault="00095506">
            <w:pPr>
              <w:pStyle w:val="P68B1DB1-Normal033"/>
              <w:pBdr>
                <w:top w:val="nil"/>
                <w:left w:val="nil"/>
                <w:bottom w:val="nil"/>
                <w:right w:val="nil"/>
                <w:between w:val="nil"/>
              </w:pBdr>
              <w:spacing w:after="0" w:line="240" w:lineRule="auto"/>
              <w:rPr>
                <w:rFonts w:eastAsia="Times New Roman" w:cs="Times New Roman"/>
                <w:noProof/>
                <w:color w:val="000000"/>
              </w:rPr>
            </w:pPr>
            <w:r>
              <w:rPr>
                <w:noProof/>
              </w:rPr>
              <w:t>Reforma Inspecției de Stat a Muncii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legislativ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E"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F"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0" w14:textId="77777777" w:rsidR="00A60DDE" w:rsidRDefault="00095506">
            <w:pPr>
              <w:pStyle w:val="P68B1DB1-Normal26"/>
              <w:pBdr>
                <w:top w:val="nil"/>
                <w:left w:val="nil"/>
                <w:bottom w:val="nil"/>
                <w:right w:val="nil"/>
                <w:between w:val="nil"/>
              </w:pBdr>
              <w:spacing w:after="60" w:line="240" w:lineRule="auto"/>
              <w:rPr>
                <w:noProof/>
              </w:rPr>
            </w:pPr>
            <w:r>
              <w:rPr>
                <w:noProof/>
              </w:rPr>
              <w:t>Intrarea în vigoare a unui act legislativ care prevede următoarele:</w:t>
            </w:r>
          </w:p>
          <w:p w14:paraId="1216B661" w14:textId="77777777" w:rsidR="00A60DDE" w:rsidRDefault="00095506">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împuternicirea Inspecției de Stat a Muncii să emită decizii administrative de conversie a contractelor de drept civil încheiate în condițiile unui cod al muncii cu contracte de muncă;</w:t>
            </w:r>
          </w:p>
          <w:p w14:paraId="1216B662" w14:textId="77777777" w:rsidR="00A60DDE" w:rsidRDefault="00095506">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Permiterea schimbului de date între Inspecția Muncii de Stat, Instituția de Asigurări Sociale (ZUS) și Administrația Națională a Veniturilor (KAS) în scopul inspecției;</w:t>
            </w:r>
          </w:p>
          <w:p w14:paraId="1216B663" w14:textId="77777777" w:rsidR="00A60DDE" w:rsidRDefault="00095506">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introducerea posibilității ca Inspecția de Stat a Muncii să efectueze inspecții la distanță;</w:t>
            </w:r>
          </w:p>
          <w:p w14:paraId="1216B664" w14:textId="77777777" w:rsidR="00A60DDE" w:rsidRDefault="00095506">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introducerea unei obligații pentru Inspecția de Stat a Muncii de a pregăti planuri de acțiune anuale și pe termen lung pentru inspecțiile specifice pe baza unei analize a riscurilor;</w:t>
            </w:r>
          </w:p>
          <w:p w14:paraId="1216B665" w14:textId="46B3954E" w:rsidR="00A60DDE" w:rsidRDefault="00095506">
            <w:pPr>
              <w:pStyle w:val="P68B1DB1-Normal30"/>
              <w:numPr>
                <w:ilvl w:val="0"/>
                <w:numId w:val="7"/>
              </w:numPr>
              <w:pBdr>
                <w:top w:val="nil"/>
                <w:left w:val="nil"/>
                <w:bottom w:val="nil"/>
                <w:right w:val="nil"/>
                <w:between w:val="nil"/>
              </w:pBdr>
              <w:spacing w:after="60" w:line="240" w:lineRule="auto"/>
              <w:ind w:left="357" w:hanging="357"/>
              <w:contextualSpacing/>
              <w:rPr>
                <w:noProof/>
                <w:kern w:val="2"/>
                <w14:ligatures w14:val="standardContextual"/>
              </w:rPr>
            </w:pPr>
            <w:bookmarkStart w:id="5" w:name="_Hlk212214397"/>
            <w:r>
              <w:rPr>
                <w:noProof/>
              </w:rPr>
              <w:t>Majorarea de cel puțin două ori a cuantumului maxim al amenzii pe care Inspecția de Stat a Muncii o poate impune în cadrul procedurilor de notificare a sancțiunilor.</w:t>
            </w:r>
            <w:bookmarkEnd w:id="5"/>
          </w:p>
        </w:tc>
      </w:tr>
      <w:tr w:rsidR="00A60DDE" w14:paraId="1216B67C"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7" w14:textId="77777777" w:rsidR="00A60DDE" w:rsidRDefault="00095506">
            <w:pPr>
              <w:pStyle w:val="P68B1DB1-Normal018"/>
              <w:spacing w:line="240" w:lineRule="auto"/>
              <w:jc w:val="center"/>
              <w:rPr>
                <w:noProof/>
              </w:rPr>
            </w:pPr>
            <w:r>
              <w:rPr>
                <w:noProof/>
              </w:rPr>
              <w:t>A72G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8" w14:textId="77777777" w:rsidR="00A60DDE" w:rsidRDefault="00095506">
            <w:pPr>
              <w:pStyle w:val="P68B1DB1-Normal033"/>
              <w:spacing w:line="240" w:lineRule="auto"/>
              <w:rPr>
                <w:noProof/>
              </w:rPr>
            </w:pPr>
            <w:r>
              <w:rPr>
                <w:noProof/>
              </w:rPr>
              <w:t>A4.7 Limitarea segmentării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9" w14:textId="77777777" w:rsidR="00A60DDE" w:rsidRDefault="00095506">
            <w:pPr>
              <w:pStyle w:val="P68B1DB1-Normal020"/>
              <w:spacing w:line="240" w:lineRule="auto"/>
              <w:rPr>
                <w:noProof/>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A" w14:textId="77777777" w:rsidR="00A60DDE" w:rsidRDefault="00095506">
            <w:pPr>
              <w:pStyle w:val="P68B1DB1-Normal029"/>
              <w:spacing w:line="240" w:lineRule="auto"/>
              <w:rPr>
                <w:noProof/>
              </w:rPr>
            </w:pPr>
            <w:r>
              <w:rPr>
                <w:noProof/>
              </w:rPr>
              <w:t>Măsuri de consolidare a capacităților pentru Inspecția de Stat a Muncii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B" w14:textId="77777777" w:rsidR="00A60DDE" w:rsidRDefault="00095506">
            <w:pPr>
              <w:pStyle w:val="P68B1DB1-Normal020"/>
              <w:spacing w:line="240" w:lineRule="auto"/>
              <w:rPr>
                <w:noProof/>
              </w:rPr>
            </w:pPr>
            <w:r>
              <w:rPr>
                <w:noProof/>
              </w:rPr>
              <w:t>Adoptarea setului de acțiuni menite să sporească capacitatea Inspecției de Stat a Muncii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C" w14:textId="77777777" w:rsidR="00A60DDE" w:rsidRDefault="00A60DDE">
            <w:pPr>
              <w:pStyle w:val="Normal0"/>
              <w:spacing w:line="240" w:lineRule="auto"/>
              <w:jc w:val="center"/>
              <w:rPr>
                <w:rFonts w:ascii="Times New Roman" w:hAnsi="Times New Roman"/>
                <w:noProof/>
                <w:color w:val="000000" w:themeColor="text1"/>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D" w14:textId="77777777" w:rsidR="00A60DDE" w:rsidRDefault="00A60DDE">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E" w14:textId="77777777" w:rsidR="00A60DDE" w:rsidRDefault="00A60DDE">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F" w14:textId="77777777" w:rsidR="00A60DDE" w:rsidRDefault="00095506">
            <w:pPr>
              <w:pStyle w:val="P68B1DB1-Normal020"/>
              <w:spacing w:line="240" w:lineRule="auto"/>
              <w:jc w:val="center"/>
              <w:rPr>
                <w:noProof/>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0" w14:textId="77777777" w:rsidR="00A60DDE" w:rsidRDefault="00095506">
            <w:pPr>
              <w:pStyle w:val="P68B1DB1-Normal020"/>
              <w:spacing w:line="240" w:lineRule="auto"/>
              <w:jc w:val="center"/>
              <w:rPr>
                <w:noProof/>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1" w14:textId="77777777" w:rsidR="00A60DDE" w:rsidRDefault="00095506">
            <w:pPr>
              <w:pStyle w:val="P68B1DB1-Normal30"/>
              <w:pBdr>
                <w:top w:val="nil"/>
                <w:left w:val="nil"/>
                <w:bottom w:val="nil"/>
                <w:right w:val="nil"/>
                <w:between w:val="nil"/>
              </w:pBdr>
              <w:spacing w:after="0" w:line="240" w:lineRule="auto"/>
              <w:rPr>
                <w:noProof/>
                <w:kern w:val="2"/>
                <w14:ligatures w14:val="standardContextual"/>
              </w:rPr>
            </w:pPr>
            <w:r>
              <w:rPr>
                <w:noProof/>
              </w:rPr>
              <w:t>Se adoptă un set de acțiuni pentru creșterea capacității Inspecției de Stat a Muncii, inclusiv:</w:t>
            </w:r>
          </w:p>
          <w:p w14:paraId="1216B672" w14:textId="77777777" w:rsidR="00A60DDE" w:rsidRDefault="00095506">
            <w:pPr>
              <w:pStyle w:val="P68B1DB1-Normal30"/>
              <w:numPr>
                <w:ilvl w:val="0"/>
                <w:numId w:val="8"/>
              </w:numPr>
              <w:pBdr>
                <w:top w:val="nil"/>
                <w:left w:val="nil"/>
                <w:bottom w:val="nil"/>
                <w:right w:val="nil"/>
                <w:between w:val="nil"/>
              </w:pBdr>
              <w:spacing w:after="0" w:line="240" w:lineRule="auto"/>
              <w:ind w:left="431" w:hanging="425"/>
              <w:contextualSpacing/>
              <w:rPr>
                <w:noProof/>
                <w:kern w:val="2"/>
                <w14:ligatures w14:val="standardContextual"/>
              </w:rPr>
            </w:pPr>
            <w:r>
              <w:rPr>
                <w:noProof/>
              </w:rPr>
              <w:t>Adoptarea strategiei multianuale privind consolidarea capacităților și condițiile de muncă, care prevede:</w:t>
            </w:r>
          </w:p>
          <w:p w14:paraId="1216B673" w14:textId="77777777" w:rsidR="00A60DDE" w:rsidRDefault="00095506">
            <w:pPr>
              <w:pStyle w:val="P68B1DB1-Normal34"/>
              <w:numPr>
                <w:ilvl w:val="0"/>
                <w:numId w:val="9"/>
              </w:numPr>
              <w:pBdr>
                <w:top w:val="nil"/>
                <w:left w:val="nil"/>
                <w:bottom w:val="nil"/>
                <w:right w:val="nil"/>
                <w:between w:val="nil"/>
              </w:pBdr>
              <w:spacing w:after="60" w:line="240" w:lineRule="auto"/>
              <w:rPr>
                <w:noProof/>
              </w:rPr>
            </w:pPr>
            <w:r>
              <w:rPr>
                <w:noProof/>
              </w:rPr>
              <w:t>abordarea provocării pe care o reprezintă posturile vacante neocupate;</w:t>
            </w:r>
          </w:p>
          <w:p w14:paraId="1216B674" w14:textId="77777777" w:rsidR="00A60DDE" w:rsidRDefault="00095506">
            <w:pPr>
              <w:pStyle w:val="P68B1DB1-Normal34"/>
              <w:numPr>
                <w:ilvl w:val="0"/>
                <w:numId w:val="9"/>
              </w:numPr>
              <w:pBdr>
                <w:top w:val="nil"/>
                <w:left w:val="nil"/>
                <w:bottom w:val="nil"/>
                <w:right w:val="nil"/>
                <w:between w:val="nil"/>
              </w:pBdr>
              <w:spacing w:after="60" w:line="240" w:lineRule="auto"/>
              <w:rPr>
                <w:noProof/>
              </w:rPr>
            </w:pPr>
            <w:r>
              <w:rPr>
                <w:noProof/>
              </w:rPr>
              <w:t>introducerea unor instrumente informatice care să fie utilizate pentru inspecțiile la distanță;</w:t>
            </w:r>
          </w:p>
          <w:p w14:paraId="1216B675" w14:textId="77777777" w:rsidR="00A60DDE" w:rsidRDefault="00095506">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planul de formare a personalului cu privire la noile legi, standarde de operare și instrumente informatice;</w:t>
            </w:r>
          </w:p>
          <w:p w14:paraId="1216B676" w14:textId="77777777" w:rsidR="00A60DDE" w:rsidRDefault="00095506">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 xml:space="preserve">metode de gestionare și instrumente de evaluare a riscurilor pentru ca inspecțiile să fie direcționate. </w:t>
            </w:r>
          </w:p>
          <w:p w14:paraId="1216B677" w14:textId="77777777" w:rsidR="00A60DDE" w:rsidRDefault="00095506">
            <w:pPr>
              <w:pStyle w:val="P68B1DB1-Normal26"/>
              <w:numPr>
                <w:ilvl w:val="0"/>
                <w:numId w:val="8"/>
              </w:numPr>
              <w:pBdr>
                <w:top w:val="nil"/>
                <w:left w:val="nil"/>
                <w:bottom w:val="nil"/>
                <w:right w:val="nil"/>
                <w:between w:val="nil"/>
              </w:pBdr>
              <w:autoSpaceDE w:val="0"/>
              <w:autoSpaceDN w:val="0"/>
              <w:adjustRightInd w:val="0"/>
              <w:spacing w:after="60" w:line="240" w:lineRule="auto"/>
              <w:ind w:left="431" w:hanging="425"/>
              <w:rPr>
                <w:rFonts w:cs="Times New Roman"/>
                <w:noProof/>
                <w:color w:val="000000"/>
              </w:rPr>
            </w:pPr>
            <w:r>
              <w:rPr>
                <w:noProof/>
              </w:rPr>
              <w:t>adoptarea bugetului Inspecției de Stat a Muncii pentru 2026, cu o creștere globală de cel puțin 10 % în comparație cu 2025;</w:t>
            </w:r>
          </w:p>
          <w:p w14:paraId="1216B678" w14:textId="77777777" w:rsidR="00A60DDE" w:rsidRDefault="00095506">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Înființarea unui grup operativ interinstituțional de evaluare a riscurilor, cu participarea reprezentanților Inspecției de Stat a Muncii, ai Instituției de Asigurări Sociale și ai Administrației Naționale a Veniturilor;</w:t>
            </w:r>
          </w:p>
          <w:p w14:paraId="1216B679" w14:textId="7273B7FC" w:rsidR="00A60DDE" w:rsidRDefault="00095506">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Lansarea unui canal de schimb electronic de date între Inspecția de Stat a Muncii (PIP), Instituția de Asigurări Sociale (ZUS) și Administrația Națională a Veniturilor (KAS);</w:t>
            </w:r>
          </w:p>
          <w:p w14:paraId="1216B67A" w14:textId="77777777" w:rsidR="00A60DDE" w:rsidRDefault="00095506">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Efectuarea unui audit al sistemelor de securitate informatică în cadrul Inspecției de Stat a Muncii; și</w:t>
            </w:r>
          </w:p>
          <w:p w14:paraId="1216B67B" w14:textId="77777777" w:rsidR="00A60DDE" w:rsidRDefault="00095506">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Adoptarea ordinului inspectorului-șef de muncă privind metodele și standardele de gestionare a inspecțiilor la locul de muncă.</w:t>
            </w:r>
          </w:p>
        </w:tc>
      </w:tr>
      <w:tr w:rsidR="00A60DDE" w14:paraId="1216B688"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D" w14:textId="77777777" w:rsidR="00A60DDE" w:rsidRDefault="00095506">
            <w:pPr>
              <w:pStyle w:val="P68B1DB1-Normal018"/>
              <w:pBdr>
                <w:top w:val="nil"/>
                <w:left w:val="nil"/>
                <w:bottom w:val="nil"/>
                <w:right w:val="nil"/>
                <w:between w:val="nil"/>
              </w:pBdr>
              <w:spacing w:after="0" w:line="240" w:lineRule="auto"/>
              <w:jc w:val="center"/>
              <w:rPr>
                <w:noProof/>
              </w:rPr>
            </w:pPr>
            <w:r>
              <w:rPr>
                <w:noProof/>
              </w:rPr>
              <w:t>A73G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E"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A5.1 Contribuția la compartimentul pentru statele membre în cadrul programului InvestEU</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F"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0" w14:textId="77777777" w:rsidR="00A60DDE" w:rsidRDefault="00095506">
            <w:pPr>
              <w:pStyle w:val="P68B1DB1-Normal029"/>
              <w:pBdr>
                <w:top w:val="nil"/>
                <w:left w:val="nil"/>
                <w:bottom w:val="nil"/>
                <w:right w:val="nil"/>
                <w:between w:val="nil"/>
              </w:pBdr>
              <w:spacing w:after="0" w:line="240" w:lineRule="auto"/>
              <w:rPr>
                <w:noProof/>
              </w:rPr>
            </w:pPr>
            <w:r>
              <w:rPr>
                <w:noProof/>
              </w:rPr>
              <w:t>Semnarea Acordului de contribuție dintre Guvernul Poloniei și Comisia Europeană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1" w14:textId="77777777" w:rsidR="00A60DDE" w:rsidRDefault="00095506">
            <w:pPr>
              <w:pStyle w:val="P68B1DB1-Normal020"/>
              <w:pBdr>
                <w:top w:val="nil"/>
                <w:left w:val="nil"/>
                <w:bottom w:val="nil"/>
                <w:right w:val="nil"/>
                <w:between w:val="nil"/>
              </w:pBdr>
              <w:spacing w:after="0" w:line="240" w:lineRule="auto"/>
              <w:rPr>
                <w:noProof/>
              </w:rPr>
            </w:pPr>
            <w:r>
              <w:rPr>
                <w:noProof/>
              </w:rPr>
              <w:t>Semnarea acordului de contribuție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5"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T4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6"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7"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color w:val="000000" w:themeColor="text1"/>
              </w:rPr>
              <w:t xml:space="preserve">Semnarea acordului de contribuție în cadrul InvestEU între guvernul Poloniei și Comisia Europeană </w:t>
            </w:r>
            <w:r>
              <w:rPr>
                <w:noProof/>
              </w:rPr>
              <w:t>pentru suma de 339</w:t>
            </w:r>
            <w:r>
              <w:rPr>
                <w:noProof/>
                <w:color w:val="000000" w:themeColor="text1"/>
              </w:rPr>
              <w:t> </w:t>
            </w:r>
            <w:r>
              <w:rPr>
                <w:noProof/>
              </w:rPr>
              <w:t>305</w:t>
            </w:r>
            <w:r>
              <w:rPr>
                <w:noProof/>
                <w:color w:val="000000" w:themeColor="text1"/>
              </w:rPr>
              <w:t> </w:t>
            </w:r>
            <w:r>
              <w:rPr>
                <w:noProof/>
              </w:rPr>
              <w:t>938 EUR.</w:t>
            </w:r>
          </w:p>
        </w:tc>
      </w:tr>
      <w:tr w:rsidR="00A60DDE" w14:paraId="1216B694"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9" w14:textId="77777777" w:rsidR="00A60DDE" w:rsidRDefault="00095506">
            <w:pPr>
              <w:pStyle w:val="P68B1DB1-Normal018"/>
              <w:pBdr>
                <w:top w:val="nil"/>
                <w:left w:val="nil"/>
                <w:bottom w:val="nil"/>
                <w:right w:val="nil"/>
                <w:between w:val="nil"/>
              </w:pBdr>
              <w:spacing w:after="0" w:line="240" w:lineRule="auto"/>
              <w:jc w:val="center"/>
              <w:rPr>
                <w:noProof/>
              </w:rPr>
            </w:pPr>
            <w:r>
              <w:rPr>
                <w:noProof/>
              </w:rPr>
              <w:t>A74G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A" w14:textId="77777777" w:rsidR="00A60DDE" w:rsidRDefault="00095506">
            <w:pPr>
              <w:pStyle w:val="P68B1DB1-Normal020"/>
              <w:spacing w:line="240" w:lineRule="auto"/>
              <w:rPr>
                <w:noProof/>
              </w:rPr>
            </w:pPr>
            <w:r>
              <w:rPr>
                <w:noProof/>
              </w:rPr>
              <w:t>A5.1 Contribuția la compartimentul pentru statele membre în cadrul programului InvestEU</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B" w14:textId="77777777" w:rsidR="00A60DDE" w:rsidRDefault="00095506">
            <w:pPr>
              <w:pStyle w:val="P68B1DB1-Normal020"/>
              <w:pBdr>
                <w:top w:val="nil"/>
                <w:left w:val="nil"/>
                <w:bottom w:val="nil"/>
                <w:right w:val="nil"/>
                <w:between w:val="nil"/>
              </w:pBdr>
              <w:spacing w:after="0" w:line="240" w:lineRule="auto"/>
              <w:rPr>
                <w:noProof/>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C" w14:textId="77777777" w:rsidR="00A60DDE" w:rsidRDefault="00095506">
            <w:pPr>
              <w:pStyle w:val="P68B1DB1-Normal029"/>
              <w:pBdr>
                <w:top w:val="nil"/>
                <w:left w:val="nil"/>
                <w:bottom w:val="nil"/>
                <w:right w:val="nil"/>
                <w:between w:val="nil"/>
              </w:pBdr>
              <w:spacing w:after="0" w:line="240" w:lineRule="auto"/>
              <w:rPr>
                <w:noProof/>
              </w:rPr>
            </w:pPr>
            <w:r>
              <w:rPr>
                <w:noProof/>
              </w:rPr>
              <w:t>Operațiuni de finanțare sau de investiții aprobate de Comitetul pentru investiții al InvestEU</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D"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E"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Procentul (%)</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F"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0"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100%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1"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T3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2"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3" w14:textId="77777777" w:rsidR="00A60DDE" w:rsidRDefault="00095506">
            <w:pPr>
              <w:pStyle w:val="P68B1DB1-Normal020"/>
              <w:pBdr>
                <w:top w:val="nil"/>
                <w:left w:val="nil"/>
                <w:bottom w:val="nil"/>
                <w:right w:val="nil"/>
                <w:between w:val="nil"/>
              </w:pBdr>
              <w:spacing w:after="0" w:line="240" w:lineRule="auto"/>
              <w:rPr>
                <w:noProof/>
              </w:rPr>
            </w:pPr>
            <w:r>
              <w:rPr>
                <w:noProof/>
              </w:rPr>
              <w:t>Operațiunile de finanțare sau de investiții care se ridică la 100 % din cuantumul total al resurselor alocate instrumentului trebuie să fi fost aprobate de Comitetul pentru investiții al InvestEU.</w:t>
            </w:r>
          </w:p>
        </w:tc>
      </w:tr>
      <w:tr w:rsidR="00A60DDE" w14:paraId="1216B6A2" w14:textId="77777777">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5" w14:textId="77777777" w:rsidR="00A60DDE" w:rsidRDefault="00095506">
            <w:pPr>
              <w:pStyle w:val="P68B1DB1-Normal018"/>
              <w:pBdr>
                <w:top w:val="nil"/>
                <w:left w:val="nil"/>
                <w:bottom w:val="nil"/>
                <w:right w:val="nil"/>
                <w:between w:val="nil"/>
              </w:pBdr>
              <w:spacing w:after="0" w:line="240" w:lineRule="auto"/>
              <w:jc w:val="center"/>
              <w:rPr>
                <w:noProof/>
              </w:rPr>
            </w:pPr>
            <w:r>
              <w:rPr>
                <w:noProof/>
              </w:rPr>
              <w:t>A75G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6" w14:textId="77777777" w:rsidR="00A60DDE" w:rsidRDefault="00095506">
            <w:pPr>
              <w:pStyle w:val="P68B1DB1-Normal020"/>
              <w:spacing w:line="240" w:lineRule="auto"/>
              <w:rPr>
                <w:noProof/>
              </w:rPr>
            </w:pPr>
            <w:r>
              <w:rPr>
                <w:noProof/>
              </w:rPr>
              <w:t>A6.1 Contribuția voluntară la Programul UE privind conectivitatea securizată (IRIS</w:t>
            </w:r>
            <w:r>
              <w:rPr>
                <w:noProof/>
                <w:vertAlign w:val="superscript"/>
              </w:rPr>
              <w:t xml:space="preserve"> 2</w:t>
            </w:r>
            <w:r>
              <w:rPr>
                <w:noProof/>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7" w14:textId="77777777" w:rsidR="00A60DDE" w:rsidRDefault="00095506">
            <w:pPr>
              <w:pStyle w:val="P68B1DB1-Normal020"/>
              <w:pBdr>
                <w:top w:val="nil"/>
                <w:left w:val="nil"/>
                <w:bottom w:val="nil"/>
                <w:right w:val="nil"/>
                <w:between w:val="nil"/>
              </w:pBdr>
              <w:spacing w:after="0" w:line="240" w:lineRule="auto"/>
              <w:rPr>
                <w:noProof/>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8" w14:textId="77777777" w:rsidR="00A60DDE" w:rsidRDefault="00095506">
            <w:pPr>
              <w:pStyle w:val="P68B1DB1-Normal035"/>
              <w:pBdr>
                <w:top w:val="nil"/>
                <w:left w:val="nil"/>
                <w:bottom w:val="nil"/>
                <w:right w:val="nil"/>
                <w:between w:val="nil"/>
              </w:pBd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Semnarea acordului de contribuție între guvernul Poloniei și Comisia Europeană și atribuirea unei contribuții voluntare la Programul UE privind conectivitatea securizată (IRIS</w:t>
            </w:r>
            <w:r>
              <w:rPr>
                <w:rFonts w:ascii="Times New Roman" w:hAnsi="Times New Roman"/>
                <w:noProof/>
                <w:vertAlign w:val="superscript"/>
              </w:rPr>
              <w:t xml:space="preserve"> 2</w:t>
            </w:r>
            <w:r>
              <w:rPr>
                <w:rFonts w:ascii="Times New Roman" w:hAnsi="Times New Roman"/>
                <w:noProof/>
              </w:rPr>
              <w: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9" w14:textId="77777777" w:rsidR="00A60DDE" w:rsidRDefault="00095506">
            <w:pPr>
              <w:pStyle w:val="P68B1DB1-Normal020"/>
              <w:pBdr>
                <w:top w:val="nil"/>
                <w:left w:val="nil"/>
                <w:bottom w:val="nil"/>
                <w:right w:val="nil"/>
                <w:between w:val="nil"/>
              </w:pBdr>
              <w:spacing w:after="0" w:line="240" w:lineRule="auto"/>
              <w:rPr>
                <w:noProof/>
              </w:rPr>
            </w:pPr>
            <w:r>
              <w:rPr>
                <w:noProof/>
              </w:rPr>
              <w:t>Semnarea acordului de contribuție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D"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E"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F" w14:textId="77777777" w:rsidR="00A60DDE" w:rsidRDefault="00095506">
            <w:pPr>
              <w:pStyle w:val="P68B1DB1-Normal020"/>
              <w:pBdr>
                <w:top w:val="nil"/>
                <w:left w:val="nil"/>
                <w:bottom w:val="nil"/>
                <w:right w:val="nil"/>
                <w:between w:val="nil"/>
              </w:pBdr>
              <w:spacing w:after="0" w:line="240" w:lineRule="auto"/>
              <w:rPr>
                <w:noProof/>
              </w:rPr>
            </w:pPr>
            <w:r>
              <w:rPr>
                <w:noProof/>
              </w:rPr>
              <w:t>Semnarea acordului de contribuție dintre Polonia și Comisia Europeană. Respectivul acord de contribuție include activitățile care ar fi finanțate în cadrul contribuției voluntare.</w:t>
            </w:r>
          </w:p>
          <w:p w14:paraId="1216B6A0" w14:textId="5B86C6B1"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6A1" w14:textId="426972DD" w:rsidR="00A60DDE" w:rsidRDefault="00095506">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Polonia transferă suma de 656 326 691 EUR către Programul UE privind conectivitatea securizată (IRIS</w:t>
            </w:r>
            <w:r>
              <w:rPr>
                <w:rFonts w:ascii="Times New Roman" w:hAnsi="Times New Roman"/>
                <w:noProof/>
                <w:color w:val="000000" w:themeColor="text1"/>
                <w:sz w:val="18"/>
                <w:szCs w:val="18"/>
                <w:vertAlign w:val="superscript"/>
              </w:rPr>
              <w:t xml:space="preserve"> 2).</w:t>
            </w:r>
          </w:p>
        </w:tc>
      </w:tr>
    </w:tbl>
    <w:p w14:paraId="1216B6A4"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645236E8"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sectPr w:rsidR="00A60DDE" w:rsidSect="006C5441">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299"/>
        </w:sectPr>
      </w:pPr>
    </w:p>
    <w:p w14:paraId="1216B6A7"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A.3. </w:t>
      </w:r>
      <w:r>
        <w:rPr>
          <w:noProof/>
        </w:rPr>
        <w:t xml:space="preserve"> </w:t>
      </w:r>
      <w:r>
        <w:rPr>
          <w:rFonts w:ascii="Times New Roman" w:hAnsi="Times New Roman"/>
          <w:b/>
          <w:noProof/>
          <w:color w:val="000000" w:themeColor="text1"/>
          <w:sz w:val="24"/>
          <w:szCs w:val="24"/>
        </w:rPr>
        <w:t xml:space="preserve">Descrierea reformelor și a investițiilor pentru împrumut </w:t>
      </w:r>
    </w:p>
    <w:p w14:paraId="1216B6A8"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B6A9" w14:textId="77777777" w:rsidR="00A60DDE" w:rsidRDefault="00095506">
      <w:pPr>
        <w:pStyle w:val="P68B1DB1-Normal036"/>
        <w:spacing w:before="120" w:after="120" w:line="240" w:lineRule="auto"/>
        <w:jc w:val="both"/>
        <w:rPr>
          <w:rFonts w:eastAsia="Times New Roman" w:cs="Times New Roman"/>
          <w:bCs/>
          <w:noProof/>
        </w:rPr>
      </w:pPr>
      <w:r>
        <w:rPr>
          <w:noProof/>
        </w:rPr>
        <w:t>A2.5 Consolidarea potențialului sectorului cultural și al industriilor culturale pentru dezvoltarea economică</w:t>
      </w:r>
    </w:p>
    <w:p w14:paraId="1216B6AA" w14:textId="77777777" w:rsidR="00A60DDE" w:rsidRDefault="00095506">
      <w:pPr>
        <w:pStyle w:val="P68B1DB1-Normal037"/>
        <w:spacing w:before="120" w:after="120" w:line="240" w:lineRule="auto"/>
        <w:jc w:val="both"/>
        <w:rPr>
          <w:rFonts w:eastAsia="Times New Roman" w:cs="Times New Roman"/>
          <w:noProof/>
        </w:rPr>
      </w:pPr>
      <w:r>
        <w:rPr>
          <w:noProof/>
        </w:rPr>
        <w:t>Obiectivul general al acestei reforme este de a concepe și de a crea un cadru pentru sprijinirea sectoarelor culturale și creative (SCC) în urma pandemiei de COVID-19. Reforma constă în adoptarea unui document de politică care să abordeze următoarele aspecte: (i) să identifice principalele provocări pe termen mediu și lung în cadrul SSC; (ii) să asigure respectarea principiilor orizontale ale UE, inclusiv egalitatea de gen și nediscriminarea; (iii) să identifice potențialul instrumentelor și platformelor verzi și digitale de a aborda aceste provocări; (iv) să dezvolte concepte pentru cooperarea și transferul de cunoștințe și competențe între SCC și cu sectoarele științei, educației, tehnologiei și întreprinderilor, cu accent pe principiile generale ale UE, inclusiv egalitatea de gen și nediscriminarea (v) să identifice opțiunile preferate pentru a oferi sprijin public pentru acțiunile din SCC.</w:t>
      </w:r>
    </w:p>
    <w:p w14:paraId="1216B6AB" w14:textId="77777777" w:rsidR="00A60DDE" w:rsidRDefault="00095506">
      <w:pPr>
        <w:pStyle w:val="P68B1DB1-Normal38"/>
        <w:spacing w:before="120" w:after="120" w:line="240" w:lineRule="auto"/>
        <w:jc w:val="both"/>
        <w:rPr>
          <w:rFonts w:eastAsia="Times New Roman" w:cs="Times New Roman"/>
          <w:noProof/>
        </w:rPr>
      </w:pPr>
      <w:r>
        <w:rPr>
          <w:noProof/>
        </w:rPr>
        <w:t>Punerea în aplicare a reformei se finalizează până la 31 decembrie 2022.</w:t>
      </w:r>
    </w:p>
    <w:p w14:paraId="1216B6AC" w14:textId="77777777" w:rsidR="00A60DDE" w:rsidRDefault="00A60DDE">
      <w:pPr>
        <w:pStyle w:val="Normal0"/>
        <w:spacing w:before="120" w:after="120" w:line="240" w:lineRule="auto"/>
        <w:jc w:val="both"/>
        <w:rPr>
          <w:rFonts w:ascii="Times New Roman" w:eastAsia="Times New Roman" w:hAnsi="Times New Roman" w:cs="Times New Roman"/>
          <w:noProof/>
          <w:color w:val="000000" w:themeColor="text1"/>
          <w:sz w:val="24"/>
          <w:szCs w:val="24"/>
        </w:rPr>
      </w:pPr>
    </w:p>
    <w:p w14:paraId="1216B6AD" w14:textId="77777777" w:rsidR="00A60DDE" w:rsidRDefault="00095506">
      <w:pPr>
        <w:pStyle w:val="P68B1DB1-Normal39"/>
        <w:jc w:val="both"/>
        <w:rPr>
          <w:noProof/>
        </w:rPr>
      </w:pPr>
      <w:r>
        <w:rPr>
          <w:noProof/>
        </w:rPr>
        <w:t xml:space="preserve">A2.5.1 </w:t>
      </w:r>
      <w:bookmarkStart w:id="6" w:name="_Hlk209001986"/>
      <w:r>
        <w:rPr>
          <w:noProof/>
        </w:rPr>
        <w:t>Un program de sprijinire a activităților entităților din industriile culturale și creative</w:t>
      </w:r>
    </w:p>
    <w:bookmarkEnd w:id="6"/>
    <w:p w14:paraId="1216B6AE" w14:textId="77777777" w:rsidR="00A60DDE" w:rsidRDefault="00095506">
      <w:pPr>
        <w:pStyle w:val="P68B1DB1-Normal38"/>
        <w:spacing w:after="120" w:line="240" w:lineRule="auto"/>
        <w:jc w:val="both"/>
        <w:rPr>
          <w:rFonts w:eastAsia="Times New Roman" w:cs="Times New Roman"/>
          <w:noProof/>
          <w:color w:val="000000"/>
        </w:rPr>
      </w:pPr>
      <w:r>
        <w:rPr>
          <w:noProof/>
        </w:rPr>
        <w:t>Obiectivul acestei investiții este de a preveni efectele negative pe termen lung ale pandemiei de COVID-19 și de a încuraja tranziția verde și digitală în sectoarele culturale și creative (SCC). Această măsură constă în furnizarea: (i) un program de granturi pentru proiecte în sectorul cultural și creativ (SCC) și (ii) un program de burse pentru persoanele fizice din SCC.</w:t>
      </w:r>
    </w:p>
    <w:p w14:paraId="1216B6AF" w14:textId="77777777" w:rsidR="00A60DDE" w:rsidRDefault="00A60DDE">
      <w:pPr>
        <w:jc w:val="both"/>
        <w:rPr>
          <w:rFonts w:ascii="Times New Roman" w:hAnsi="Times New Roman"/>
          <w:noProof/>
          <w:color w:val="000000" w:themeColor="text1"/>
          <w:sz w:val="24"/>
          <w:szCs w:val="24"/>
        </w:rPr>
      </w:pPr>
    </w:p>
    <w:p w14:paraId="1216B6B0"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A2.6 Reforma sistemului național de monitorizare a serviciilor, produselor, instrumentelor analitice, serviciilor și infrastructurii aferente care utilizează date satelitare</w:t>
      </w:r>
    </w:p>
    <w:p w14:paraId="1216B6B1" w14:textId="17279828" w:rsidR="00A60DDE" w:rsidRDefault="00095506">
      <w:pPr>
        <w:pStyle w:val="P68B1DB1-Normal037"/>
        <w:pBdr>
          <w:top w:val="nil"/>
          <w:left w:val="nil"/>
          <w:bottom w:val="nil"/>
          <w:right w:val="nil"/>
          <w:between w:val="nil"/>
        </w:pBdr>
        <w:spacing w:before="120" w:after="120" w:line="240" w:lineRule="auto"/>
        <w:jc w:val="both"/>
        <w:rPr>
          <w:noProof/>
        </w:rPr>
      </w:pPr>
      <w:r>
        <w:rPr>
          <w:noProof/>
        </w:rPr>
        <w:t>Obiectivul reformei este de a facilita utilizarea datelor satelitare.</w:t>
      </w:r>
    </w:p>
    <w:p w14:paraId="1216B6B2" w14:textId="650501AF"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Această măsură constă în adoptarea unei legi privind activitățile spațiale.</w:t>
      </w:r>
    </w:p>
    <w:p w14:paraId="1216B6B3"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6B4"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A2.6.1 Investiții în Sistemul național de informații prin satelit (NSIS) și în sateliți</w:t>
      </w:r>
    </w:p>
    <w:p w14:paraId="1216B6B5"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Obiectivul acestei investiții este de a facilita utilizarea observării Pământului prin satelit în Polonia și de a asigura producerea și furnizarea de informații prelucrate privind observarea Pământului (OE).</w:t>
      </w:r>
    </w:p>
    <w:p w14:paraId="1216B6B6" w14:textId="77777777"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Investiția constă în platforma informatică a Sistemului Național de Informații prin Satelit (NSIS) pentru servicii de monitorizare care utilizează observarea Pământului prin satelit și construirea a patru sateliți.</w:t>
      </w:r>
    </w:p>
    <w:p w14:paraId="1216B6B7"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6B8" w14:textId="7A96AB89" w:rsidR="00A60DDE" w:rsidRDefault="00095506">
      <w:pPr>
        <w:pStyle w:val="P68B1DB1-Normal40"/>
        <w:spacing w:before="120" w:after="160" w:line="257" w:lineRule="auto"/>
        <w:rPr>
          <w:noProof/>
        </w:rPr>
      </w:pPr>
      <w:r>
        <w:rPr>
          <w:noProof/>
        </w:rPr>
        <w:t>A2.7.1 Fondul pentru securitate și apărare</w:t>
      </w:r>
    </w:p>
    <w:p w14:paraId="1216B6B9" w14:textId="0C1E7789" w:rsidR="00A60DDE" w:rsidRDefault="00095506">
      <w:pPr>
        <w:pStyle w:val="P68B1DB1-Normal41"/>
        <w:spacing w:before="120" w:after="120" w:line="240" w:lineRule="auto"/>
        <w:jc w:val="both"/>
        <w:rPr>
          <w:noProof/>
        </w:rPr>
      </w:pPr>
      <w:r>
        <w:rPr>
          <w:noProof/>
        </w:rPr>
        <w:t>Această măsură vizează consolidarea rezilienței economiei poloneze prin ajustarea structurală a nivelului sprijinului public disponibil pentru a remedia disfuncționalitățile și ineficiențele pieței în sectoarele securității și apărării ale economiei.</w:t>
      </w:r>
    </w:p>
    <w:p w14:paraId="1216B6BA" w14:textId="2FF05DB7" w:rsidR="00A60DDE" w:rsidRDefault="00095506">
      <w:pPr>
        <w:pStyle w:val="P68B1DB1-Normal41"/>
        <w:spacing w:before="120" w:after="120" w:line="240" w:lineRule="auto"/>
        <w:jc w:val="both"/>
        <w:rPr>
          <w:noProof/>
        </w:rPr>
      </w:pPr>
      <w:r>
        <w:rPr>
          <w:noProof/>
        </w:rPr>
        <w:t xml:space="preserve">Măsura constă într-o injecție de capital în valoare de 5 471 689 564 EUR într-o întreprindere („fondul”) pentru a finanța investiții în domeniul apărării și securității, astfel cum se subliniază mai jos. </w:t>
      </w:r>
    </w:p>
    <w:p w14:paraId="1216B6BB" w14:textId="77777777" w:rsidR="00A60DDE" w:rsidRDefault="00095506">
      <w:pPr>
        <w:pStyle w:val="P68B1DB1-Normal41"/>
        <w:spacing w:before="120" w:after="120" w:line="240" w:lineRule="auto"/>
        <w:jc w:val="both"/>
        <w:rPr>
          <w:noProof/>
        </w:rPr>
      </w:pPr>
      <w:r>
        <w:rPr>
          <w:noProof/>
        </w:rPr>
        <w:t>Banca Gospodarstwa Krajowego (BGK) este abilitată prin lege să înființeze și să supravegheze Fondul. Legea include următoarele elemente:</w:t>
      </w:r>
    </w:p>
    <w:p w14:paraId="1216B6BC" w14:textId="68382F5C" w:rsidR="00A60DDE" w:rsidRDefault="00095506">
      <w:pPr>
        <w:pStyle w:val="P68B1DB1-ListParagraph42"/>
        <w:numPr>
          <w:ilvl w:val="0"/>
          <w:numId w:val="10"/>
        </w:numPr>
        <w:spacing w:before="120" w:after="120" w:line="240" w:lineRule="auto"/>
        <w:ind w:left="425" w:hanging="357"/>
        <w:jc w:val="both"/>
        <w:rPr>
          <w:noProof/>
        </w:rPr>
      </w:pPr>
      <w:r>
        <w:rPr>
          <w:noProof/>
        </w:rPr>
        <w:t xml:space="preserve">O definiție a obiectivelor fondului și a domeniilor de investiții eligibile pe care fondul le poate sprijini: (i) dezvoltarea clădirilor de protecție și a infrastructurii de protecție civilă, (ii) construirea și modernizarea infrastructurii cu dublă utilizare, (iii) investiții în securitatea cibernetică și (iv) modernizarea întreprinderilor, inclusiv sprijin pentru </w:t>
      </w:r>
      <w:r w:rsidR="005631E2">
        <w:rPr>
          <w:noProof/>
        </w:rPr>
        <w:t>C&amp;D</w:t>
      </w:r>
      <w:r>
        <w:rPr>
          <w:noProof/>
        </w:rPr>
        <w:t>.</w:t>
      </w:r>
    </w:p>
    <w:p w14:paraId="1216B6BD" w14:textId="77777777" w:rsidR="00A60DDE" w:rsidRDefault="00095506">
      <w:pPr>
        <w:pStyle w:val="P68B1DB1-ListParagraph42"/>
        <w:numPr>
          <w:ilvl w:val="0"/>
          <w:numId w:val="10"/>
        </w:numPr>
        <w:spacing w:before="120" w:after="120" w:line="240" w:lineRule="auto"/>
        <w:ind w:left="425" w:hanging="357"/>
        <w:jc w:val="both"/>
        <w:rPr>
          <w:rFonts w:eastAsia="Times New Roman"/>
          <w:noProof/>
        </w:rPr>
      </w:pPr>
      <w:r>
        <w:rPr>
          <w:noProof/>
        </w:rPr>
        <w:t>Legea specifică faptul că fondul funcționează în conformitate cu obiectivele Mecanismului de redresare și reziliență. Legea include, de asemenea, cerința de a se asigura că domeniul de aplicare al investițiilor care urmează să fie puse în aplicare este în conformitate cu ceea ce poate fi finanțat din bugetul UE, inclusiv în temeiul Tratatului privind funcționarea Uniunii Europene.</w:t>
      </w:r>
    </w:p>
    <w:p w14:paraId="1216B6BE" w14:textId="77777777" w:rsidR="00A60DDE" w:rsidRDefault="00095506">
      <w:pPr>
        <w:pStyle w:val="P68B1DB1-ListParagraph42"/>
        <w:numPr>
          <w:ilvl w:val="0"/>
          <w:numId w:val="10"/>
        </w:numPr>
        <w:spacing w:before="120" w:after="120" w:line="240" w:lineRule="auto"/>
        <w:ind w:left="425" w:hanging="357"/>
        <w:jc w:val="both"/>
        <w:rPr>
          <w:noProof/>
        </w:rPr>
      </w:pPr>
      <w:r>
        <w:rPr>
          <w:noProof/>
        </w:rPr>
        <w:t>Cerința ca fondul să fie o filială a BGK și ca BGK să fie unicul proprietar al fondului. O parte din capitalul propriu injectat în fond este încredințată de fond BGK pentru acordarea de împrumuturi destinatarilor finali, iar BGK gestionează aceste tranzacții de împrumut în mod direct. Restul capitalului injectat este dedicat investițiilor de capital. BGK este implicată în deciziile de investiții ale fondului pentru aceste investiții de capital.</w:t>
      </w:r>
    </w:p>
    <w:p w14:paraId="1216B6BF" w14:textId="77777777" w:rsidR="00A60DDE" w:rsidRDefault="00095506">
      <w:pPr>
        <w:pStyle w:val="P68B1DB1-ListParagraph42"/>
        <w:numPr>
          <w:ilvl w:val="0"/>
          <w:numId w:val="10"/>
        </w:numPr>
        <w:spacing w:before="120" w:after="120" w:line="240" w:lineRule="auto"/>
        <w:ind w:left="425" w:hanging="357"/>
        <w:jc w:val="both"/>
        <w:rPr>
          <w:noProof/>
        </w:rPr>
      </w:pPr>
      <w:r>
        <w:rPr>
          <w:noProof/>
        </w:rPr>
        <w:t>Structura de guvernanță a fondului, componența și responsabilitățile diferitelor organisme de guvernanță, ale organelor de conducere și ale comitetelor de investiții relevante, precum și modalitățile de numire a acestora.</w:t>
      </w:r>
    </w:p>
    <w:p w14:paraId="1216B6C0" w14:textId="77777777" w:rsidR="00A60DDE" w:rsidRDefault="00095506">
      <w:pPr>
        <w:pStyle w:val="P68B1DB1-ListParagraph42"/>
        <w:numPr>
          <w:ilvl w:val="0"/>
          <w:numId w:val="10"/>
        </w:numPr>
        <w:spacing w:before="120" w:after="120" w:line="240" w:lineRule="auto"/>
        <w:ind w:left="425" w:hanging="357"/>
        <w:jc w:val="both"/>
        <w:rPr>
          <w:noProof/>
        </w:rPr>
      </w:pPr>
      <w:r>
        <w:rPr>
          <w:noProof/>
        </w:rPr>
        <w:t>Cerința ca deciziile de investiții ale fondului să fie luate de organismele relevante și aprobate cu majoritatea voturilor membrilor independenți de Guvernul Poloniei.</w:t>
      </w:r>
    </w:p>
    <w:p w14:paraId="1216B6C1" w14:textId="77777777" w:rsidR="00A60DDE" w:rsidRDefault="00095506">
      <w:pPr>
        <w:pStyle w:val="P68B1DB1-Normal41"/>
        <w:numPr>
          <w:ilvl w:val="0"/>
          <w:numId w:val="10"/>
        </w:numPr>
        <w:spacing w:before="120" w:after="120" w:line="240" w:lineRule="auto"/>
        <w:ind w:left="425" w:hanging="357"/>
        <w:jc w:val="both"/>
        <w:rPr>
          <w:noProof/>
        </w:rPr>
      </w:pPr>
      <w:r>
        <w:rPr>
          <w:noProof/>
        </w:rPr>
        <w:t>Cerința ca fondul să aplice sistemul de audit și control al BGK care a fost evaluat pozitiv de Comisie în conformitate cu articolul 157 din Regulamentul (UE, Euratom) 2024/2509.</w:t>
      </w:r>
    </w:p>
    <w:p w14:paraId="1216B6C2" w14:textId="77777777" w:rsidR="00A60DDE" w:rsidRDefault="00095506">
      <w:pPr>
        <w:pStyle w:val="P68B1DB1-ListParagraph42"/>
        <w:numPr>
          <w:ilvl w:val="0"/>
          <w:numId w:val="10"/>
        </w:numPr>
        <w:spacing w:before="120" w:after="120" w:line="240" w:lineRule="auto"/>
        <w:ind w:left="425" w:hanging="357"/>
        <w:jc w:val="both"/>
        <w:rPr>
          <w:noProof/>
        </w:rPr>
      </w:pPr>
      <w:r>
        <w:rPr>
          <w:noProof/>
        </w:rPr>
        <w:t>Cerința ca fondurile proprii injectate în fond să fie utilizate pe baza unei politici de investiții.</w:t>
      </w:r>
    </w:p>
    <w:p w14:paraId="1216B6C3" w14:textId="77777777" w:rsidR="00A60DDE" w:rsidRDefault="00095506">
      <w:pPr>
        <w:pStyle w:val="P68B1DB1-Normal41"/>
        <w:spacing w:before="120" w:after="120" w:line="240" w:lineRule="auto"/>
        <w:ind w:left="66"/>
        <w:jc w:val="both"/>
        <w:rPr>
          <w:noProof/>
        </w:rPr>
      </w:pPr>
      <w:r>
        <w:rPr>
          <w:noProof/>
        </w:rPr>
        <w:t>Politica de investiții pentru utilizarea capitalului injectat în fond include următoarele elemente:</w:t>
      </w:r>
    </w:p>
    <w:p w14:paraId="1216B6C4" w14:textId="77777777" w:rsidR="00A60DDE" w:rsidRDefault="00095506">
      <w:pPr>
        <w:pStyle w:val="P68B1DB1-ListParagraph42"/>
        <w:numPr>
          <w:ilvl w:val="0"/>
          <w:numId w:val="11"/>
        </w:numPr>
        <w:spacing w:before="120" w:after="120" w:line="240" w:lineRule="auto"/>
        <w:jc w:val="both"/>
        <w:rPr>
          <w:noProof/>
        </w:rPr>
      </w:pPr>
      <w:r>
        <w:rPr>
          <w:noProof/>
        </w:rPr>
        <w:t>Descrierea zonelor de investiții pentru Fond, în conformitate cu zonele eligibile stabilite prin lege.</w:t>
      </w:r>
    </w:p>
    <w:p w14:paraId="1216B6C5" w14:textId="77777777" w:rsidR="00A60DDE" w:rsidRDefault="00095506">
      <w:pPr>
        <w:pStyle w:val="P68B1DB1-ListParagraph42"/>
        <w:numPr>
          <w:ilvl w:val="0"/>
          <w:numId w:val="11"/>
        </w:numPr>
        <w:spacing w:before="120" w:after="120" w:line="240" w:lineRule="auto"/>
        <w:jc w:val="both"/>
        <w:rPr>
          <w:noProof/>
        </w:rPr>
      </w:pPr>
      <w:r>
        <w:rPr>
          <w:noProof/>
        </w:rPr>
        <w:t>Descrierea produselor financiare, inclusiv împrumuturile și capitalurile proprii, obiectivele fondului, modul în care fondul va oferi sprijinul și destinatarii finali eligibili preconizați pe care fondul îi va sprijini inițial. Aceste produse financiare sunt conforme cu legea de instituire a fondului, inclusiv cu ceea ce poate fi finanțat din bugetul UE.</w:t>
      </w:r>
    </w:p>
    <w:p w14:paraId="1216B6C6" w14:textId="77777777" w:rsidR="00A60DDE" w:rsidRDefault="00095506">
      <w:pPr>
        <w:pStyle w:val="P68B1DB1-ListParagraph42"/>
        <w:numPr>
          <w:ilvl w:val="0"/>
          <w:numId w:val="11"/>
        </w:numPr>
        <w:spacing w:before="120" w:after="120" w:line="240" w:lineRule="auto"/>
        <w:jc w:val="both"/>
        <w:rPr>
          <w:noProof/>
        </w:rPr>
      </w:pPr>
      <w:r>
        <w:rPr>
          <w:noProof/>
        </w:rPr>
        <w:t>Calendarul preconizat pentru etapele de punere în aplicare a investițiilor inițiale.</w:t>
      </w:r>
    </w:p>
    <w:p w14:paraId="1216B6C7" w14:textId="77777777" w:rsidR="00A60DDE" w:rsidRDefault="00095506">
      <w:pPr>
        <w:pStyle w:val="P68B1DB1-ListParagraph42"/>
        <w:numPr>
          <w:ilvl w:val="0"/>
          <w:numId w:val="11"/>
        </w:numPr>
        <w:spacing w:before="120" w:after="120" w:line="240" w:lineRule="auto"/>
        <w:jc w:val="both"/>
        <w:rPr>
          <w:noProof/>
        </w:rPr>
      </w:pPr>
      <w:r>
        <w:rPr>
          <w:noProof/>
        </w:rPr>
        <w:t xml:space="preserve">Aplicarea </w:t>
      </w:r>
      <w:r>
        <w:rPr>
          <w:i/>
          <w:noProof/>
        </w:rPr>
        <w:t>principiului de „a nu aduce prejudicii semnificative”, astfel cum este prevăzut în Orientările tehnice privind principiul de „a nu aduce prejudicii semnificative”</w:t>
      </w:r>
      <w:r>
        <w:rPr>
          <w:noProof/>
        </w:rPr>
        <w:t xml:space="preserve"> (2021/C58/01):</w:t>
      </w:r>
    </w:p>
    <w:p w14:paraId="1216B6C8" w14:textId="77777777" w:rsidR="00A60DDE" w:rsidRDefault="00095506">
      <w:pPr>
        <w:pStyle w:val="LegalNumPar3"/>
        <w:spacing w:before="120" w:after="120" w:line="240" w:lineRule="auto"/>
        <w:ind w:left="1134" w:hanging="425"/>
        <w:jc w:val="both"/>
        <w:rPr>
          <w:rFonts w:ascii="Times New Roman" w:hAnsi="Times New Roman" w:cs="Times New Roman"/>
          <w:noProof/>
        </w:rPr>
      </w:pPr>
      <w:r>
        <w:rPr>
          <w:rFonts w:ascii="Times New Roman" w:hAnsi="Times New Roman" w:cs="Times New Roman"/>
          <w:noProof/>
        </w:rPr>
        <w:t>Pentru împrumuturi sau instrumente echivalente, politica de investiții exclude de la eligibilitate următoarea listă de activități și active: (i) activitățile și activele legate de combustibilii fosili, inclusiv utilizarea în aval,</w:t>
      </w:r>
      <w:r>
        <w:rPr>
          <w:rFonts w:ascii="Times New Roman" w:hAnsi="Times New Roman" w:cs="Times New Roman"/>
          <w:noProof/>
        </w:rPr>
        <w:footnoteReference w:id="14"/>
      </w:r>
      <w:r>
        <w:rPr>
          <w:rFonts w:ascii="Times New Roman" w:hAnsi="Times New Roman" w:cs="Times New Roman"/>
          <w:noProof/>
        </w:rPr>
        <w:t>(ii) activitățile și activele din cadrul schemei UE de comercializare a certificatelor de emisii (ETS) care generează emisii de gaze cu efect de seră preconizate care nu sunt mai mici decât valorile de referință relevante,</w:t>
      </w:r>
      <w:r>
        <w:rPr>
          <w:rFonts w:ascii="Times New Roman" w:hAnsi="Times New Roman" w:cs="Times New Roman"/>
          <w:noProof/>
        </w:rPr>
        <w:footnoteReference w:id="15"/>
      </w:r>
      <w:r>
        <w:rPr>
          <w:rFonts w:ascii="Times New Roman" w:hAnsi="Times New Roman" w:cs="Times New Roman"/>
          <w:noProof/>
        </w:rPr>
        <w:t>(iii) activitățile și activele legate de depozitele de deșeuri, incineratoare</w:t>
      </w:r>
      <w:r>
        <w:rPr>
          <w:rStyle w:val="FootnoteReference"/>
          <w:rFonts w:ascii="Times New Roman" w:hAnsi="Times New Roman" w:cs="Times New Roman"/>
          <w:noProof/>
        </w:rPr>
        <w:footnoteReference w:id="16"/>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17"/>
      </w:r>
    </w:p>
    <w:p w14:paraId="1216B6C9" w14:textId="77777777" w:rsidR="00A60DDE" w:rsidRDefault="00095506">
      <w:pPr>
        <w:pStyle w:val="P68B1DB1-LegalNumPar343"/>
        <w:spacing w:before="120" w:after="120" w:line="240" w:lineRule="auto"/>
        <w:ind w:left="1134" w:hanging="425"/>
        <w:jc w:val="both"/>
        <w:rPr>
          <w:noProof/>
        </w:rPr>
      </w:pPr>
      <w:r>
        <w:rPr>
          <w:noProof/>
        </w:rPr>
        <w:t>În ceea ce privește capitalurile proprii, politica de investiții exclude întreprinderile cu un accent substanțial</w:t>
      </w:r>
      <w:r>
        <w:rPr>
          <w:noProof/>
        </w:rPr>
        <w:footnoteReference w:id="18"/>
      </w:r>
      <w:r>
        <w:rPr>
          <w:noProof/>
        </w:rPr>
        <w:t xml:space="preserve"> în următoarele sectoare: (i) producția de energie pe bază de combustibili fosili și activitățile conexe;</w:t>
      </w:r>
      <w:r>
        <w:rPr>
          <w:noProof/>
        </w:rPr>
        <w:footnoteReference w:id="19"/>
      </w:r>
      <w:r>
        <w:rPr>
          <w:noProof/>
        </w:rPr>
        <w:t xml:space="preserve"> (ii) industriile mari consumatoare de energie și/sau cu emisii ridicate de CO2;</w:t>
      </w:r>
      <w:r>
        <w:rPr>
          <w:noProof/>
        </w:rPr>
        <w:footnoteReference w:id="20"/>
      </w:r>
      <w:r>
        <w:rPr>
          <w:noProof/>
        </w:rPr>
        <w:t xml:space="preserve"> (iii) producția, închirierea sau vânzarea de vehicule poluante;</w:t>
      </w:r>
      <w:r>
        <w:rPr>
          <w:noProof/>
        </w:rPr>
        <w:footnoteReference w:id="21"/>
      </w:r>
      <w:r>
        <w:rPr>
          <w:noProof/>
        </w:rPr>
        <w:t xml:space="preserve"> (iv) colectarea, tratarea și eliminarea deșeurilor,</w:t>
      </w:r>
      <w:r>
        <w:rPr>
          <w:noProof/>
        </w:rPr>
        <w:footnoteReference w:id="22"/>
      </w:r>
      <w:r>
        <w:rPr>
          <w:noProof/>
        </w:rPr>
        <w:t>(v) prelucrarea combustibilului nuclear, producția de energie nucleară. În plus, politica de investiții impune respectarea legislației UE și naționale</w:t>
      </w:r>
      <w:r>
        <w:rPr>
          <w:b/>
          <w:noProof/>
        </w:rPr>
        <w:t xml:space="preserve"> </w:t>
      </w:r>
      <w:r>
        <w:rPr>
          <w:noProof/>
        </w:rPr>
        <w:t>relevante în materie de mediu a destinatarilor finali ai facilității.</w:t>
      </w:r>
    </w:p>
    <w:p w14:paraId="1216B6CA" w14:textId="77777777" w:rsidR="00A60DDE" w:rsidRDefault="00A60DDE">
      <w:pPr>
        <w:pStyle w:val="ListParagraph"/>
        <w:spacing w:before="120" w:after="120" w:line="240" w:lineRule="auto"/>
        <w:rPr>
          <w:rFonts w:ascii="Times New Roman" w:hAnsi="Times New Roman" w:cs="Times New Roman"/>
          <w:noProof/>
          <w:sz w:val="24"/>
          <w:szCs w:val="24"/>
        </w:rPr>
      </w:pPr>
    </w:p>
    <w:p w14:paraId="1216B6CB"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pPr>
    </w:p>
    <w:p w14:paraId="1216B6CC"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sectPr w:rsidR="00A60DDE" w:rsidSect="006C5441">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299"/>
        </w:sectPr>
      </w:pPr>
    </w:p>
    <w:p w14:paraId="1216B6CD" w14:textId="77777777" w:rsidR="00A60DDE" w:rsidRDefault="00095506">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A.4. Jaloane, ținte, indicatori și calendar pentru monitorizarea și punerea în aplicare a împrumutului</w:t>
      </w:r>
    </w:p>
    <w:p w14:paraId="1216B6CE" w14:textId="77777777" w:rsidR="00A60DDE" w:rsidRDefault="00095506">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A2 – INOVARE</w:t>
      </w:r>
    </w:p>
    <w:tbl>
      <w:tblPr>
        <w:tblW w:w="1587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696"/>
        <w:gridCol w:w="2066"/>
        <w:gridCol w:w="1244"/>
        <w:gridCol w:w="2359"/>
        <w:gridCol w:w="1536"/>
        <w:gridCol w:w="1106"/>
        <w:gridCol w:w="943"/>
        <w:gridCol w:w="696"/>
        <w:gridCol w:w="949"/>
        <w:gridCol w:w="695"/>
        <w:gridCol w:w="3587"/>
      </w:tblGrid>
      <w:tr w:rsidR="00A60DDE" w14:paraId="1216B6D7" w14:textId="77777777">
        <w:trPr>
          <w:trHeight w:val="752"/>
          <w:tblHeader/>
          <w:jc w:val="center"/>
        </w:trPr>
        <w:tc>
          <w:tcPr>
            <w:tcW w:w="696" w:type="dxa"/>
            <w:vMerge w:val="restart"/>
            <w:tcBorders>
              <w:top w:val="single" w:sz="4" w:space="0" w:color="000000" w:themeColor="text1"/>
            </w:tcBorders>
            <w:shd w:val="clear" w:color="auto" w:fill="BDD7EE"/>
            <w:vAlign w:val="center"/>
          </w:tcPr>
          <w:p w14:paraId="1216B6CF" w14:textId="73E89777" w:rsidR="00A60DDE" w:rsidRDefault="005631E2">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Nr. secv</w:t>
            </w:r>
          </w:p>
        </w:tc>
        <w:tc>
          <w:tcPr>
            <w:tcW w:w="2066" w:type="dxa"/>
            <w:vMerge w:val="restart"/>
            <w:tcBorders>
              <w:top w:val="single" w:sz="4" w:space="0" w:color="000000" w:themeColor="text1"/>
            </w:tcBorders>
            <w:shd w:val="clear" w:color="auto" w:fill="BDD7EE"/>
            <w:vAlign w:val="center"/>
          </w:tcPr>
          <w:p w14:paraId="1216B6D0"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244" w:type="dxa"/>
            <w:vMerge w:val="restart"/>
            <w:tcBorders>
              <w:top w:val="single" w:sz="4" w:space="0" w:color="000000" w:themeColor="text1"/>
            </w:tcBorders>
            <w:shd w:val="clear" w:color="auto" w:fill="BDD7EE"/>
            <w:vAlign w:val="center"/>
          </w:tcPr>
          <w:p w14:paraId="1216B6D1"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2359" w:type="dxa"/>
            <w:vMerge w:val="restart"/>
            <w:tcBorders>
              <w:top w:val="single" w:sz="4" w:space="0" w:color="000000" w:themeColor="text1"/>
            </w:tcBorders>
            <w:shd w:val="clear" w:color="auto" w:fill="BDD7EE"/>
            <w:vAlign w:val="center"/>
          </w:tcPr>
          <w:p w14:paraId="1216B6D2"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36" w:type="dxa"/>
            <w:vMerge w:val="restart"/>
            <w:tcBorders>
              <w:top w:val="single" w:sz="4" w:space="0" w:color="000000" w:themeColor="text1"/>
            </w:tcBorders>
            <w:shd w:val="clear" w:color="auto" w:fill="BDD7EE"/>
            <w:vAlign w:val="center"/>
          </w:tcPr>
          <w:p w14:paraId="1216B6D3" w14:textId="16238AF2"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br/>
            </w:r>
            <w:r>
              <w:rPr>
                <w:rFonts w:ascii="Times New Roman" w:hAnsi="Times New Roman"/>
                <w:b/>
                <w:noProof/>
                <w:color w:val="000000"/>
                <w:sz w:val="18"/>
              </w:rPr>
              <w:t>(pentru jaloane)</w:t>
            </w:r>
          </w:p>
        </w:tc>
        <w:tc>
          <w:tcPr>
            <w:tcW w:w="2745" w:type="dxa"/>
            <w:gridSpan w:val="3"/>
            <w:tcBorders>
              <w:top w:val="single" w:sz="4" w:space="0" w:color="000000" w:themeColor="text1"/>
            </w:tcBorders>
            <w:shd w:val="clear" w:color="auto" w:fill="BDD7EE"/>
            <w:vAlign w:val="center"/>
          </w:tcPr>
          <w:p w14:paraId="1216B6D4" w14:textId="578C49A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br/>
            </w:r>
            <w:r>
              <w:rPr>
                <w:rFonts w:ascii="Times New Roman" w:hAnsi="Times New Roman"/>
                <w:b/>
                <w:noProof/>
                <w:color w:val="000000"/>
                <w:sz w:val="18"/>
              </w:rPr>
              <w:t>(pentru obiective)</w:t>
            </w:r>
          </w:p>
        </w:tc>
        <w:tc>
          <w:tcPr>
            <w:tcW w:w="1644" w:type="dxa"/>
            <w:gridSpan w:val="2"/>
            <w:tcBorders>
              <w:top w:val="single" w:sz="4" w:space="0" w:color="000000" w:themeColor="text1"/>
            </w:tcBorders>
            <w:shd w:val="clear" w:color="auto" w:fill="BDD7EE"/>
            <w:vAlign w:val="center"/>
          </w:tcPr>
          <w:p w14:paraId="1216B6D5"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587" w:type="dxa"/>
            <w:vMerge w:val="restart"/>
            <w:tcBorders>
              <w:top w:val="single" w:sz="4" w:space="0" w:color="000000" w:themeColor="text1"/>
            </w:tcBorders>
            <w:shd w:val="clear" w:color="auto" w:fill="BDD7EE"/>
            <w:vAlign w:val="center"/>
          </w:tcPr>
          <w:p w14:paraId="1216B6D6"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A60DDE" w14:paraId="1216B6E3" w14:textId="77777777">
        <w:trPr>
          <w:trHeight w:val="563"/>
          <w:jc w:val="center"/>
        </w:trPr>
        <w:tc>
          <w:tcPr>
            <w:tcW w:w="696" w:type="dxa"/>
            <w:vMerge/>
            <w:vAlign w:val="center"/>
          </w:tcPr>
          <w:p w14:paraId="1216B6D8"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066" w:type="dxa"/>
            <w:vMerge/>
            <w:vAlign w:val="center"/>
          </w:tcPr>
          <w:p w14:paraId="1216B6D9"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44" w:type="dxa"/>
            <w:vMerge/>
            <w:vAlign w:val="center"/>
          </w:tcPr>
          <w:p w14:paraId="1216B6DA"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359" w:type="dxa"/>
            <w:vMerge/>
            <w:vAlign w:val="center"/>
          </w:tcPr>
          <w:p w14:paraId="1216B6DB"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36" w:type="dxa"/>
            <w:vMerge/>
            <w:vAlign w:val="center"/>
          </w:tcPr>
          <w:p w14:paraId="1216B6DC"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06" w:type="dxa"/>
            <w:shd w:val="clear" w:color="auto" w:fill="BDD7EE"/>
            <w:vAlign w:val="center"/>
          </w:tcPr>
          <w:p w14:paraId="1216B6DD"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43" w:type="dxa"/>
            <w:shd w:val="clear" w:color="auto" w:fill="BDD7EE"/>
            <w:vAlign w:val="center"/>
          </w:tcPr>
          <w:p w14:paraId="1216B6DE"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696" w:type="dxa"/>
            <w:shd w:val="clear" w:color="auto" w:fill="BDD7EE"/>
            <w:vAlign w:val="center"/>
          </w:tcPr>
          <w:p w14:paraId="1216B6DF"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949" w:type="dxa"/>
            <w:shd w:val="clear" w:color="auto" w:fill="BDD7EE"/>
            <w:vAlign w:val="center"/>
          </w:tcPr>
          <w:p w14:paraId="1216B6E0"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695" w:type="dxa"/>
            <w:shd w:val="clear" w:color="auto" w:fill="BDD7EE"/>
            <w:vAlign w:val="center"/>
          </w:tcPr>
          <w:p w14:paraId="1216B6E1"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587" w:type="dxa"/>
            <w:vMerge/>
            <w:vAlign w:val="center"/>
          </w:tcPr>
          <w:p w14:paraId="1216B6E2"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6F5" w14:textId="77777777">
        <w:trPr>
          <w:trHeight w:val="1361"/>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4"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5"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A2.5 Consolidarea potențialului sectorului cultural și al industriilor culturale pentru dezvoltarea economică</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Adoptarea unui document de politică pentru sprijinirea acțiunilor verzi și digitale în sectoarele culturale și creative (SCC)</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8"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unui document de politică</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9"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E" w14:textId="77777777" w:rsidR="00A60DDE" w:rsidRDefault="00095506">
            <w:pPr>
              <w:pStyle w:val="P68B1DB1-Normal019"/>
              <w:pBdr>
                <w:top w:val="nil"/>
                <w:left w:val="nil"/>
                <w:bottom w:val="nil"/>
                <w:right w:val="nil"/>
                <w:between w:val="nil"/>
              </w:pBdr>
              <w:spacing w:line="240" w:lineRule="auto"/>
              <w:rPr>
                <w:rFonts w:eastAsia="Times New Roman" w:cs="Times New Roman"/>
                <w:noProof/>
                <w:szCs w:val="18"/>
              </w:rPr>
            </w:pPr>
            <w:r>
              <w:rPr>
                <w:noProof/>
              </w:rPr>
              <w:t>În urma unei consultări publice, ministrul responsabil cu afacerile culturale a adoptat un document de politică pentru sprijinirea sectoarelor culturale și creative (SCC). În special, documentul abordează următoarele aspecte:</w:t>
            </w:r>
          </w:p>
          <w:p w14:paraId="1216B6EF" w14:textId="77777777" w:rsidR="00A60DDE" w:rsidRDefault="00095506">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identificarea principalelor provocări pe termen mediu și lung în SCC, inclusiv a lecțiilor învățate în urma crizei provocate de pandemia de COVID-19;</w:t>
            </w:r>
          </w:p>
          <w:p w14:paraId="1216B6F0" w14:textId="77777777" w:rsidR="00A60DDE" w:rsidRDefault="00095506">
            <w:pPr>
              <w:pStyle w:val="P68B1DB1-Normal44"/>
              <w:numPr>
                <w:ilvl w:val="0"/>
                <w:numId w:val="12"/>
              </w:numPr>
              <w:spacing w:after="0" w:line="240" w:lineRule="auto"/>
              <w:ind w:left="351" w:right="600"/>
              <w:rPr>
                <w:rFonts w:eastAsia="Times New Roman" w:cs="Times New Roman"/>
                <w:noProof/>
                <w:color w:val="000000"/>
                <w:szCs w:val="18"/>
              </w:rPr>
            </w:pPr>
            <w:r>
              <w:rPr>
                <w:noProof/>
              </w:rPr>
              <w:t>să se asigure că respectarea principiilor generale ale UE, inclusiv egalitatea de gen și nediscriminarea, este abordată în proiectele care urmează să fie sprijinite;</w:t>
            </w:r>
          </w:p>
          <w:p w14:paraId="1216B6F1" w14:textId="77777777" w:rsidR="00A60DDE" w:rsidRDefault="00095506">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identificarea potențialului instrumentelor și platformelor verzi și digitale de a aborda aceste provocări;</w:t>
            </w:r>
          </w:p>
          <w:p w14:paraId="1216B6F2" w14:textId="77777777" w:rsidR="00A60DDE" w:rsidRDefault="00095506">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Dezvoltarea de concepte pentru cooperarea și transferul de cunoștințe și competențe între SCC și cu sectoarele științei, educației, tehnologiei și întreprinderilor, cu accent pe principiile generale ale UE, inclusiv egalitatea de gen și nediscriminarea, verde și digital.</w:t>
            </w:r>
          </w:p>
          <w:p w14:paraId="1216B6F3"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sz w:val="18"/>
              </w:rPr>
            </w:pPr>
          </w:p>
          <w:p w14:paraId="1216B6F4"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Identificarea opțiunilor preferate pentru a oferi sprijin public pentru acțiunile din cadrul SCC.</w:t>
            </w:r>
          </w:p>
        </w:tc>
      </w:tr>
      <w:tr w:rsidR="00A60DDE" w14:paraId="1216B70A" w14:textId="77777777">
        <w:trPr>
          <w:trHeight w:val="850"/>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6"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A2.5.1 Un program de sprijinire a activităților entităților din industriile culturale și creative în vederea stimulării dezvoltării acestora</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9" w14:textId="20AA5DA0" w:rsidR="00A60DDE" w:rsidRDefault="00095506">
            <w:pPr>
              <w:pStyle w:val="P68B1DB1-Normal019"/>
              <w:pBdr>
                <w:top w:val="nil"/>
                <w:left w:val="nil"/>
                <w:bottom w:val="nil"/>
                <w:right w:val="nil"/>
                <w:between w:val="nil"/>
              </w:pBdr>
              <w:spacing w:after="0" w:line="240" w:lineRule="auto"/>
              <w:rPr>
                <w:noProof/>
              </w:rPr>
            </w:pPr>
            <w:r>
              <w:rPr>
                <w:noProof/>
              </w:rPr>
              <w:t>Criterii de selecție pentru sprijinirea proiectelor în sectoarele culturale și creative (SCC)</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criteriilor de selecție și înființarea comitetului de selecție independent</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0" w14:textId="24F3099B"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Ministerul Culturii și Patrimoniului Național adoptă și publică criteriile de selecție pentru a sprijini IMM-urile, instituțiile culturale și ONG-urile în crearea de proiecte în sectoarele culturale și creative (SCC).</w:t>
            </w:r>
          </w:p>
          <w:p w14:paraId="1216B702"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În plus, se înființează un comitet de selecție independent, format din experți din diferite discipline, inclusiv reprezentanți ai organizațiilor și instituțiilor SCC independente. Comitetul de selecție decide cu privire la dispozițiile privind subvențiile și bursele.</w:t>
            </w:r>
          </w:p>
          <w:p w14:paraId="1216B703"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4"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Criteriile de selecție a cererilor de granturi pentru proiecte din partea instituțiilor culturale, a ONG-urilor, a IMM-urilor și a microîntreprinderilor din SCC, care corespund unuia dintre sectoarele NACE, astfel cum sunt definite de Eurostat:</w:t>
            </w:r>
          </w:p>
          <w:p w14:paraId="1216B705"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 să acorde prioritate proiectelor care ar putea avea un impact de durată în tranziția digitală și tranziția verde în SCC;</w:t>
            </w:r>
          </w:p>
          <w:p w14:paraId="1216B706" w14:textId="77777777" w:rsidR="00A60DDE" w:rsidRDefault="00095506">
            <w:pPr>
              <w:pStyle w:val="P68B1DB1-Normal018"/>
              <w:pBdr>
                <w:top w:val="nil"/>
                <w:left w:val="nil"/>
                <w:bottom w:val="nil"/>
                <w:right w:val="nil"/>
                <w:between w:val="nil"/>
              </w:pBdr>
              <w:spacing w:after="0" w:line="240" w:lineRule="auto"/>
              <w:rPr>
                <w:rFonts w:eastAsia="Times New Roman" w:cs="Times New Roman"/>
                <w:noProof/>
                <w:color w:val="000000"/>
              </w:rPr>
            </w:pPr>
            <w:r>
              <w:rPr>
                <w:noProof/>
                <w:color w:val="000000" w:themeColor="text1"/>
              </w:rPr>
              <w:t>b)</w:t>
            </w:r>
            <w:r>
              <w:rPr>
                <w:noProof/>
              </w:rPr>
              <w:t xml:space="preserve"> </w:t>
            </w:r>
            <w:r>
              <w:rPr>
                <w:noProof/>
                <w:color w:val="000000" w:themeColor="text1"/>
              </w:rPr>
              <w:t>să acorde prioritate acelor beneficiari care au un plan de afaceri cu privire la modul în care granturile vor fi utilizate pentru finanțarea costurilor proiectului;</w:t>
            </w:r>
          </w:p>
          <w:p w14:paraId="1216B707" w14:textId="6C58A74A"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 să acorde prioritate acelor beneficiari care au un istoric de activități sau proiecte în ultimele 24 de luni legate de propunerea de proiect.</w:t>
            </w:r>
          </w:p>
          <w:p w14:paraId="1216B708"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9"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Principiile generale ale UE, inclusiv egalitatea de gen și nediscriminarea, sunt luate în considerare în toate proiectele.</w:t>
            </w:r>
          </w:p>
        </w:tc>
      </w:tr>
      <w:tr w:rsidR="00A60DDE" w14:paraId="1216B716" w14:textId="77777777">
        <w:trPr>
          <w:trHeight w:val="853"/>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B"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C"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bookmarkStart w:id="7" w:name="_Hlk200619572"/>
            <w:r>
              <w:rPr>
                <w:noProof/>
              </w:rPr>
              <w:t>A2.5.1 Un program de sprijinire a activităților entităților din industriile culturale și creative</w:t>
            </w:r>
            <w:bookmarkEnd w:id="7"/>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Numărul de contracte semnate pentru proiecte în sectoarele culturale și creative (SCC)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F"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2" w14:textId="77777777" w:rsidR="00A60DDE" w:rsidRDefault="00095506">
            <w:pPr>
              <w:pStyle w:val="Normal0"/>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1</w:t>
            </w:r>
            <w:r>
              <w:rPr>
                <w:rFonts w:eastAsia="Times New Roman"/>
                <w:noProof/>
                <w:color w:val="006100"/>
                <w:szCs w:val="24"/>
              </w:rPr>
              <w:t xml:space="preserve"> </w:t>
            </w:r>
            <w:r>
              <w:rPr>
                <w:rFonts w:ascii="Times New Roman" w:hAnsi="Times New Roman"/>
                <w:noProof/>
                <w:color w:val="000000" w:themeColor="text1"/>
                <w:sz w:val="18"/>
                <w:szCs w:val="18"/>
              </w:rPr>
              <w:t>873</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5" w14:textId="2016B340"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Se semnează 1 873 de contracte pentru proiecte în sectoarele culturale și creative (SCC).</w:t>
            </w:r>
          </w:p>
        </w:tc>
      </w:tr>
      <w:tr w:rsidR="00A60DDE" w14:paraId="1216B72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7"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8"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A2.5.1 Un program de sprijinire a activităților entităților din industriile culturale și creative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Numărul de burse acordate în sectoarele culturale și creative (SCC)</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B"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E" w14:textId="77777777" w:rsidR="00A60DDE" w:rsidRDefault="00095506">
            <w:pPr>
              <w:pStyle w:val="P68B1DB1-Normal020"/>
              <w:spacing w:after="0" w:line="240" w:lineRule="auto"/>
              <w:jc w:val="center"/>
              <w:rPr>
                <w:rFonts w:eastAsia="Times New Roman" w:cs="Times New Roman"/>
                <w:noProof/>
                <w:color w:val="000000"/>
              </w:rPr>
            </w:pPr>
            <w:r>
              <w:rPr>
                <w:noProof/>
              </w:rPr>
              <w:t>945</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1" w14:textId="21E77159"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945 de burse se acordă persoanelor din sectoarele culturale și creative (SCC).</w:t>
            </w:r>
          </w:p>
        </w:tc>
      </w:tr>
      <w:tr w:rsidR="00A60DDE" w14:paraId="1216B72E" w14:textId="77777777">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3" w14:textId="77777777" w:rsidR="00A60DDE" w:rsidRDefault="00095506">
            <w:pPr>
              <w:pStyle w:val="P68B1DB1-Normal023"/>
              <w:pBdr>
                <w:top w:val="nil"/>
                <w:left w:val="nil"/>
                <w:bottom w:val="nil"/>
                <w:right w:val="nil"/>
                <w:between w:val="nil"/>
              </w:pBdr>
              <w:spacing w:after="0" w:line="240" w:lineRule="auto"/>
              <w:jc w:val="center"/>
              <w:rPr>
                <w:rFonts w:cs="Times New Roman"/>
                <w:noProof/>
                <w:szCs w:val="18"/>
              </w:rPr>
            </w:pPr>
            <w:r>
              <w:rPr>
                <w:noProof/>
              </w:rPr>
              <w:t>A7L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4" w14:textId="46F427AB"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A2.6 Reforma sistemului național de monitorizare a serviciilor, produselor, instrumentelor analitice, serviciilor și infrastructurii aferente care utilizează date satelitare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6" w14:textId="1FA297C6"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unei legi privind activitățile spațiale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7"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legală care indică intrarea sa în vigoare</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9"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D" w14:textId="3235A9F0"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O lege facilitează, printre altele, utilizarea datelor satelitare de către administrația publică. Legea instituie un administrator național al datelor satelitare. Legea stabilește obligația administratorului național de a difuza cunoștințe cu privire la datele satelitare și de a promova utilizarea acestora, inclusiv prin organizarea de cursuri de formare pentru entitățile interesate. Legea stabilește, de asemenea, normele și condițiile de desfășurare a activităților spațiale și de supraveghere a acestora, răspunderea pentru daunele cauzate de un obiect spațial, precum și normele de funcționare a Registrului național al obiectelor spațiale.</w:t>
            </w:r>
          </w:p>
        </w:tc>
      </w:tr>
      <w:tr w:rsidR="00A60DDE" w14:paraId="1216B73A" w14:textId="77777777">
        <w:trPr>
          <w:trHeight w:val="1140"/>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F"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A8L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0" w14:textId="77777777" w:rsidR="00A60DDE" w:rsidRDefault="00095506">
            <w:pPr>
              <w:pStyle w:val="P68B1DB1-Normal020"/>
              <w:spacing w:after="0" w:line="240" w:lineRule="auto"/>
              <w:rPr>
                <w:rFonts w:eastAsia="Times New Roman" w:cs="Times New Roman"/>
                <w:noProof/>
                <w:color w:val="000000"/>
              </w:rPr>
            </w:pPr>
            <w:r>
              <w:rPr>
                <w:noProof/>
              </w:rPr>
              <w:t>A2.6.1 Investiții în Sistemul național de informații prin satelit (NSIS) și în sateliți</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1"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Etapa de referință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2"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Sistemul național de informații prin satelit (NSIS)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3" w14:textId="5CD10209"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Disponibilitatea online a Sistemului Național de Informații prin Satelit (NSIS)</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5"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7"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8"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9"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bookmarkStart w:id="8" w:name="_Hlk200453198"/>
            <w:r>
              <w:rPr>
                <w:noProof/>
              </w:rPr>
              <w:t xml:space="preserve">Sistemul național de informații prin satelit (NSIS) </w:t>
            </w:r>
            <w:bookmarkEnd w:id="8"/>
            <w:r>
              <w:rPr>
                <w:noProof/>
              </w:rPr>
              <w:t xml:space="preserve">devine disponibil online. </w:t>
            </w:r>
          </w:p>
        </w:tc>
      </w:tr>
      <w:tr w:rsidR="00A60DDE" w14:paraId="1216B746" w14:textId="77777777">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B"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A11L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C"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A2.6.1 Investiții în Sistemul național de informații prin satelit (NSIS) și în sateliți</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D"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Construcția a patru sateliți</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F"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5" w14:textId="3BA559CD"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Numărul de sateliți construiți, împreună cu livrarea segmentului terestru.</w:t>
            </w:r>
          </w:p>
        </w:tc>
      </w:tr>
      <w:tr w:rsidR="00A60DDE" w14:paraId="1216B752" w14:textId="77777777">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7" w14:textId="77777777" w:rsidR="00A60DDE" w:rsidRDefault="00095506">
            <w:pPr>
              <w:pStyle w:val="P68B1DB1-Normal023"/>
              <w:pBdr>
                <w:top w:val="nil"/>
                <w:left w:val="nil"/>
                <w:bottom w:val="nil"/>
                <w:right w:val="nil"/>
                <w:between w:val="nil"/>
              </w:pBdr>
              <w:spacing w:after="0" w:line="240" w:lineRule="auto"/>
              <w:jc w:val="center"/>
              <w:rPr>
                <w:noProof/>
              </w:rPr>
            </w:pPr>
            <w:r>
              <w:rPr>
                <w:noProof/>
              </w:rPr>
              <w:t>A12L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8"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A2.7.1 Fondul pentru securitate și apărare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9" w14:textId="77777777" w:rsidR="00A60DDE" w:rsidRDefault="00095506">
            <w:pPr>
              <w:pStyle w:val="P68B1DB1-Normal019"/>
              <w:pBdr>
                <w:top w:val="nil"/>
                <w:left w:val="nil"/>
                <w:bottom w:val="nil"/>
                <w:right w:val="nil"/>
                <w:between w:val="nil"/>
              </w:pBdr>
              <w:spacing w:after="0" w:line="240" w:lineRule="auto"/>
              <w:jc w:val="center"/>
              <w:rPr>
                <w:noProof/>
                <w:color w:val="000000" w:themeColor="text1"/>
              </w:rPr>
            </w:pPr>
            <w:r>
              <w:rPr>
                <w:noProof/>
              </w:rPr>
              <w:t>Etapa de referință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A"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Instituirea cadrului juridic pentru fond</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B" w14:textId="5172E344" w:rsidR="00A60DDE" w:rsidRDefault="00095506">
            <w:pPr>
              <w:pStyle w:val="P68B1DB1-Normal023"/>
              <w:pBdr>
                <w:top w:val="nil"/>
                <w:left w:val="nil"/>
                <w:bottom w:val="nil"/>
                <w:right w:val="nil"/>
                <w:between w:val="nil"/>
              </w:pBdr>
              <w:spacing w:after="0" w:line="240" w:lineRule="auto"/>
              <w:rPr>
                <w:noProof/>
                <w:color w:val="000000" w:themeColor="text1"/>
              </w:rPr>
            </w:pPr>
            <w:r>
              <w:rPr>
                <w:noProof/>
              </w:rPr>
              <w:t>Dispoziție legală care indică intrarea sa în vigoare</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D"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E"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F"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T3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0" w14:textId="77777777" w:rsidR="00A60DDE" w:rsidRDefault="00095506">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1" w14:textId="77777777" w:rsidR="00A60DDE" w:rsidRDefault="00095506">
            <w:pPr>
              <w:pStyle w:val="P68B1DB1-Normal45"/>
              <w:spacing w:after="0" w:line="240" w:lineRule="auto"/>
              <w:rPr>
                <w:noProof/>
                <w:color w:val="000000" w:themeColor="text1"/>
              </w:rPr>
            </w:pPr>
            <w:r>
              <w:rPr>
                <w:noProof/>
              </w:rPr>
              <w:t>Intrarea în vigoare a legii de instituire a cadrului juridic al fondului. Legea include elementele care sunt incluse în descrierea măsurii.</w:t>
            </w:r>
          </w:p>
        </w:tc>
      </w:tr>
      <w:tr w:rsidR="00A60DDE" w14:paraId="1216B75E" w14:textId="77777777">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3" w14:textId="77777777" w:rsidR="00A60DDE" w:rsidRDefault="00095506">
            <w:pPr>
              <w:pStyle w:val="P68B1DB1-Normal023"/>
              <w:pBdr>
                <w:top w:val="nil"/>
                <w:left w:val="nil"/>
                <w:bottom w:val="nil"/>
                <w:right w:val="nil"/>
                <w:between w:val="nil"/>
              </w:pBdr>
              <w:spacing w:after="0" w:line="240" w:lineRule="auto"/>
              <w:jc w:val="center"/>
              <w:rPr>
                <w:noProof/>
              </w:rPr>
            </w:pPr>
            <w:r>
              <w:rPr>
                <w:noProof/>
              </w:rPr>
              <w:t>A13L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4"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A2.7.1 Fondul pentru securitate și apărare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5" w14:textId="77777777" w:rsidR="00A60DDE" w:rsidRDefault="00095506">
            <w:pPr>
              <w:pStyle w:val="P68B1DB1-Normal019"/>
              <w:pBdr>
                <w:top w:val="nil"/>
                <w:left w:val="nil"/>
                <w:bottom w:val="nil"/>
                <w:right w:val="nil"/>
                <w:between w:val="nil"/>
              </w:pBdr>
              <w:spacing w:after="0" w:line="240" w:lineRule="auto"/>
              <w:jc w:val="center"/>
              <w:rPr>
                <w:noProof/>
                <w:color w:val="000000" w:themeColor="text1"/>
              </w:rPr>
            </w:pPr>
            <w:r>
              <w:rPr>
                <w:noProof/>
              </w:rPr>
              <w:t>Etapa de referință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6"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 xml:space="preserve">Adoptarea politicii de investiții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7"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 xml:space="preserve">Adoptarea politicii de investiții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9"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B"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C" w14:textId="77777777" w:rsidR="00A60DDE" w:rsidRDefault="00095506">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D" w14:textId="77777777" w:rsidR="00A60DDE" w:rsidRDefault="00095506">
            <w:pPr>
              <w:pStyle w:val="P68B1DB1-Normal45"/>
              <w:spacing w:after="0" w:line="240" w:lineRule="auto"/>
              <w:rPr>
                <w:noProof/>
              </w:rPr>
            </w:pPr>
            <w:r>
              <w:rPr>
                <w:noProof/>
              </w:rPr>
              <w:t>BGK și/sau Fondul adoptă o politică de investiții pentru utilizarea capitalului injectat. Politica de investiții include elementele incluse în descrierea măsurii.</w:t>
            </w:r>
          </w:p>
        </w:tc>
      </w:tr>
      <w:tr w:rsidR="00A60DDE" w14:paraId="1216B76E" w14:textId="77777777">
        <w:trPr>
          <w:trHeight w:val="503"/>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F" w14:textId="77777777" w:rsidR="00A60DDE" w:rsidRDefault="00095506">
            <w:pPr>
              <w:pStyle w:val="P68B1DB1-Normal018"/>
              <w:pBdr>
                <w:top w:val="nil"/>
                <w:left w:val="nil"/>
                <w:bottom w:val="nil"/>
                <w:right w:val="nil"/>
                <w:between w:val="nil"/>
              </w:pBdr>
              <w:spacing w:after="0" w:line="240" w:lineRule="auto"/>
              <w:jc w:val="center"/>
              <w:rPr>
                <w:noProof/>
              </w:rPr>
            </w:pPr>
            <w:r>
              <w:rPr>
                <w:noProof/>
              </w:rPr>
              <w:t>A14L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0"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A2.7.1 Fondul pentru securitate și apărare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1" w14:textId="77777777" w:rsidR="00A60DDE" w:rsidRDefault="00095506">
            <w:pPr>
              <w:pStyle w:val="P68B1DB1-Normal019"/>
              <w:pBdr>
                <w:top w:val="nil"/>
                <w:left w:val="nil"/>
                <w:bottom w:val="nil"/>
                <w:right w:val="nil"/>
                <w:between w:val="nil"/>
              </w:pBdr>
              <w:spacing w:after="0" w:line="240" w:lineRule="auto"/>
              <w:jc w:val="center"/>
              <w:rPr>
                <w:noProof/>
                <w:color w:val="000000" w:themeColor="text1"/>
              </w:rPr>
            </w:pPr>
            <w:r>
              <w:rPr>
                <w:noProof/>
              </w:rPr>
              <w:t>Etapa de referință</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2" w14:textId="77777777"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Injecție de capital</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3" w14:textId="77777777" w:rsidR="00A60DDE" w:rsidRDefault="00095506">
            <w:pPr>
              <w:pStyle w:val="P68B1DB1-Normal023"/>
              <w:pBdr>
                <w:top w:val="nil"/>
                <w:left w:val="nil"/>
                <w:bottom w:val="nil"/>
                <w:right w:val="nil"/>
                <w:between w:val="nil"/>
              </w:pBdr>
              <w:spacing w:after="0" w:line="240" w:lineRule="auto"/>
              <w:rPr>
                <w:noProof/>
                <w:color w:val="000000" w:themeColor="text1"/>
              </w:rPr>
            </w:pPr>
            <w:r>
              <w:rPr>
                <w:noProof/>
                <w:szCs w:val="18"/>
              </w:rPr>
              <w:t>Certificatul</w:t>
            </w:r>
            <w:r>
              <w:rPr>
                <w:noProof/>
              </w:rPr>
              <w:t xml:space="preserve"> de transfer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5"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7" w14:textId="77777777" w:rsidR="00A60DDE" w:rsidRDefault="00095506">
            <w:pPr>
              <w:pStyle w:val="P68B1DB1-Normal018"/>
              <w:pBdr>
                <w:top w:val="nil"/>
                <w:left w:val="nil"/>
                <w:bottom w:val="nil"/>
                <w:right w:val="nil"/>
                <w:between w:val="nil"/>
              </w:pBdr>
              <w:spacing w:after="0" w:line="240" w:lineRule="auto"/>
              <w:jc w:val="center"/>
              <w:rPr>
                <w:noProof/>
                <w:color w:val="000000"/>
              </w:rPr>
            </w:pPr>
            <w:r>
              <w:rPr>
                <w:noProof/>
              </w:rPr>
              <w:t>T3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8" w14:textId="77777777" w:rsidR="00A60DDE" w:rsidRDefault="00095506">
            <w:pPr>
              <w:pStyle w:val="P68B1DB1-Normal023"/>
              <w:pBdr>
                <w:top w:val="nil"/>
                <w:left w:val="nil"/>
                <w:bottom w:val="nil"/>
                <w:right w:val="nil"/>
                <w:between w:val="nil"/>
              </w:pBdr>
              <w:spacing w:after="0" w:line="240" w:lineRule="auto"/>
              <w:jc w:val="center"/>
              <w:rPr>
                <w:noProof/>
                <w:color w:val="000000" w:themeColor="text1"/>
              </w:rPr>
            </w:pPr>
            <w:r>
              <w:rPr>
                <w:noProof/>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9" w14:textId="5DB98098" w:rsidR="00A60DDE" w:rsidRDefault="00095506">
            <w:pPr>
              <w:spacing w:after="0" w:line="240" w:lineRule="auto"/>
              <w:rPr>
                <w:rFonts w:ascii="Times New Roman" w:hAnsi="Times New Roman" w:cs="Times New Roman"/>
                <w:noProof/>
                <w:sz w:val="18"/>
                <w:szCs w:val="18"/>
              </w:rPr>
            </w:pPr>
            <w:r>
              <w:rPr>
                <w:rFonts w:ascii="Times New Roman" w:hAnsi="Times New Roman"/>
                <w:noProof/>
                <w:sz w:val="18"/>
                <w:szCs w:val="18"/>
              </w:rPr>
              <w:t>Suma de 5 471 689 564 EUR în capitaluri proprii se injectează în fond.</w:t>
            </w:r>
          </w:p>
          <w:p w14:paraId="1216B76A" w14:textId="77777777" w:rsidR="00A60DDE" w:rsidRDefault="00A60DDE">
            <w:pPr>
              <w:spacing w:after="0" w:line="240" w:lineRule="auto"/>
              <w:rPr>
                <w:rFonts w:ascii="Times New Roman" w:hAnsi="Times New Roman" w:cs="Times New Roman"/>
                <w:noProof/>
                <w:sz w:val="18"/>
                <w:szCs w:val="18"/>
              </w:rPr>
            </w:pPr>
          </w:p>
          <w:p w14:paraId="1216B76B" w14:textId="3F8580B8" w:rsidR="00A60DDE" w:rsidRDefault="00095506">
            <w:pPr>
              <w:pStyle w:val="P68B1DB1-Normal22"/>
              <w:spacing w:after="0" w:line="240" w:lineRule="auto"/>
              <w:rPr>
                <w:noProof/>
              </w:rPr>
            </w:pPr>
            <w:r>
              <w:rPr>
                <w:noProof/>
              </w:rPr>
              <w:t>Orice acorduri necesare stabilite prin lege pentru punerea în aplicare a acestei măsuri trebuie să fi intrat în vigoare.</w:t>
            </w:r>
          </w:p>
          <w:p w14:paraId="1216B76C" w14:textId="77777777" w:rsidR="00A60DDE" w:rsidRDefault="00A60DDE">
            <w:pPr>
              <w:spacing w:after="0" w:line="240" w:lineRule="auto"/>
              <w:rPr>
                <w:rFonts w:ascii="Times New Roman" w:hAnsi="Times New Roman" w:cs="Times New Roman"/>
                <w:noProof/>
                <w:sz w:val="18"/>
                <w:szCs w:val="18"/>
              </w:rPr>
            </w:pPr>
          </w:p>
          <w:p w14:paraId="1216B76D" w14:textId="77777777" w:rsidR="00A60DDE" w:rsidRDefault="00095506">
            <w:pPr>
              <w:pStyle w:val="P68B1DB1-Normal22"/>
              <w:pBdr>
                <w:top w:val="nil"/>
                <w:left w:val="nil"/>
                <w:bottom w:val="nil"/>
                <w:right w:val="nil"/>
                <w:between w:val="nil"/>
              </w:pBdr>
              <w:spacing w:after="0" w:line="240" w:lineRule="auto"/>
              <w:rPr>
                <w:rFonts w:eastAsia="Times New Roman"/>
                <w:noProof/>
                <w:color w:val="000000" w:themeColor="text1"/>
              </w:rPr>
            </w:pPr>
            <w:r>
              <w:rPr>
                <w:noProof/>
              </w:rPr>
              <w:t>Pe lângă injecția de capital în fond care constituie investiția MRR, Polonia transmite un raport în care prezintă acțiunile întreprinse de fond până la 16 august 2026 pentru a pune în aplicare politica de investiții, inclusiv măsurile luate pentru punerea în aplicare a produselor financiare pe care se preconizează că capitalul suplimentar le va sprijini inițial, precum și măsurile preconizate care urmează să fie luate pentru punerea în aplicare în continuare a produselor respective.</w:t>
            </w:r>
          </w:p>
        </w:tc>
      </w:tr>
    </w:tbl>
    <w:p w14:paraId="1216B76F" w14:textId="77777777" w:rsidR="00A60DDE" w:rsidRDefault="00A60DDE">
      <w:pPr>
        <w:rPr>
          <w:rFonts w:ascii="Times New Roman" w:hAnsi="Times New Roman"/>
          <w:noProof/>
          <w:color w:val="000000" w:themeColor="text1"/>
        </w:rPr>
        <w:sectPr w:rsidR="00A60DDE" w:rsidSect="006C5441">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299"/>
        </w:sectPr>
      </w:pPr>
    </w:p>
    <w:p w14:paraId="1216B770" w14:textId="77777777" w:rsidR="00A60DDE" w:rsidRDefault="00095506">
      <w:pPr>
        <w:pStyle w:val="P68B1DB1-Normal046"/>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color w:val="000000"/>
        </w:rPr>
      </w:pPr>
      <w:r>
        <w:rPr>
          <w:noProof/>
        </w:rPr>
        <w:t xml:space="preserve">B. COMPONENTUL B: „ENERGIA GRENĂ ȘI REDUCEREA ENERGIE-INTENSITĂȚII” </w:t>
      </w:r>
    </w:p>
    <w:p w14:paraId="1216B771" w14:textId="77777777" w:rsidR="00A60DDE" w:rsidRDefault="00095506">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 xml:space="preserve">Componenta </w:t>
      </w:r>
      <w:r>
        <w:rPr>
          <w:noProof/>
          <w:szCs w:val="24"/>
        </w:rPr>
        <w:t xml:space="preserve">planului de redresare și reziliență al Poloniei vizează abordarea mai multor provocări cu care se confruntă în prezent sectorul energetic polonez în ceea ce privește decarbonizarea și poluarea aerului. În primul rând, dependența Poloniei de cărbune este în continuare mult mai mare decât în alte state membre, ceea ce face dificilă tranziția energetică către neutralitatea emisiilor de dioxid de carbon. În al doilea rând, aproximativ 70 % din locuințele unifamiliale și multe clădiri cu mai multe apartamente și clădiri publice nu îndeplinesc standardele de eficiență energetică. Acest lucru, în combinație cu o utilizare încă pe scară largă a cărbunelui de calitate inferioară în sistemele individuale de încălzire, conduce la o calitate scăzută a aerului. În al treilea rând, nivelurile scăzute de retenție și deficitul de apă (inclusiv de apă potabilă) în zonele rurale reprezintă o problemă majoră. </w:t>
      </w:r>
      <w:r>
        <w:rPr>
          <w:noProof/>
        </w:rPr>
        <w:t>Principalul obiectiv al componentei este de a reorienta mixul energetic către tehnologii cu emisii scăzute de dioxid de carbon prin facilitarea utilizării surselor regenerabile de energie și prin creșterea utilizării surselor alternative de energie, cum ar fi hidrogenul și biogazul. Componenta vizează, de asemenea, reducerea consumului de energie prin promovarea unei renovări aprofundate a clădirilor, inclusiv modernizarea termică; și prin reducerea intensității energetice a industriei și a serviciilor, precum și a gospodăriilor. În cele din urmă, componenta urmărește să se concentreze, de asemenea, pe reducerea impactului uman asupra mediului, în special prin investiții în neutralizarea amenințărilor și reabilitarea zonelor degradate la scară largă și a Mării Baltice.</w:t>
      </w:r>
    </w:p>
    <w:p w14:paraId="1216B772" w14:textId="77777777" w:rsidR="00A60DDE" w:rsidRDefault="00095506">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Componenta sprijină abordarea recomandărilor specifice fiecărei țări de a concentra politica economică legată de investiții asupra inovării, a transporturilor, în special asupra sustenabilității, a infrastructurii digitale și energetice, a asistenței medicale și a energiei mai curate, ținând seama de disparitățile regionale (Recomandarea specifică fiecărei țări 3 2019) și de a concentra investițiile asupra tranziției verzi și a celei digitale, în special asupra infrastructurii digitale, a producției și utilizării curate și eficiente a energiei și a transportului durabil, contribuind la decarbonizarea treptată a economiei, inclusiv în regiunile carbonifere (Recomandarea specifică fiecărei țări 3 2020).</w:t>
      </w:r>
    </w:p>
    <w:p w14:paraId="1216B773" w14:textId="7FA7E496" w:rsidR="00A60DDE" w:rsidRDefault="00095506">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 Pentru toate măsurile din cadrul acestei componente care implică dezvoltarea infrastructurii, este necesară respectarea legislației UE pentru a evita prejudicierea obiectivului privind biodiversitatea. Aceasta înseamnă în mod specific Directiva EIM (2011/92/UE) și, pentru siturile/operațiunile situate în zone sensibile din punctul de vedere al biodiversității sau în apropierea acestora, articolul 6 alineatul (3) și articolul 12 din Directiva privind habitatele (92/43/CEE) și articolul 5 din Directiva privind păsările (2009/147/CE).</w:t>
      </w:r>
    </w:p>
    <w:p w14:paraId="1216B774"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sz w:val="24"/>
        </w:rPr>
      </w:pPr>
    </w:p>
    <w:p w14:paraId="1216B775"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B.1. </w:t>
      </w:r>
      <w:r>
        <w:rPr>
          <w:noProof/>
        </w:rPr>
        <w:t xml:space="preserve"> </w:t>
      </w:r>
      <w:r>
        <w:rPr>
          <w:rFonts w:ascii="Times New Roman" w:hAnsi="Times New Roman"/>
          <w:b/>
          <w:noProof/>
          <w:color w:val="000000" w:themeColor="text1"/>
          <w:sz w:val="24"/>
        </w:rPr>
        <w:t>Descrierea reformelor și a investițiilor pentru sprijinul financiar nerambursabil</w:t>
      </w:r>
    </w:p>
    <w:p w14:paraId="1216B776" w14:textId="77777777" w:rsidR="00A60DDE" w:rsidRDefault="00095506">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B1.1 Aer curat și eficiență energetică</w:t>
      </w:r>
    </w:p>
    <w:p w14:paraId="1216B777" w14:textId="66F95536" w:rsidR="00A60DDE" w:rsidRDefault="00095506">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Obiectivul reformei este de a reduce emisiile de gaze cu efect de seră din anumite sectoare economice și de a spori eficiența energetică a acestora. Aceasta vizează, de asemenea, îmbunătățirea calității aerului prin accelerarea procesului de înlocuire a surselor poluante de producere a energiei termice și electrice.</w:t>
      </w:r>
    </w:p>
    <w:p w14:paraId="1216B778" w14:textId="02AC6486" w:rsidR="00A60DDE" w:rsidRDefault="00095506">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color w:val="000000" w:themeColor="text1"/>
        </w:rPr>
        <w:t>Aceste obiective trebuie atinse, în primul rând, printr-un set de măsuri de optimizare a sprijinului pentru investiții în eficiența energetică, în principal ca parte a schemei de obligații în materie de eficiență energetică. Acestea includ facilitarea utilizării contractelor de performanță energetică în sectorul public, posibilitatea ca entitățile care intră sub incidența sistemului de obligații în materie de eficiență energetică să își achite obligațiile de economisire a energiei în cadrul așa-numitelor programe de subvenționare și facilitarea participării întreprinderilor de servicii energetice la sistemul de obligații în materie de eficiență energetică. Acest lucru se realizează printr-o modificare a Legii privind eficiența energetică coroborată cu modificări ale legii privind sprijinirea termo</w:t>
      </w:r>
      <w:r w:rsidR="005631E2">
        <w:rPr>
          <w:noProof/>
          <w:color w:val="000000" w:themeColor="text1"/>
        </w:rPr>
        <w:t>-</w:t>
      </w:r>
      <w:r>
        <w:rPr>
          <w:noProof/>
          <w:color w:val="000000" w:themeColor="text1"/>
        </w:rPr>
        <w:t xml:space="preserve">modernizării și a renovărilor și privind registrul central de emisii al clădirilor; legea privind sprijinul financiar pentru crearea de spații rezidențiale pentru închiriere; legea privind anumite tipuri de sprijin pentru </w:t>
      </w:r>
      <w:r>
        <w:rPr>
          <w:noProof/>
        </w:rPr>
        <w:t>locuințe; și legea privind sursele regenerabile de energie. Aceste acte juridice urmau să intre în vigoare până la 31 martie 2022.</w:t>
      </w:r>
    </w:p>
    <w:p w14:paraId="1216B779" w14:textId="1984A98C" w:rsidR="00A60DDE" w:rsidRDefault="00095506">
      <w:pPr>
        <w:pStyle w:val="P68B1DB1-Normal050"/>
        <w:pBdr>
          <w:top w:val="nil"/>
          <w:left w:val="nil"/>
          <w:bottom w:val="nil"/>
          <w:right w:val="nil"/>
          <w:between w:val="nil"/>
        </w:pBdr>
        <w:spacing w:before="120" w:after="120" w:line="240" w:lineRule="auto"/>
        <w:jc w:val="both"/>
        <w:rPr>
          <w:rFonts w:eastAsia="Times New Roman" w:cs="Times New Roman"/>
          <w:noProof/>
        </w:rPr>
      </w:pPr>
      <w:r>
        <w:rPr>
          <w:noProof/>
        </w:rPr>
        <w:t>În al doilea rând, obiectivele reformei „Aer curat și eficiență energetică” se realizează prin dezvoltarea programului prioritar „Aer curat” în conformitate cu strategia de renovare pe termen lung în temeiul Directivei privind performanța energetică a clădirilor (2010/31/UE), care este principalul vehicul pentru măsurile de eficiență energetică a clădirilor. Prin urmare, eficiența punerii în aplicare a actualului program „Aer curat” va fi sporită prin raționalizarea procedurilor de depunere a cererilor. Acesta dezvoltă un sprijin specific care vizează gospodăriile cu cele mai mici venituri, gospodăriile cu venituri mici și gospodăriile cu venituri mai mari, în cazul acestora din urmă, în special cu implicarea sectorului bancar care acordă împrumuturi combinate cu granturi. Aceste modificări pun bazele implementării sprijinului din cadrul investiției B1.1.2</w:t>
      </w:r>
      <w:r>
        <w:rPr>
          <w:i/>
          <w:noProof/>
        </w:rPr>
        <w:t xml:space="preserve"> „Înlocuirea surselor de căldură și îmbunătățirea eficienței energetice în clădirile rezidențiale cu o singură familie”, </w:t>
      </w:r>
      <w:r>
        <w:rPr>
          <w:noProof/>
        </w:rPr>
        <w:t>permițând creșterea semnificativă a ratei renovărilor clădirilor și a înlocuirii încălzitoarelor sprijinite în cadrul programului respectiv. Actualizările programului prioritar „Aer curat” se adoptă până la 31 martie 2023.</w:t>
      </w:r>
    </w:p>
    <w:p w14:paraId="1216B77A" w14:textId="5DA7ED8D" w:rsidR="00A60DDE" w:rsidRDefault="00095506">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rPr>
        <w:t>Al treilea element care stă la baza acestei reforme este o actualizare a Programului național de protecție a aerului. Programul definește un set cuprinzător și pe termen lung de cerințe și condiții favorabile pentru autoritățile regionale și locale în vederea asigurării unei îmbunătățiri a calității aerului. Aceste autorități sunt mandatate să ia măsuri specifice pentru a reduce nivelul poluanților atmosferici emiși de încălzirea locuințelor și de transporturi atunci când se depășește un anumit prag de poluare a aerului. Autorităților locale și regionale li se alocă, de asemenea, un buget specific pentru asigurarea respectării normelor de protecție a aerului, stabilit în special în cadrul așa-numitelor „rezoluții împotriva smogului”. Programul național actualizat de protecție a aerului prevede încetarea oricărui sprijin public pentru investiții în instalații noi de încălzire pe bază de cărbune până la 31 decembrie 2021.</w:t>
      </w:r>
    </w:p>
    <w:p w14:paraId="1216B77B" w14:textId="0E512094" w:rsidR="00A60DDE" w:rsidRDefault="00095506">
      <w:pPr>
        <w:pStyle w:val="P68B1DB1-Normal050"/>
        <w:pBdr>
          <w:top w:val="nil"/>
          <w:left w:val="nil"/>
          <w:bottom w:val="nil"/>
          <w:right w:val="nil"/>
          <w:between w:val="nil"/>
        </w:pBdr>
        <w:spacing w:after="0" w:line="240" w:lineRule="auto"/>
        <w:jc w:val="both"/>
        <w:rPr>
          <w:noProof/>
        </w:rPr>
      </w:pPr>
      <w:r>
        <w:rPr>
          <w:noProof/>
        </w:rPr>
        <w:t>Al patrulea element al reformei este un regulament modificat al ministrului climei și mediului de stabilire a standardelor pentru combustibilii solizi. Pentru combustibilii solizi din biomasă, regulamentul stabilește standarde de calitate numai pentru cei destinați utilizării casnice, inclusiv pentru peletele din lemn. În urma interzicerii cărbunelui de calitate inferioară pentru încălzirea locuințelor, adoptată în 2018, această modificare stabilește, de asemenea, standarde minime pentru combustibilii solizi.</w:t>
      </w:r>
    </w:p>
    <w:p w14:paraId="1216B77C" w14:textId="77777777" w:rsidR="00A60DDE" w:rsidRDefault="00A60DDE">
      <w:pPr>
        <w:pStyle w:val="Normal0"/>
        <w:pBdr>
          <w:top w:val="nil"/>
          <w:left w:val="nil"/>
          <w:bottom w:val="nil"/>
          <w:right w:val="nil"/>
          <w:between w:val="nil"/>
        </w:pBdr>
        <w:spacing w:after="0" w:line="240" w:lineRule="auto"/>
        <w:jc w:val="both"/>
        <w:rPr>
          <w:rFonts w:ascii="Times New Roman" w:eastAsia="Times New Roman" w:hAnsi="Times New Roman" w:cs="Times New Roman"/>
          <w:noProof/>
          <w:sz w:val="24"/>
          <w:szCs w:val="24"/>
        </w:rPr>
      </w:pPr>
    </w:p>
    <w:p w14:paraId="1216B77D" w14:textId="77777777" w:rsidR="00A60DDE" w:rsidRDefault="00095506">
      <w:pPr>
        <w:pStyle w:val="P68B1DB1-Normal051"/>
        <w:pBdr>
          <w:top w:val="nil"/>
          <w:left w:val="nil"/>
          <w:bottom w:val="nil"/>
          <w:right w:val="nil"/>
          <w:between w:val="nil"/>
        </w:pBdr>
        <w:spacing w:before="120" w:after="120" w:line="240" w:lineRule="auto"/>
        <w:jc w:val="both"/>
        <w:rPr>
          <w:rFonts w:eastAsia="Times New Roman" w:cs="Times New Roman"/>
          <w:bCs/>
          <w:noProof/>
          <w:szCs w:val="24"/>
        </w:rPr>
      </w:pPr>
      <w:r>
        <w:rPr>
          <w:noProof/>
        </w:rPr>
        <w:t>B1.1.1 Investiții în surse de căldură în sisteme de termoficare</w:t>
      </w:r>
    </w:p>
    <w:p w14:paraId="1216B77E" w14:textId="77777777" w:rsidR="00A60DDE" w:rsidRDefault="00095506">
      <w:pPr>
        <w:pStyle w:val="P68B1DB1-Normal050"/>
        <w:pBdr>
          <w:top w:val="nil"/>
          <w:left w:val="nil"/>
          <w:bottom w:val="nil"/>
          <w:right w:val="nil"/>
          <w:between w:val="nil"/>
        </w:pBdr>
        <w:spacing w:before="120" w:after="120" w:line="240" w:lineRule="auto"/>
        <w:jc w:val="both"/>
        <w:rPr>
          <w:noProof/>
          <w:color w:val="000000" w:themeColor="text1"/>
        </w:rPr>
      </w:pPr>
      <w:r>
        <w:rPr>
          <w:noProof/>
        </w:rPr>
        <w:t xml:space="preserve">Obiectivul acestei investiții este de a moderniza încălzirea centralizată și de a reduce emisiile de gaze cu efect de seră. Această investiție constă în acorduri semnate </w:t>
      </w:r>
      <w:r>
        <w:rPr>
          <w:noProof/>
          <w:color w:val="000000" w:themeColor="text1"/>
        </w:rPr>
        <w:t>pentru instalații de producere a energiei termice pentru încălzirea centralizată.</w:t>
      </w:r>
    </w:p>
    <w:p w14:paraId="1216B77F" w14:textId="2AC5916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780"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B1.1.2 Înlocuirea surselor de căldură și îmbunătățirea eficienței energetice în clădirile rezidențiale unifamiliale</w:t>
      </w:r>
    </w:p>
    <w:p w14:paraId="1216B781" w14:textId="77777777" w:rsidR="00A60DDE" w:rsidRDefault="00095506">
      <w:pPr>
        <w:pStyle w:val="P68B1DB1-Normal037"/>
        <w:spacing w:before="120" w:after="120" w:line="240" w:lineRule="auto"/>
        <w:jc w:val="both"/>
        <w:rPr>
          <w:noProof/>
        </w:rPr>
      </w:pPr>
      <w:r>
        <w:rPr>
          <w:noProof/>
        </w:rPr>
        <w:t>Obiectivul investiției este creșterea eficienței energetice în clădirile rezidențiale cu o singură familie. Investiția constă în sprijinirea (i) înlocuirii surselor de căldură; sau (ii) modernizarea termică a clădirilor unifamiliale; sau (iii) instalații din surse regenerabile de energie.</w:t>
      </w:r>
    </w:p>
    <w:p w14:paraId="1216B782" w14:textId="77777777" w:rsidR="00A60DDE" w:rsidRDefault="00A60DDE">
      <w:pPr>
        <w:pStyle w:val="Normal0"/>
        <w:spacing w:before="120" w:after="120" w:line="240" w:lineRule="auto"/>
        <w:jc w:val="both"/>
        <w:rPr>
          <w:rFonts w:ascii="Times New Roman" w:eastAsia="Times New Roman" w:hAnsi="Times New Roman" w:cs="Times New Roman"/>
          <w:noProof/>
          <w:color w:val="000000"/>
          <w:sz w:val="24"/>
          <w:szCs w:val="24"/>
          <w:u w:val="single"/>
        </w:rPr>
      </w:pPr>
    </w:p>
    <w:p w14:paraId="1216B783"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B1.1.3 Modernizarea termică a instituțiilor de învățământ</w:t>
      </w:r>
    </w:p>
    <w:p w14:paraId="1216B784" w14:textId="595B85E3" w:rsidR="00A60DDE" w:rsidRDefault="00095506">
      <w:pPr>
        <w:pStyle w:val="P68B1DB1-Normal037"/>
        <w:spacing w:before="120" w:after="120" w:line="240" w:lineRule="auto"/>
        <w:jc w:val="both"/>
        <w:rPr>
          <w:noProof/>
        </w:rPr>
      </w:pPr>
      <w:r>
        <w:rPr>
          <w:noProof/>
        </w:rPr>
        <w:t>Obiectivul acestei investiții este creșterea eficienței energetice a instituțiilor de învățământ. Această măsură constă în contracte semnate pentru instalații sau modernizări de surse de căldură, instalații de surse regenerabile de energie sau modernizări termice în clădirile instituțiilor de învățământ.</w:t>
      </w:r>
    </w:p>
    <w:p w14:paraId="1216B786" w14:textId="272C312E" w:rsidR="00A60DDE" w:rsidRDefault="00095506">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B1.1.4 Creșterea eficienței energetice a facilităților de activitate socială</w:t>
      </w:r>
    </w:p>
    <w:p w14:paraId="1216B787" w14:textId="2A990AEC" w:rsidR="00A60DDE" w:rsidRDefault="00095506">
      <w:pPr>
        <w:pStyle w:val="P68B1DB1-Normal037"/>
        <w:pBdr>
          <w:top w:val="nil"/>
          <w:left w:val="nil"/>
          <w:bottom w:val="nil"/>
          <w:right w:val="nil"/>
          <w:between w:val="nil"/>
        </w:pBdr>
        <w:spacing w:before="120" w:after="120" w:line="240" w:lineRule="auto"/>
        <w:jc w:val="both"/>
        <w:rPr>
          <w:noProof/>
        </w:rPr>
      </w:pPr>
      <w:r>
        <w:rPr>
          <w:noProof/>
        </w:rPr>
        <w:t>Obiectivul acestei investiții este de a spori eficiența energetică a facilităților de activitate socială. Această măsură constă în termo</w:t>
      </w:r>
      <w:r w:rsidR="005631E2">
        <w:rPr>
          <w:noProof/>
        </w:rPr>
        <w:t>-</w:t>
      </w:r>
      <w:r>
        <w:rPr>
          <w:noProof/>
        </w:rPr>
        <w:t>modernizarea facilităților de activitate socială (biblioteci, centre culturale sau comunitare), care pot include instalarea de surse de căldură și/sau surse regenerabile de energie.</w:t>
      </w:r>
    </w:p>
    <w:p w14:paraId="1216B788" w14:textId="77777777" w:rsidR="00A60DDE" w:rsidRDefault="00095506">
      <w:pPr>
        <w:pStyle w:val="P68B1DB1-Normal037"/>
        <w:pBdr>
          <w:top w:val="nil"/>
          <w:left w:val="nil"/>
          <w:bottom w:val="nil"/>
          <w:right w:val="nil"/>
          <w:between w:val="nil"/>
        </w:pBdr>
        <w:spacing w:before="120" w:after="120" w:line="240" w:lineRule="auto"/>
        <w:jc w:val="both"/>
        <w:rPr>
          <w:noProof/>
          <w:color w:val="000000"/>
        </w:rPr>
      </w:pPr>
      <w:r>
        <w:rPr>
          <w:noProof/>
        </w:rPr>
        <w:t xml:space="preserve"> </w:t>
      </w:r>
    </w:p>
    <w:p w14:paraId="1216B789" w14:textId="1838F92E"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B1.1.5 Investiții în eficiența energetică a clădirilor rezidențiale cu mai multe apartamente</w:t>
      </w:r>
    </w:p>
    <w:p w14:paraId="1216B78A" w14:textId="1AC43DF4" w:rsidR="00A60DDE" w:rsidRDefault="00095506">
      <w:pPr>
        <w:pStyle w:val="P68B1DB1-Normal050"/>
        <w:spacing w:before="120" w:after="120" w:line="240" w:lineRule="auto"/>
        <w:jc w:val="both"/>
        <w:rPr>
          <w:noProof/>
        </w:rPr>
      </w:pPr>
      <w:r>
        <w:rPr>
          <w:noProof/>
          <w:color w:val="000000" w:themeColor="text1"/>
        </w:rPr>
        <w:t xml:space="preserve">Obiectivul acestei investiții este creșterea eficienței energetice a clădirilor cu mai multe apartamente. Investiția </w:t>
      </w:r>
      <w:r>
        <w:rPr>
          <w:noProof/>
        </w:rPr>
        <w:t>constă în (i) modernizarea termică a clădirilor rezidențiale cu mai multe apartamente; sau (ii) instalarea de surse regenerabile de energie în astfel de clădiri.</w:t>
      </w:r>
    </w:p>
    <w:p w14:paraId="1216B78B" w14:textId="77777777" w:rsidR="00A60DDE" w:rsidRDefault="00A60DDE">
      <w:pPr>
        <w:pStyle w:val="Normal0"/>
        <w:spacing w:before="120" w:after="120" w:line="240" w:lineRule="auto"/>
        <w:jc w:val="both"/>
        <w:rPr>
          <w:rFonts w:ascii="Times New Roman" w:eastAsia="Times New Roman" w:hAnsi="Times New Roman" w:cs="Times New Roman"/>
          <w:noProof/>
          <w:sz w:val="24"/>
          <w:szCs w:val="24"/>
          <w:u w:val="single"/>
        </w:rPr>
      </w:pPr>
    </w:p>
    <w:p w14:paraId="1216B78C" w14:textId="77777777" w:rsidR="00A60DDE" w:rsidRDefault="00095506">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B2.1 Îmbunătățirea condițiilor pentru dezvoltarea tehnologiilor pe bază de hidrogen și a altor gaze decarbonizate</w:t>
      </w:r>
    </w:p>
    <w:p w14:paraId="1216B78D"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dezvolta o piață pentru hidrogenul din surse regenerabile și cu emisii scăzute de dioxid de carbon și pentru alți combustibili alternativi.</w:t>
      </w:r>
    </w:p>
    <w:p w14:paraId="1216B78E"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Măsura constă în două acțiuni. Prima vizează crearea unui cadru de reglementare pentru funcționarea hidrogenului ca combustibil alternativ pentru transport prin introducerea unor dispoziții pentru construirea, exploatarea în condiții de siguranță și modernizarea stațiilor de hidrogen, precum și a autorităților responsabile cu autorizarea utilizării stațiilor de hidrogen și a inspecției tehnice necesare a acestora. Acesta stabilește, de asemenea, un sistem de monitorizare și control al calității combustibililor pe bază de hidrogen utilizați pentru propulsia vehiculelor. Punerea în aplicare a acțiunii urma să fie finalizată până la 30 decembrie 2021.</w:t>
      </w:r>
    </w:p>
    <w:p w14:paraId="1216B78F"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Cea de a doua acțiune vizează instituirea infrastructurii și a organizării piețelor hidrogenului, cu scopul de a sprijini adoptarea pe piață a hidrogenului din surse regenerabile și cu emisii scăzute de dioxid de carbon, integrarea producției de hidrogen pe alte piețe ale energiei, precum și infrastructura existentă și specifică, cu scopul de a crea previzibilitate în materie de reglementare pentru investitori și de a sprijini adoptarea hidrogenului din surse regenerabile și cu emisii scăzute de dioxid de carbon. Reformele respectă Orientările tehnice de „a nu prejudicia în mod semnificativ” (2021/C 58/01), asigurându-se că reforma nu îngreunează utilizarea și comercializarea hidrogenului din surse regenerabile mai mult decât alte surse de hidrogen. Reforma urmărește să dezvolte hidrogenul din surse regenerabile sau hidrogenul produs din electrolizoare și să promoveze hidrogenul cu emisii scăzute de dioxid de carbon care respectă strategia UE privind hidrogenul.</w:t>
      </w:r>
    </w:p>
    <w:p w14:paraId="1216B790" w14:textId="77777777" w:rsidR="00A60DDE" w:rsidRDefault="00095506">
      <w:pPr>
        <w:pStyle w:val="P68B1DB1-Normal047"/>
        <w:spacing w:before="120" w:after="120" w:line="240" w:lineRule="auto"/>
        <w:jc w:val="both"/>
        <w:rPr>
          <w:noProof/>
        </w:rPr>
      </w:pPr>
      <w:r>
        <w:rPr>
          <w:noProof/>
        </w:rPr>
        <w:t>Punerea în aplicare a acestei acțiuni se finalizează până la 31 decembrie 2023.</w:t>
      </w:r>
    </w:p>
    <w:p w14:paraId="477FDAF8"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b/>
          <w:noProof/>
          <w:color w:val="000000" w:themeColor="text1"/>
          <w:sz w:val="24"/>
          <w:u w:val="single"/>
        </w:rPr>
      </w:pPr>
    </w:p>
    <w:p w14:paraId="1216B793" w14:textId="5E85A10A" w:rsidR="00A60DDE" w:rsidRDefault="00095506">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B2.1.1 Investiții în hidrogen, producția, stocarea și transportul hidrogenului</w:t>
      </w:r>
    </w:p>
    <w:p w14:paraId="1216B794" w14:textId="77777777" w:rsidR="00A60DDE" w:rsidRDefault="00095506">
      <w:pPr>
        <w:pStyle w:val="P68B1DB1-Normal052"/>
        <w:pBdr>
          <w:top w:val="nil"/>
          <w:left w:val="nil"/>
          <w:bottom w:val="nil"/>
          <w:right w:val="nil"/>
          <w:between w:val="nil"/>
        </w:pBdr>
        <w:spacing w:before="120" w:after="120" w:line="240" w:lineRule="auto"/>
        <w:jc w:val="both"/>
        <w:rPr>
          <w:rFonts w:eastAsia="Times New Roman" w:cs="Times New Roman"/>
          <w:noProof/>
          <w:color w:val="000000" w:themeColor="text1"/>
          <w:sz w:val="24"/>
          <w:szCs w:val="24"/>
        </w:rPr>
      </w:pPr>
      <w:r>
        <w:rPr>
          <w:noProof/>
          <w:color w:val="000000" w:themeColor="text1"/>
          <w:sz w:val="24"/>
          <w:szCs w:val="24"/>
        </w:rPr>
        <w:t>Obiectivul investiției este de a crea o industrie a hidrogenului în Polonia și de a spori utilizarea hidrogenului din surse regenerabile și cu emisii scăzute de dioxid de carbon.</w:t>
      </w:r>
      <w:r>
        <w:rPr>
          <w:noProof/>
        </w:rPr>
        <w:t xml:space="preserve"> </w:t>
      </w:r>
      <w:r>
        <w:rPr>
          <w:noProof/>
          <w:color w:val="000000" w:themeColor="text1"/>
          <w:sz w:val="24"/>
          <w:szCs w:val="24"/>
        </w:rPr>
        <w:t>Investiția constă în două acțiuni.</w:t>
      </w:r>
    </w:p>
    <w:p w14:paraId="1216B795" w14:textId="43300188" w:rsidR="00A60DDE" w:rsidRDefault="00095506">
      <w:pPr>
        <w:pStyle w:val="P68B1DB1-paragraph53"/>
        <w:spacing w:before="120" w:beforeAutospacing="0" w:after="120" w:afterAutospacing="0"/>
        <w:jc w:val="both"/>
        <w:textAlignment w:val="baseline"/>
        <w:rPr>
          <w:noProof/>
        </w:rPr>
      </w:pPr>
      <w:r>
        <w:rPr>
          <w:noProof/>
        </w:rPr>
        <w:t>În primul rând, o investiție care constă în proiectarea și construcția unui prototip de vehicul feroviar de călători pe bază de hidrogen și/sau în extinderea capacității de producție a vehiculelor pe bază de hidrogen.</w:t>
      </w:r>
    </w:p>
    <w:p w14:paraId="1216B796" w14:textId="77777777" w:rsidR="00A60DDE" w:rsidRDefault="00095506">
      <w:pPr>
        <w:pStyle w:val="paragraph"/>
        <w:spacing w:before="120" w:beforeAutospacing="0" w:after="120" w:afterAutospacing="0"/>
        <w:jc w:val="both"/>
        <w:textAlignment w:val="baseline"/>
        <w:rPr>
          <w:noProof/>
        </w:rPr>
      </w:pPr>
      <w:r>
        <w:rPr>
          <w:rStyle w:val="normaltextrun"/>
          <w:rFonts w:ascii="Times" w:hAnsi="Times"/>
          <w:noProof/>
        </w:rPr>
        <w:t>În al doilea rând, trebuie să aibă loc o investiție publică</w:t>
      </w:r>
      <w:r>
        <w:rPr>
          <w:noProof/>
        </w:rPr>
        <w:t xml:space="preserve"> într-un sistem de subvenții, pentru a stimula investițiile private și a îmbunătăți accesul la finanțare în sectorul producției de hidrogen din surse regenerabile și cu emisii scăzute de dioxid de carbon din Polonia. Sistemul funcționează prin acordarea de subvenții direct sectorului privat. Pe baza investiției MRR, schema urmărește să ofere inițial subvenții în valoare de cel puțin</w:t>
      </w:r>
      <w:r>
        <w:rPr>
          <w:noProof/>
          <w:color w:val="006100"/>
        </w:rPr>
        <w:t> </w:t>
      </w:r>
      <w:r>
        <w:rPr>
          <w:noProof/>
        </w:rPr>
        <w:t>514</w:t>
      </w:r>
      <w:r>
        <w:rPr>
          <w:noProof/>
          <w:color w:val="006100"/>
        </w:rPr>
        <w:t> </w:t>
      </w:r>
      <w:r>
        <w:rPr>
          <w:noProof/>
        </w:rPr>
        <w:t>105</w:t>
      </w:r>
      <w:r>
        <w:rPr>
          <w:noProof/>
          <w:color w:val="006100"/>
        </w:rPr>
        <w:t> </w:t>
      </w:r>
      <w:r>
        <w:rPr>
          <w:noProof/>
        </w:rPr>
        <w:t>514 EUR.</w:t>
      </w:r>
      <w:r>
        <w:rPr>
          <w:rStyle w:val="FootnoteReference"/>
          <w:noProof/>
        </w:rPr>
        <w:footnoteReference w:id="23"/>
      </w:r>
    </w:p>
    <w:p w14:paraId="1216B797" w14:textId="656771C6" w:rsidR="00A60DDE" w:rsidRDefault="00095506">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Schema este gestionată de Bank Gospodarstwa Krajowego (BGK) în calitate de partener de implementare.</w:t>
      </w:r>
    </w:p>
    <w:p w14:paraId="1216B798" w14:textId="7589676B" w:rsidR="00A60DDE" w:rsidRDefault="00095506">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Sistemul include următoarea linie de produse:</w:t>
      </w:r>
    </w:p>
    <w:p w14:paraId="1216B799" w14:textId="4C849E62" w:rsidR="00A60DDE" w:rsidRDefault="00095506">
      <w:pPr>
        <w:pStyle w:val="paragraph"/>
        <w:numPr>
          <w:ilvl w:val="0"/>
          <w:numId w:val="13"/>
        </w:numPr>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shd w:val="clear" w:color="auto" w:fill="FFFFFF" w:themeFill="background1"/>
        </w:rPr>
        <w:t xml:space="preserve">Subvenții directe acordate entităților private sau entităților </w:t>
      </w:r>
      <w:r>
        <w:rPr>
          <w:noProof/>
          <w:shd w:val="clear" w:color="auto" w:fill="FFFFFF" w:themeFill="background1"/>
        </w:rPr>
        <w:t xml:space="preserve">din sectorul public implicate în activități similare </w:t>
      </w:r>
      <w:r>
        <w:rPr>
          <w:rStyle w:val="normaltextrun"/>
          <w:rFonts w:ascii="Times" w:hAnsi="Times"/>
          <w:noProof/>
          <w:shd w:val="clear" w:color="auto" w:fill="FFFFFF" w:themeFill="background1"/>
        </w:rPr>
        <w:t>pentru a-și</w:t>
      </w:r>
      <w:r>
        <w:rPr>
          <w:rStyle w:val="normaltextrun"/>
          <w:rFonts w:ascii="Times" w:hAnsi="Times"/>
          <w:noProof/>
        </w:rPr>
        <w:t xml:space="preserve"> finanța</w:t>
      </w:r>
      <w:r>
        <w:rPr>
          <w:rStyle w:val="normaltextrun"/>
          <w:rFonts w:ascii="Times" w:hAnsi="Times"/>
          <w:noProof/>
          <w:shd w:val="clear" w:color="auto" w:fill="FFFFFF" w:themeFill="background1"/>
        </w:rPr>
        <w:t xml:space="preserve"> investițiile în capacitatea de producție de hidrogen din surse regenerabile și cu emisii scăzute de dioxid de carbon, inclusiv electrolizoare, și în infrastructura asociată.</w:t>
      </w:r>
    </w:p>
    <w:p w14:paraId="1216B79A" w14:textId="16BCED32" w:rsidR="00A60DDE" w:rsidRDefault="00095506">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Pentru a pune în aplicare investiția în schemă, Polonia și BGK semnează un acord de punere în aplicare care include următorul conținut:</w:t>
      </w:r>
    </w:p>
    <w:p w14:paraId="1216B79B" w14:textId="77777777" w:rsidR="00A60DDE" w:rsidRDefault="00095506">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ascii="Times" w:hAnsi="Times"/>
          <w:noProof/>
        </w:rPr>
        <w:t>Descrierea procesului decizional al sistemului: Decizia finală de atribuire a schemei este luată de un comitet pentru investiții sau de un alt organism de conducere echivalent relevant și este aprobată cu majoritatea voturilor membrilor independenți de guvern.</w:t>
      </w:r>
    </w:p>
    <w:p w14:paraId="1216B79C" w14:textId="77777777" w:rsidR="00A60DDE" w:rsidRDefault="00095506">
      <w:pPr>
        <w:pStyle w:val="P68B1DB1-paragraph54"/>
        <w:numPr>
          <w:ilvl w:val="0"/>
          <w:numId w:val="14"/>
        </w:numPr>
        <w:spacing w:before="120" w:beforeAutospacing="0" w:after="120" w:afterAutospacing="0"/>
        <w:jc w:val="both"/>
        <w:textAlignment w:val="baseline"/>
        <w:rPr>
          <w:rFonts w:eastAsia="Times" w:cs="Times"/>
          <w:noProof/>
        </w:rPr>
      </w:pPr>
      <w:r>
        <w:rPr>
          <w:noProof/>
        </w:rPr>
        <w:t xml:space="preserve"> Cerințele-cheie ale politicii de subvenționare asociate,</w:t>
      </w:r>
      <w:r>
        <w:rPr>
          <w:b/>
          <w:noProof/>
        </w:rPr>
        <w:t xml:space="preserve"> </w:t>
      </w:r>
      <w:r>
        <w:rPr>
          <w:noProof/>
        </w:rPr>
        <w:t>care includ:</w:t>
      </w:r>
    </w:p>
    <w:p w14:paraId="1216B79D" w14:textId="1B0190E1" w:rsidR="00A60DDE" w:rsidRDefault="00095506">
      <w:pPr>
        <w:pStyle w:val="P68B1DB1-ListParagraph55"/>
        <w:numPr>
          <w:ilvl w:val="0"/>
          <w:numId w:val="15"/>
        </w:numPr>
        <w:spacing w:before="120" w:after="120" w:line="257" w:lineRule="auto"/>
        <w:ind w:left="1134"/>
        <w:jc w:val="both"/>
        <w:textAlignment w:val="baseline"/>
        <w:rPr>
          <w:rFonts w:eastAsia="Times" w:cs="Times"/>
          <w:noProof/>
        </w:rPr>
      </w:pPr>
      <w:r>
        <w:rPr>
          <w:noProof/>
        </w:rPr>
        <w:t>Descrierea subvențiilor acordate și a beneficiarilor finali eligibili, ținând seama de obiectivul ca acordurile de subvenționare încheiate între schemă și beneficiarii finali să aibă ca rezultat o capacitate de producție instalată de cel puțin 315 MW de hidrogen din surse regenerabile și cu emisii scăzute de dioxid de carbon.</w:t>
      </w:r>
    </w:p>
    <w:p w14:paraId="1216B79E" w14:textId="77777777" w:rsidR="00A60DDE" w:rsidRDefault="00095506">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Cerința ca toate investițiile sprijinite să fie viabile din punct</w:t>
      </w:r>
      <w:r>
        <w:rPr>
          <w:b/>
          <w:noProof/>
        </w:rPr>
        <w:t xml:space="preserve"> de vedere economic.</w:t>
      </w:r>
    </w:p>
    <w:p w14:paraId="1216B79F" w14:textId="261FCABA" w:rsidR="00A60DDE" w:rsidRDefault="00095506">
      <w:pPr>
        <w:pStyle w:val="ListParagraph"/>
        <w:numPr>
          <w:ilvl w:val="0"/>
          <w:numId w:val="15"/>
        </w:numPr>
        <w:spacing w:before="120" w:after="120" w:line="240" w:lineRule="auto"/>
        <w:ind w:left="1134"/>
        <w:jc w:val="both"/>
        <w:textAlignment w:val="baseline"/>
        <w:rPr>
          <w:rStyle w:val="normaltextrun"/>
          <w:rFonts w:ascii="Times New Roman" w:eastAsia="Times New Roman" w:hAnsi="Times New Roman" w:cs="Times New Roman"/>
          <w:noProof/>
          <w:sz w:val="24"/>
          <w:szCs w:val="24"/>
        </w:rPr>
      </w:pPr>
      <w:r>
        <w:rPr>
          <w:rStyle w:val="normaltextrun"/>
          <w:rFonts w:ascii="Times New Roman" w:hAnsi="Times New Roman"/>
          <w:noProof/>
          <w:sz w:val="24"/>
          <w:szCs w:val="24"/>
        </w:rPr>
        <w:t>Cerința de a respecta principiul de „a nu aduce prejudicii semnificative”, astfel cum este prevăzut în Orientările tehnice privind principiul de „a nu aduce prejudicii semnificative”</w:t>
      </w:r>
      <w:r>
        <w:rPr>
          <w:rStyle w:val="normaltextrun"/>
          <w:rFonts w:ascii="Times New Roman" w:hAnsi="Times New Roman"/>
          <w:noProof/>
          <w:color w:val="000000" w:themeColor="text1"/>
          <w:sz w:val="24"/>
          <w:szCs w:val="24"/>
        </w:rPr>
        <w:t>[(2023) 6454 final].</w:t>
      </w:r>
      <w:r>
        <w:rPr>
          <w:rStyle w:val="normaltextrun"/>
          <w:rFonts w:ascii="Times New Roman" w:hAnsi="Times New Roman"/>
          <w:noProof/>
          <w:sz w:val="24"/>
          <w:szCs w:val="24"/>
        </w:rPr>
        <w:t xml:space="preserve">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noProof/>
          <w:sz w:val="24"/>
          <w:szCs w:val="24"/>
        </w:rPr>
        <w:footnoteReference w:id="24"/>
      </w:r>
      <w:r>
        <w:rPr>
          <w:rStyle w:val="normaltextrun"/>
          <w:rFonts w:ascii="Times New Roman" w:hAnsi="Times New Roman"/>
          <w:noProof/>
          <w:sz w:val="24"/>
          <w:szCs w:val="24"/>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sz w:val="24"/>
          <w:szCs w:val="24"/>
        </w:rPr>
        <w:footnoteReference w:id="25"/>
      </w:r>
      <w:r>
        <w:rPr>
          <w:rStyle w:val="normaltextrun"/>
          <w:rFonts w:ascii="Times New Roman" w:hAnsi="Times New Roman"/>
          <w:noProof/>
          <w:sz w:val="24"/>
          <w:szCs w:val="24"/>
        </w:rPr>
        <w:t>(iii) activitățile și activele legate de depozitele de deșeuri, incineratoare</w:t>
      </w:r>
      <w:r>
        <w:rPr>
          <w:rStyle w:val="FootnoteReference"/>
          <w:rFonts w:ascii="Times New Roman" w:hAnsi="Times New Roman"/>
          <w:noProof/>
          <w:sz w:val="24"/>
          <w:szCs w:val="24"/>
        </w:rPr>
        <w:footnoteReference w:id="26"/>
      </w:r>
      <w:r>
        <w:rPr>
          <w:rStyle w:val="normaltextrun"/>
          <w:rFonts w:ascii="Times New Roman" w:hAnsi="Times New Roman"/>
          <w:noProof/>
          <w:sz w:val="24"/>
          <w:szCs w:val="24"/>
        </w:rPr>
        <w:t xml:space="preserve"> și stațiile de tratare mecano-biologică</w:t>
      </w:r>
      <w:r>
        <w:rPr>
          <w:rStyle w:val="FootnoteReference"/>
          <w:rFonts w:ascii="Times New Roman" w:hAnsi="Times New Roman"/>
          <w:noProof/>
          <w:sz w:val="24"/>
          <w:szCs w:val="24"/>
        </w:rPr>
        <w:footnoteReference w:id="27"/>
      </w:r>
      <w:r>
        <w:rPr>
          <w:rStyle w:val="normaltextrun"/>
          <w:rFonts w:ascii="Times New Roman" w:hAnsi="Times New Roman"/>
          <w:noProof/>
          <w:sz w:val="24"/>
          <w:szCs w:val="24"/>
        </w:rPr>
        <w:t xml:space="preserve"> și (iv) activitățile și activele legate de minerit.</w:t>
      </w:r>
    </w:p>
    <w:p w14:paraId="1216B7A0" w14:textId="77777777" w:rsidR="00A60DDE" w:rsidRDefault="00095506">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Cerința ca beneficiarii finali ai sistemului să nu primească sprijin din partea altor instrumente ale Uniunii pentru a acoperi aceleași costuri.</w:t>
      </w:r>
    </w:p>
    <w:p w14:paraId="1216B7A1" w14:textId="77777777" w:rsidR="00A60DDE" w:rsidRDefault="00095506">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Cuantumul acoperit de acordul de punere în aplicare, structura taxelor pentru partenerul de punere în aplicare și cerința de a utiliza orice venituri neutilizate ale schemei, inclusiv după 2026, în aceleași scopuri de politică.</w:t>
      </w:r>
    </w:p>
    <w:p w14:paraId="1216B7A2" w14:textId="77777777" w:rsidR="00A60DDE" w:rsidRDefault="00095506">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Cerințe de monitorizare, audit și control, inclusiv:</w:t>
      </w:r>
    </w:p>
    <w:p w14:paraId="1216B7A3" w14:textId="77777777" w:rsidR="00A60DDE" w:rsidRDefault="00095506">
      <w:pPr>
        <w:pStyle w:val="P68B1DB1-Normal56"/>
        <w:numPr>
          <w:ilvl w:val="1"/>
          <w:numId w:val="16"/>
        </w:numPr>
        <w:spacing w:before="120" w:after="120" w:line="240" w:lineRule="auto"/>
        <w:jc w:val="both"/>
        <w:rPr>
          <w:rFonts w:cs="Times New Roman"/>
          <w:noProof/>
          <w:szCs w:val="24"/>
        </w:rPr>
      </w:pPr>
      <w:r>
        <w:rPr>
          <w:noProof/>
        </w:rPr>
        <w:t>Descrierea sistemului de monitorizare al partenerului de implementare pentru raportarea subvențiilor mobilizate.</w:t>
      </w:r>
    </w:p>
    <w:p w14:paraId="1216B7A4" w14:textId="2CB103E2" w:rsidR="00A60DDE" w:rsidRDefault="00095506">
      <w:pPr>
        <w:pStyle w:val="P68B1DB1-Normal56"/>
        <w:numPr>
          <w:ilvl w:val="1"/>
          <w:numId w:val="16"/>
        </w:numPr>
        <w:spacing w:before="120" w:after="120" w:line="256" w:lineRule="auto"/>
        <w:jc w:val="both"/>
        <w:rPr>
          <w:rFonts w:cs="Times New Roman"/>
          <w:noProof/>
          <w:szCs w:val="24"/>
        </w:rPr>
      </w:pPr>
      <w:r>
        <w:rPr>
          <w:noProof/>
        </w:rPr>
        <w:t>Descrierea procedurilor partenerului de implementare care vor asigura prevenirea, detectarea și corectarea fraudei, a corupției și a conflictelor de interese.</w:t>
      </w:r>
    </w:p>
    <w:p w14:paraId="1216B7A5" w14:textId="77777777" w:rsidR="00A60DDE" w:rsidRDefault="00095506">
      <w:pPr>
        <w:pStyle w:val="P68B1DB1-Normal56"/>
        <w:numPr>
          <w:ilvl w:val="1"/>
          <w:numId w:val="16"/>
        </w:numPr>
        <w:spacing w:before="120" w:after="120" w:line="256" w:lineRule="auto"/>
        <w:jc w:val="both"/>
        <w:rPr>
          <w:rFonts w:cs="Times New Roman"/>
          <w:noProof/>
          <w:szCs w:val="24"/>
        </w:rPr>
      </w:pPr>
      <w:r>
        <w:rPr>
          <w:noProof/>
        </w:rPr>
        <w:t>Obligația de a verifica eligibilitatea fiecărei operațiuni în conformitate cu cerințele prevăzute în acordul de punere în aplicare înainte de a acorda o subvenție unei operațiuni.</w:t>
      </w:r>
    </w:p>
    <w:p w14:paraId="1216B7A7" w14:textId="0AFD6CFC" w:rsidR="00A60DDE" w:rsidRDefault="00095506">
      <w:pPr>
        <w:pStyle w:val="P68B1DB1-Normal57"/>
        <w:numPr>
          <w:ilvl w:val="1"/>
          <w:numId w:val="16"/>
        </w:numPr>
        <w:spacing w:before="120" w:after="120" w:line="240" w:lineRule="auto"/>
        <w:jc w:val="both"/>
        <w:rPr>
          <w:rFonts w:ascii="Times" w:eastAsia="Times" w:hAnsi="Times" w:cs="Times"/>
          <w:noProof/>
        </w:rPr>
      </w:pPr>
      <w:r>
        <w:rPr>
          <w:noProof/>
        </w:rPr>
        <w:t>Obligația de a efectua audituri ex post bazate pe riscuri în conformitate cu un plan de audit al BGK. Aceste audituri verifică i) eficacitatea sistemelor de control, inclusiv detectarea fraudei, a corupției și a conflictelor de interese; ii)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din acordul de punere în aplicare și din acordurile de subvenționare aplicabile.</w:t>
      </w:r>
    </w:p>
    <w:p w14:paraId="4012DECC" w14:textId="77777777" w:rsidR="00A60DDE" w:rsidRDefault="00A60DDE">
      <w:pPr>
        <w:spacing w:before="120" w:after="120" w:line="240" w:lineRule="auto"/>
        <w:ind w:left="1440"/>
        <w:jc w:val="both"/>
        <w:rPr>
          <w:rFonts w:ascii="Times" w:eastAsia="Times" w:hAnsi="Times" w:cs="Times"/>
          <w:noProof/>
          <w:sz w:val="24"/>
          <w:szCs w:val="24"/>
        </w:rPr>
      </w:pPr>
    </w:p>
    <w:p w14:paraId="1216B7A8"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B2.2.3 Construirea infrastructurii terminalelor offshore</w:t>
      </w:r>
    </w:p>
    <w:p w14:paraId="1216B7A9" w14:textId="1BF9CD13"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Obiectivul acestei investiții este de a facilita dezvoltarea infrastructurii eoliene offshore. Investiția constă în construirea unui nou terminal pentru instalațiile eoliene offshore și în modernizarea sau extinderea instalațiilor din porturile Łeba, Ustka și Darłowo.</w:t>
      </w:r>
    </w:p>
    <w:p w14:paraId="1216B7AA"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7AB" w14:textId="77777777" w:rsidR="00A60DDE" w:rsidRDefault="00095506">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B3.1 Sprijinirea gestionării durabile a apei și a apelor uzate în zonele rurale</w:t>
      </w:r>
    </w:p>
    <w:p w14:paraId="1216B7AC" w14:textId="374AC4B5"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se asigura că soluțiile alternative de gestionare a apei și a apelor uzate, cum ar fi stațiile de epurare individuale sau fosele septice, sunt monitorizate, întreținute și controlate în mod corespunzător pentru a preveni deteriorarea.</w:t>
      </w:r>
    </w:p>
    <w:p w14:paraId="1216B7AD"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Reforma constă în introducerea obligației municipalităților de a utiliza instrumente pentru a preveni eliminarea necorespunzătoare a apelor uzate și mecanismul așa-numitei performanțe de substituție, și anume organizarea golirii foselor septice de către municipalitate, aplicabile proprietarilor care nu au încheiat contracte pentru golirea foselor septice. Acesta introduce, de asemenea, obligația de a efectua controale periodice și introduce un mecanism eficace de asigurare a respectării legislației.</w:t>
      </w:r>
    </w:p>
    <w:p w14:paraId="1216B7AE" w14:textId="4A692055" w:rsidR="00A60DDE" w:rsidRDefault="00095506">
      <w:pPr>
        <w:pStyle w:val="P68B1DB1-Normal047"/>
        <w:pBdr>
          <w:top w:val="nil"/>
          <w:left w:val="nil"/>
          <w:bottom w:val="nil"/>
          <w:right w:val="nil"/>
          <w:between w:val="nil"/>
        </w:pBdr>
        <w:spacing w:line="240" w:lineRule="auto"/>
        <w:jc w:val="both"/>
        <w:rPr>
          <w:noProof/>
          <w:color w:val="000000"/>
        </w:rPr>
      </w:pPr>
      <w:r>
        <w:rPr>
          <w:noProof/>
        </w:rPr>
        <w:t>Punerea în aplicare a acestei acțiuni se finalizează până la 30 iunie 2022.</w:t>
      </w:r>
    </w:p>
    <w:p w14:paraId="1216B7AF" w14:textId="3E0A28C8" w:rsidR="00A60DDE" w:rsidRDefault="00095506">
      <w:pPr>
        <w:pStyle w:val="P68B1DB1-Normal047"/>
        <w:pBdr>
          <w:top w:val="nil"/>
          <w:left w:val="nil"/>
          <w:bottom w:val="nil"/>
          <w:right w:val="nil"/>
          <w:between w:val="nil"/>
        </w:pBdr>
        <w:spacing w:line="240" w:lineRule="auto"/>
        <w:jc w:val="both"/>
        <w:rPr>
          <w:noProof/>
          <w:color w:val="000000"/>
        </w:rPr>
      </w:pPr>
      <w:r>
        <w:rPr>
          <w:noProof/>
        </w:rPr>
        <w:t>Reforma stabilește, de asemenea, criterii teritoriale pentru selectarea beneficiarilor sprijinului pentru aprovizionarea cu apă sau pentru investițiile în ape uzate în zonele rurale. Criteriile de selecție acordă prioritate municipalităților cu cea mai redusă capacitate de a finanța investiții din resurse proprii și proiectelor cu cel mai mare potențial de atenuare a impactului negativ existent asupra mediului.</w:t>
      </w:r>
    </w:p>
    <w:p w14:paraId="1216B7B0" w14:textId="77777777" w:rsidR="00A60DDE" w:rsidRDefault="00095506">
      <w:pPr>
        <w:pStyle w:val="P68B1DB1-Normal047"/>
        <w:pBdr>
          <w:top w:val="nil"/>
          <w:left w:val="nil"/>
          <w:bottom w:val="nil"/>
          <w:right w:val="nil"/>
          <w:between w:val="nil"/>
        </w:pBdr>
        <w:spacing w:line="240" w:lineRule="auto"/>
        <w:jc w:val="both"/>
        <w:rPr>
          <w:rFonts w:eastAsia="Times New Roman" w:cs="Times New Roman"/>
          <w:noProof/>
          <w:color w:val="000000"/>
          <w:szCs w:val="24"/>
        </w:rPr>
      </w:pPr>
      <w:r>
        <w:rPr>
          <w:noProof/>
        </w:rPr>
        <w:t>Punerea în aplicare a acestei acțiuni urma să fie finalizată până la 31 decembrie 2021.</w:t>
      </w:r>
    </w:p>
    <w:p w14:paraId="1216B7B1"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7B2" w14:textId="07187863"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B3.1.1 Investiții în infrastructuri de apă uzată sau de alimentare cu apă în zonele rurale</w:t>
      </w:r>
    </w:p>
    <w:p w14:paraId="5614A2AB" w14:textId="33493435"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Obiectivul acestei investiții este de a spori disponibilitatea infrastructurii de apă și de canalizare în zonele rurale. Această măsură constă în sprijinirea construirii, extinderii sau modernizării sistemelor de alimentare cu apă sau de eliminare a apelor uzate.</w:t>
      </w:r>
    </w:p>
    <w:p w14:paraId="186536C1"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u w:val="single"/>
        </w:rPr>
      </w:pPr>
    </w:p>
    <w:p w14:paraId="205BCD6B" w14:textId="767CCEC0" w:rsidR="00A60DDE" w:rsidRDefault="00095506">
      <w:pPr>
        <w:pStyle w:val="P68B1DB1-Normal036"/>
        <w:pBdr>
          <w:top w:val="nil"/>
          <w:left w:val="nil"/>
          <w:bottom w:val="nil"/>
          <w:right w:val="nil"/>
          <w:between w:val="nil"/>
        </w:pBdr>
        <w:spacing w:before="120" w:after="120" w:line="240" w:lineRule="auto"/>
        <w:jc w:val="both"/>
        <w:rPr>
          <w:bCs/>
          <w:noProof/>
        </w:rPr>
      </w:pPr>
      <w:r>
        <w:rPr>
          <w:noProof/>
        </w:rPr>
        <w:t>B4.1 Reducerea dependenței de cărbune</w:t>
      </w:r>
    </w:p>
    <w:p w14:paraId="38E4F3B4" w14:textId="76CC5066" w:rsidR="00A60DDE" w:rsidRDefault="00095506">
      <w:pPr>
        <w:pStyle w:val="P68B1DB1-Normal037"/>
        <w:pBdr>
          <w:top w:val="nil"/>
          <w:left w:val="nil"/>
          <w:bottom w:val="nil"/>
          <w:right w:val="nil"/>
          <w:between w:val="nil"/>
        </w:pBdr>
        <w:spacing w:before="120" w:after="120" w:line="240" w:lineRule="auto"/>
        <w:jc w:val="both"/>
        <w:rPr>
          <w:noProof/>
        </w:rPr>
        <w:sectPr w:rsidR="00A60DDE" w:rsidSect="006C5441">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299"/>
        </w:sectPr>
      </w:pPr>
      <w:r>
        <w:rPr>
          <w:noProof/>
        </w:rPr>
        <w:t xml:space="preserve">Obiectivul acestei măsuri este de a asigura o finanțare stabilă pentru investițiile în decarbonizarea sectorului încălzirii centralizate, în urma adoptării unei rezoluții a Consiliului de Miniștri și a unui cadru juridic modificat care să sprijine închiderea voluntară a minelor de cărbune și protecția socială a anumitor angajați din sectorul minier. Acesta constă în aprobarea unui „Fond de transformare a termoficării districtuale” pentru perioada 2026-2030 și a unui act juridic de modificare a Legii privind funcționarea industriei extractive a cărbunelui superior. Punerea în aplicare a „Fondului de transformare a încălzirii centralizate” nu este finanțată de MRR și nu face parte din măsură. Serviciile de consiliere pentru punerea în aplicare a „Fondului pentru transformarea încălzirii centralizate” pot fi furnizate cu sprijin din partea facilității de asistență europeană pentru energie locală (ELENA). </w:t>
      </w:r>
    </w:p>
    <w:p w14:paraId="1216B7B5" w14:textId="77777777" w:rsidR="00A60DDE" w:rsidRDefault="00095506">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 xml:space="preserve">B. COMPONENTUL B: „ENERGIA GRENĂ ȘI REDUCEREA ENERGIE-INTENSITĂȚII” </w:t>
      </w:r>
    </w:p>
    <w:p w14:paraId="1216B7B6"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B.2. </w:t>
      </w:r>
      <w:r>
        <w:rPr>
          <w:noProof/>
        </w:rPr>
        <w:t xml:space="preserve"> </w:t>
      </w:r>
      <w:r>
        <w:rPr>
          <w:rFonts w:ascii="Times New Roman" w:hAnsi="Times New Roman"/>
          <w:b/>
          <w:noProof/>
          <w:color w:val="000000"/>
          <w:sz w:val="24"/>
        </w:rPr>
        <w:t>Jaloane, ținte, indicatori și calendar pentru monitorizarea și punerea în aplicare a sprijinului financiar nerambursabil</w:t>
      </w:r>
    </w:p>
    <w:tbl>
      <w:tblPr>
        <w:tblW w:w="1502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0"/>
        <w:gridCol w:w="1763"/>
        <w:gridCol w:w="1093"/>
        <w:gridCol w:w="1895"/>
        <w:gridCol w:w="1628"/>
        <w:gridCol w:w="1125"/>
        <w:gridCol w:w="958"/>
        <w:gridCol w:w="885"/>
        <w:gridCol w:w="898"/>
        <w:gridCol w:w="690"/>
        <w:gridCol w:w="3262"/>
      </w:tblGrid>
      <w:tr w:rsidR="00A60DDE" w14:paraId="1216B7BF" w14:textId="77777777">
        <w:trPr>
          <w:trHeight w:val="939"/>
          <w:tblHeader/>
          <w:jc w:val="center"/>
        </w:trPr>
        <w:tc>
          <w:tcPr>
            <w:tcW w:w="830" w:type="dxa"/>
            <w:vMerge w:val="restart"/>
            <w:shd w:val="clear" w:color="auto" w:fill="BDD7EE"/>
            <w:vAlign w:val="center"/>
          </w:tcPr>
          <w:p w14:paraId="1216B7B7" w14:textId="68F49C12" w:rsidR="00A60DDE" w:rsidRDefault="005631E2">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Nr. secv</w:t>
            </w:r>
          </w:p>
        </w:tc>
        <w:tc>
          <w:tcPr>
            <w:tcW w:w="1763" w:type="dxa"/>
            <w:vMerge w:val="restart"/>
            <w:shd w:val="clear" w:color="auto" w:fill="BDD7EE"/>
            <w:vAlign w:val="center"/>
          </w:tcPr>
          <w:p w14:paraId="1216B7B8"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093" w:type="dxa"/>
            <w:vMerge w:val="restart"/>
            <w:shd w:val="clear" w:color="auto" w:fill="BDD7EE"/>
            <w:vAlign w:val="center"/>
          </w:tcPr>
          <w:p w14:paraId="1216B7B9"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1895" w:type="dxa"/>
            <w:vMerge w:val="restart"/>
            <w:shd w:val="clear" w:color="auto" w:fill="BDD7EE"/>
            <w:vAlign w:val="center"/>
          </w:tcPr>
          <w:p w14:paraId="1216B7BA"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628" w:type="dxa"/>
            <w:vMerge w:val="restart"/>
            <w:shd w:val="clear" w:color="auto" w:fill="BDD7EE"/>
            <w:vAlign w:val="center"/>
          </w:tcPr>
          <w:p w14:paraId="1216B7BB" w14:textId="545B85F0"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br/>
            </w:r>
            <w:r>
              <w:rPr>
                <w:rFonts w:ascii="Times New Roman" w:hAnsi="Times New Roman"/>
                <w:b/>
                <w:noProof/>
                <w:color w:val="000000"/>
                <w:sz w:val="18"/>
              </w:rPr>
              <w:t>(pentru jaloane)</w:t>
            </w:r>
          </w:p>
        </w:tc>
        <w:tc>
          <w:tcPr>
            <w:tcW w:w="2968" w:type="dxa"/>
            <w:gridSpan w:val="3"/>
            <w:shd w:val="clear" w:color="auto" w:fill="BDD7EE"/>
            <w:vAlign w:val="center"/>
          </w:tcPr>
          <w:p w14:paraId="1216B7BC" w14:textId="4565DAFD"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br/>
            </w:r>
            <w:r>
              <w:rPr>
                <w:rFonts w:ascii="Times New Roman" w:hAnsi="Times New Roman"/>
                <w:b/>
                <w:noProof/>
                <w:color w:val="000000"/>
                <w:sz w:val="18"/>
              </w:rPr>
              <w:t>(pentru obiective)</w:t>
            </w:r>
          </w:p>
        </w:tc>
        <w:tc>
          <w:tcPr>
            <w:tcW w:w="1588" w:type="dxa"/>
            <w:gridSpan w:val="2"/>
            <w:shd w:val="clear" w:color="auto" w:fill="BDD7EE"/>
            <w:vAlign w:val="center"/>
          </w:tcPr>
          <w:p w14:paraId="1216B7BD"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262" w:type="dxa"/>
            <w:vMerge w:val="restart"/>
            <w:shd w:val="clear" w:color="auto" w:fill="BDD7EE"/>
            <w:vAlign w:val="center"/>
          </w:tcPr>
          <w:p w14:paraId="1216B7BE"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A60DDE" w14:paraId="1216B7CB" w14:textId="77777777">
        <w:trPr>
          <w:trHeight w:val="489"/>
          <w:jc w:val="center"/>
        </w:trPr>
        <w:tc>
          <w:tcPr>
            <w:tcW w:w="830" w:type="dxa"/>
            <w:vMerge/>
            <w:vAlign w:val="center"/>
          </w:tcPr>
          <w:p w14:paraId="1216B7C0"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63" w:type="dxa"/>
            <w:vMerge/>
            <w:vAlign w:val="center"/>
          </w:tcPr>
          <w:p w14:paraId="1216B7C1"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93" w:type="dxa"/>
            <w:vMerge/>
            <w:vAlign w:val="center"/>
          </w:tcPr>
          <w:p w14:paraId="1216B7C2"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95" w:type="dxa"/>
            <w:vMerge/>
            <w:vAlign w:val="center"/>
          </w:tcPr>
          <w:p w14:paraId="1216B7C3"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628" w:type="dxa"/>
            <w:vMerge/>
            <w:vAlign w:val="center"/>
          </w:tcPr>
          <w:p w14:paraId="1216B7C4"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25" w:type="dxa"/>
            <w:shd w:val="clear" w:color="auto" w:fill="BDD7EE"/>
            <w:vAlign w:val="center"/>
          </w:tcPr>
          <w:p w14:paraId="1216B7C5"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58" w:type="dxa"/>
            <w:shd w:val="clear" w:color="auto" w:fill="BDD7EE"/>
            <w:vAlign w:val="center"/>
          </w:tcPr>
          <w:p w14:paraId="1216B7C6"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885" w:type="dxa"/>
            <w:shd w:val="clear" w:color="auto" w:fill="BDD7EE"/>
            <w:vAlign w:val="center"/>
          </w:tcPr>
          <w:p w14:paraId="1216B7C7"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898" w:type="dxa"/>
            <w:shd w:val="clear" w:color="auto" w:fill="BDD7EE"/>
            <w:vAlign w:val="center"/>
          </w:tcPr>
          <w:p w14:paraId="1216B7C8"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690" w:type="dxa"/>
            <w:shd w:val="clear" w:color="auto" w:fill="BDD7EE"/>
            <w:vAlign w:val="center"/>
          </w:tcPr>
          <w:p w14:paraId="1216B7C9" w14:textId="77777777" w:rsidR="00A60DDE" w:rsidRDefault="00095506">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262" w:type="dxa"/>
            <w:vMerge/>
            <w:vAlign w:val="center"/>
          </w:tcPr>
          <w:p w14:paraId="1216B7CA"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7D7"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C"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D" w14:textId="77777777" w:rsidR="00A60DDE" w:rsidRDefault="00095506">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E"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F" w14:textId="77777777" w:rsidR="00A60DDE" w:rsidRDefault="00095506">
            <w:pPr>
              <w:pStyle w:val="P68B1DB1-Normal019"/>
              <w:pBdr>
                <w:top w:val="nil"/>
                <w:left w:val="nil"/>
                <w:bottom w:val="nil"/>
                <w:right w:val="nil"/>
                <w:between w:val="nil"/>
              </w:pBdr>
              <w:spacing w:after="0" w:line="240" w:lineRule="auto"/>
              <w:rPr>
                <w:noProof/>
              </w:rPr>
            </w:pPr>
            <w:r>
              <w:rPr>
                <w:noProof/>
              </w:rPr>
              <w:t>Intrarea în vigoare a unui act de modificare a Legii privind eficiența energetică și a actelor legislative conexe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0" w14:textId="77777777" w:rsidR="00A60DDE" w:rsidRDefault="00095506">
            <w:pPr>
              <w:pStyle w:val="P68B1DB1-Normal019"/>
              <w:pBdr>
                <w:top w:val="nil"/>
                <w:left w:val="nil"/>
                <w:bottom w:val="nil"/>
                <w:right w:val="nil"/>
                <w:between w:val="nil"/>
              </w:pBdr>
              <w:spacing w:after="0" w:line="240" w:lineRule="auto"/>
              <w:rPr>
                <w:noProof/>
              </w:rPr>
            </w:pPr>
            <w:r>
              <w:rPr>
                <w:noProof/>
              </w:rPr>
              <w:t>Dispoziție din actul de modificare a Legii privind eficiența energetică și din actele legislative conexe care indică intrarea sa în vigoare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4"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Q1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5"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6" w14:textId="4C44D9F3" w:rsidR="00A60DDE" w:rsidRDefault="00095506">
            <w:pPr>
              <w:pStyle w:val="P68B1DB1-Normal019"/>
              <w:pBdr>
                <w:top w:val="nil"/>
                <w:left w:val="nil"/>
                <w:bottom w:val="nil"/>
                <w:right w:val="nil"/>
                <w:between w:val="nil"/>
              </w:pBdr>
              <w:spacing w:after="0" w:line="240" w:lineRule="auto"/>
              <w:rPr>
                <w:noProof/>
              </w:rPr>
            </w:pPr>
            <w:r>
              <w:rPr>
                <w:noProof/>
              </w:rPr>
              <w:t>Intrarea în vigoare a unui act de modificare a Legii privind eficiența energetică și a actelor legislative conexe (legea privind sprijinirea termo</w:t>
            </w:r>
            <w:r w:rsidR="005631E2">
              <w:rPr>
                <w:noProof/>
              </w:rPr>
              <w:t>-</w:t>
            </w:r>
            <w:r>
              <w:rPr>
                <w:noProof/>
              </w:rPr>
              <w:t>modernizării și a renovărilor și privind registrul central de emisii al clădirilor; legea privind sprijinul financiar pentru crearea de spații rezidențiale pentru închiriere; legea privind anumite tipuri de sprijin pentru locuințe; și legea privind sursele regenerabile de energie), care permite entităților vizate de sistemul de obligații în materie de eficiență energetică să își achite obligațiile de economisire a energiei în cadrul așa-numitelor programe de subvenționare. Acesta clarifică posibilitățile de utilizare a contractelor de performanță energetică în sectorul public. Aceasta permite întreprinderilor de servicii energetice să participe la sistemele de obligații în materie de eficiență energetică.</w:t>
            </w:r>
          </w:p>
        </w:tc>
      </w:tr>
      <w:tr w:rsidR="00A60DDE" w14:paraId="1216B7E4"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8"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9" w14:textId="77777777" w:rsidR="00A60DDE" w:rsidRDefault="00095506">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A"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B" w14:textId="004240F0" w:rsidR="00A60DDE" w:rsidRDefault="00095506">
            <w:pPr>
              <w:pStyle w:val="P68B1DB1-Normal019"/>
              <w:pBdr>
                <w:top w:val="nil"/>
                <w:left w:val="nil"/>
                <w:bottom w:val="nil"/>
                <w:right w:val="nil"/>
                <w:between w:val="nil"/>
              </w:pBdr>
              <w:spacing w:after="0" w:line="240" w:lineRule="auto"/>
              <w:rPr>
                <w:noProof/>
              </w:rPr>
            </w:pPr>
            <w:r>
              <w:rPr>
                <w:noProof/>
              </w:rPr>
              <w:t>Actualizarea programului prioritar „Aer curat”</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C" w14:textId="77777777" w:rsidR="00A60DDE" w:rsidRDefault="00095506">
            <w:pPr>
              <w:pStyle w:val="P68B1DB1-Normal019"/>
              <w:pBdr>
                <w:top w:val="nil"/>
                <w:left w:val="nil"/>
                <w:bottom w:val="nil"/>
                <w:right w:val="nil"/>
                <w:between w:val="nil"/>
              </w:pBdr>
              <w:spacing w:after="0" w:line="240" w:lineRule="auto"/>
              <w:rPr>
                <w:noProof/>
              </w:rPr>
            </w:pPr>
            <w:r>
              <w:rPr>
                <w:noProof/>
              </w:rPr>
              <w:t>adoptarea de modificări la programul prioritar „Aer curat” de către Fondul național pentru protecția mediului, inclusiv dispoziții privind sprijinul care vizează (a) gospodăriile cu venituri mai mari, în special cu implicarea sectorului bancar care acordă împrumuturi combinate cu granturi; (b) gospodăriile cu venituri mici; (c) gospodăriile cu cele mai mici venituri.</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D" w14:textId="77777777" w:rsidR="00A60DDE" w:rsidRDefault="00A60DDE">
            <w:pPr>
              <w:jc w:val="center"/>
              <w:rPr>
                <w:noProof/>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E"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F"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0"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Q1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1"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2" w14:textId="77777777" w:rsidR="00A60DDE" w:rsidRDefault="00095506">
            <w:pPr>
              <w:pStyle w:val="P68B1DB1-Normal019"/>
              <w:pBdr>
                <w:top w:val="nil"/>
                <w:left w:val="nil"/>
                <w:bottom w:val="nil"/>
                <w:right w:val="nil"/>
                <w:between w:val="nil"/>
              </w:pBdr>
              <w:spacing w:after="0" w:line="240" w:lineRule="auto"/>
              <w:rPr>
                <w:noProof/>
              </w:rPr>
            </w:pPr>
            <w:r>
              <w:rPr>
                <w:noProof/>
              </w:rPr>
              <w:t xml:space="preserve">Fondul național pentru protecția mediului adoptă modificări ale programului prioritar „Aer curat” în conformitate cu strategia de renovare pe termen lung în temeiul Directivei privind performanța energetică a clădirilor, inclusiv sprijin specific care vizează (a) gospodăriile cu venituri mai mari, în special cu implicarea sectorului bancar care acordă împrumuturi combinate cu granturi; (b) gospodăriile cu venituri mici; (c) gospodăriile cu cele mai mici venituri (în conformitate cu definițiile aplicabile în cadrul programului prioritar „Aer curat”). </w:t>
            </w:r>
          </w:p>
          <w:p w14:paraId="1216B7E3" w14:textId="4C3C46B3" w:rsidR="00A60DDE" w:rsidRDefault="00095506">
            <w:pPr>
              <w:pStyle w:val="P68B1DB1-Normal019"/>
              <w:pBdr>
                <w:top w:val="nil"/>
                <w:left w:val="nil"/>
                <w:bottom w:val="nil"/>
                <w:right w:val="nil"/>
                <w:between w:val="nil"/>
              </w:pBdr>
              <w:spacing w:after="0" w:line="240" w:lineRule="auto"/>
              <w:rPr>
                <w:noProof/>
              </w:rPr>
            </w:pPr>
            <w:r>
              <w:rPr>
                <w:noProof/>
              </w:rPr>
              <w:t>Până la 31 martie 2023, dispozițiile care oferă sprijin specific grupurilor menționate sunt pe deplin operaționale, iar destinatarii au acces la acest sprijin.</w:t>
            </w:r>
          </w:p>
        </w:tc>
      </w:tr>
      <w:tr w:rsidR="00A60DDE" w14:paraId="1216B7F0"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5"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6" w14:textId="77777777" w:rsidR="00A60DDE" w:rsidRDefault="00095506">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7"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8" w14:textId="77777777" w:rsidR="00A60DDE" w:rsidRDefault="00095506">
            <w:pPr>
              <w:pStyle w:val="P68B1DB1-Normal019"/>
              <w:pBdr>
                <w:top w:val="nil"/>
                <w:left w:val="nil"/>
                <w:bottom w:val="nil"/>
                <w:right w:val="nil"/>
                <w:between w:val="nil"/>
              </w:pBdr>
              <w:spacing w:after="0" w:line="240" w:lineRule="auto"/>
              <w:rPr>
                <w:noProof/>
              </w:rPr>
            </w:pPr>
            <w:r>
              <w:rPr>
                <w:noProof/>
              </w:rPr>
              <w:t>Actualizarea Programului Național de Protecție Aeriană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9" w14:textId="77777777" w:rsidR="00A60DDE" w:rsidRDefault="00095506">
            <w:pPr>
              <w:pStyle w:val="P68B1DB1-Normal019"/>
              <w:pBdr>
                <w:top w:val="nil"/>
                <w:left w:val="nil"/>
                <w:bottom w:val="nil"/>
                <w:right w:val="nil"/>
                <w:between w:val="nil"/>
              </w:pBdr>
              <w:spacing w:after="0" w:line="240" w:lineRule="auto"/>
              <w:rPr>
                <w:noProof/>
              </w:rPr>
            </w:pPr>
            <w:r>
              <w:rPr>
                <w:noProof/>
              </w:rPr>
              <w:t>Adoptarea Programului național actualizat de protecție a aerului de către ministrul climei și mediului</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D"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E"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F" w14:textId="002A9423" w:rsidR="00A60DDE" w:rsidRDefault="00095506">
            <w:pPr>
              <w:pStyle w:val="P68B1DB1-Normal023"/>
              <w:pBdr>
                <w:top w:val="nil"/>
                <w:left w:val="nil"/>
                <w:bottom w:val="nil"/>
                <w:right w:val="nil"/>
                <w:between w:val="nil"/>
              </w:pBdr>
              <w:spacing w:after="0" w:line="240" w:lineRule="auto"/>
              <w:rPr>
                <w:noProof/>
                <w:color w:val="000000"/>
              </w:rPr>
            </w:pPr>
            <w:r>
              <w:rPr>
                <w:noProof/>
              </w:rPr>
              <w:t xml:space="preserve">Programul </w:t>
            </w:r>
            <w:r>
              <w:rPr>
                <w:noProof/>
                <w:color w:val="000000" w:themeColor="text1"/>
              </w:rPr>
              <w:t xml:space="preserve">național de protecție a aerului definește noi sarcini care urmează să fie puse în aplicare până în 2025, 2030 și 2040 la nivel național, provincial și municipal: (1) stabilirea de standarde pentru zonele cu emisii scăzute pentru localitățile în care nivelurile admise de NO2 au fost depășite; (2) angajamentul </w:t>
            </w:r>
            <w:r>
              <w:rPr>
                <w:noProof/>
              </w:rPr>
              <w:t>„voievodatelor”</w:t>
            </w:r>
            <w:r>
              <w:rPr>
                <w:noProof/>
                <w:color w:val="000000" w:themeColor="text1"/>
              </w:rPr>
              <w:t xml:space="preserve"> de a adopta rezoluții împotriva smogului în orașele în care anumite standarde de calitate a aerului nu sunt respectate; (3) sprijin financiar acordat autorităților regionale și locale pentru promovarea activităților specificate în rezoluțiile anti-smog și pregătirea punctelor de informare pentru rezidenții care solicită finanțare în cadrul Programului prioritar "Aer curat"; (4) Introducerea sarcinii constând în consolidarea prevederilor privind sistemul de control pentru executarea sarcinilor specificate în rezoluțiile anti-smog; (5) Excluderea instalațiilor noi de încălzire pe bază de cărbune din programele de sprijin public începând cu 1</w:t>
            </w:r>
            <w:r>
              <w:rPr>
                <w:noProof/>
                <w:szCs w:val="18"/>
              </w:rPr>
              <w:t> </w:t>
            </w:r>
            <w:r>
              <w:rPr>
                <w:noProof/>
                <w:color w:val="000000" w:themeColor="text1"/>
              </w:rPr>
              <w:t>ianuarie</w:t>
            </w:r>
            <w:r>
              <w:rPr>
                <w:noProof/>
                <w:szCs w:val="18"/>
              </w:rPr>
              <w:t> </w:t>
            </w:r>
            <w:r>
              <w:rPr>
                <w:noProof/>
                <w:color w:val="000000" w:themeColor="text1"/>
              </w:rPr>
              <w:t>2022.</w:t>
            </w:r>
          </w:p>
        </w:tc>
      </w:tr>
      <w:tr w:rsidR="00A60DDE" w14:paraId="1216B7FC" w14:textId="77777777">
        <w:trPr>
          <w:trHeight w:val="1701"/>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1"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2" w14:textId="77777777" w:rsidR="00A60DDE" w:rsidRDefault="00095506">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3"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4" w14:textId="77777777" w:rsidR="00A60DDE" w:rsidRDefault="00095506">
            <w:pPr>
              <w:pStyle w:val="P68B1DB1-Normal019"/>
              <w:pBdr>
                <w:top w:val="nil"/>
                <w:left w:val="nil"/>
                <w:bottom w:val="nil"/>
                <w:right w:val="nil"/>
                <w:between w:val="nil"/>
              </w:pBdr>
              <w:spacing w:after="0" w:line="240" w:lineRule="auto"/>
              <w:rPr>
                <w:noProof/>
              </w:rPr>
            </w:pPr>
            <w:r>
              <w:rPr>
                <w:noProof/>
              </w:rPr>
              <w:t>Intrarea în vigoare a unei modificări a regulamentului de către ministrul climei și mediului privind standardele de calitate pentru combustibilii solizi</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5" w14:textId="77777777" w:rsidR="00A60DDE" w:rsidRDefault="00095506">
            <w:pPr>
              <w:pStyle w:val="P68B1DB1-Normal019"/>
              <w:pBdr>
                <w:top w:val="nil"/>
                <w:left w:val="nil"/>
                <w:bottom w:val="nil"/>
                <w:right w:val="nil"/>
                <w:between w:val="nil"/>
              </w:pBdr>
              <w:spacing w:after="0" w:line="240" w:lineRule="auto"/>
              <w:rPr>
                <w:noProof/>
              </w:rPr>
            </w:pPr>
            <w:r>
              <w:rPr>
                <w:noProof/>
              </w:rPr>
              <w:t>Dispoziție din modificarea Regulamentului privind standardele de calitate pentru combustibilii solizi care indică intrarea sa în vigoare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9"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A"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B" w14:textId="77777777" w:rsidR="00A60DDE" w:rsidRDefault="00095506">
            <w:pPr>
              <w:pStyle w:val="P68B1DB1-Normal019"/>
              <w:pBdr>
                <w:top w:val="nil"/>
                <w:left w:val="nil"/>
                <w:bottom w:val="nil"/>
                <w:right w:val="nil"/>
                <w:between w:val="nil"/>
              </w:pBdr>
              <w:spacing w:after="0" w:line="240" w:lineRule="auto"/>
              <w:rPr>
                <w:noProof/>
              </w:rPr>
            </w:pPr>
            <w:r>
              <w:rPr>
                <w:noProof/>
              </w:rPr>
              <w:t>Pe baza recomandărilor privind modificările legislative necesare sau recomandate, pregătite de o echipă interministerială și urmate de o consultare a propunerilor cu ONG-urile și cu camerele din sectorul cărbunelui, intră în vigoare modificarea regulamentului privind combustibilii solizi pe bază de cărbune. Acesta interzice producătorilor de combustibili solizi pe bază de cărbune să utilizeze o marcă înșelătoare.</w:t>
            </w:r>
          </w:p>
        </w:tc>
      </w:tr>
      <w:tr w:rsidR="00A60DDE" w14:paraId="1216B809" w14:textId="77777777">
        <w:trPr>
          <w:trHeight w:val="964"/>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D" w14:textId="77777777" w:rsidR="00A60DDE" w:rsidRDefault="00095506">
            <w:pPr>
              <w:pStyle w:val="P68B1DB1-Normal023"/>
              <w:spacing w:line="240" w:lineRule="auto"/>
              <w:jc w:val="center"/>
              <w:rPr>
                <w:noProof/>
              </w:rPr>
            </w:pPr>
            <w:r>
              <w:rPr>
                <w:noProof/>
              </w:rPr>
              <w:t>B5G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E" w14:textId="77777777" w:rsidR="00A60DDE" w:rsidRDefault="00095506">
            <w:pPr>
              <w:pStyle w:val="P68B1DB1-Normal019"/>
              <w:spacing w:after="0" w:line="240" w:lineRule="auto"/>
              <w:rPr>
                <w:noProof/>
                <w:color w:val="000000" w:themeColor="text1"/>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F" w14:textId="77777777" w:rsidR="00A60DDE" w:rsidRDefault="00095506">
            <w:pPr>
              <w:pStyle w:val="P68B1DB1-Normal019"/>
              <w:spacing w:line="240" w:lineRule="auto"/>
              <w:jc w:val="center"/>
              <w:rPr>
                <w:noProof/>
                <w:color w:val="000000" w:themeColor="text1"/>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0" w14:textId="77777777" w:rsidR="00A60DDE" w:rsidRDefault="00095506">
            <w:pPr>
              <w:pStyle w:val="P68B1DB1-Normal019"/>
              <w:spacing w:after="0" w:line="240" w:lineRule="auto"/>
              <w:rPr>
                <w:noProof/>
                <w:color w:val="000000" w:themeColor="text1"/>
              </w:rPr>
            </w:pPr>
            <w:r>
              <w:rPr>
                <w:noProof/>
              </w:rPr>
              <w:t>Intrarea în vigoare a regulamentului de stabilire a standardelor de calitate pentru combustibilii solizi din biomasă</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1" w14:textId="77777777" w:rsidR="00A60DDE" w:rsidRDefault="00095506">
            <w:pPr>
              <w:pStyle w:val="P68B1DB1-Normal019"/>
              <w:spacing w:after="0" w:line="240" w:lineRule="auto"/>
              <w:rPr>
                <w:noProof/>
                <w:color w:val="000000" w:themeColor="text1"/>
              </w:rPr>
            </w:pPr>
            <w:r>
              <w:rPr>
                <w:noProof/>
              </w:rPr>
              <w:t>Dispoziție din Regulamentul privind standardele de calitate pentru combustibilii solizi din biomasă care indică intrarea sa în vigoare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2" w14:textId="77777777" w:rsidR="00A60DDE" w:rsidRDefault="00A60DDE">
            <w:pPr>
              <w:pStyle w:val="Normal0"/>
              <w:spacing w:line="240" w:lineRule="auto"/>
              <w:jc w:val="center"/>
              <w:rPr>
                <w:rFonts w:ascii="Times New Roman" w:hAnsi="Times New Roman"/>
                <w:noProof/>
                <w:color w:val="000000" w:themeColor="text1"/>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3" w14:textId="77777777" w:rsidR="00A60DDE" w:rsidRDefault="00A60DDE">
            <w:pPr>
              <w:pStyle w:val="Normal0"/>
              <w:spacing w:line="240" w:lineRule="auto"/>
              <w:jc w:val="center"/>
              <w:rPr>
                <w:rFonts w:ascii="Times New Roman" w:hAnsi="Times New Roman"/>
                <w:noProof/>
                <w:color w:val="000000" w:themeColor="text1"/>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4" w14:textId="77777777" w:rsidR="00A60DDE" w:rsidRDefault="00A60DDE">
            <w:pPr>
              <w:pStyle w:val="Normal0"/>
              <w:spacing w:line="240" w:lineRule="auto"/>
              <w:jc w:val="center"/>
              <w:rPr>
                <w:rFonts w:ascii="Times New Roman" w:hAnsi="Times New Roman"/>
                <w:noProof/>
                <w:color w:val="000000" w:themeColor="text1"/>
                <w:sz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5" w14:textId="77777777" w:rsidR="00A60DDE" w:rsidRDefault="00095506">
            <w:pPr>
              <w:pStyle w:val="P68B1DB1-Normal019"/>
              <w:spacing w:line="240" w:lineRule="auto"/>
              <w:jc w:val="center"/>
              <w:rPr>
                <w:noProof/>
                <w:color w:val="000000" w:themeColor="text1"/>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6" w14:textId="77777777" w:rsidR="00A60DDE" w:rsidRDefault="00095506">
            <w:pPr>
              <w:pStyle w:val="P68B1DB1-Normal019"/>
              <w:spacing w:line="240" w:lineRule="auto"/>
              <w:jc w:val="center"/>
              <w:rPr>
                <w:noProof/>
                <w:color w:val="000000" w:themeColor="text1"/>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8" w14:textId="08AE0405" w:rsidR="00A60DDE" w:rsidRDefault="00095506">
            <w:pPr>
              <w:pStyle w:val="P68B1DB1-Normal019"/>
              <w:spacing w:line="240" w:lineRule="auto"/>
              <w:rPr>
                <w:noProof/>
                <w:color w:val="000000" w:themeColor="text1"/>
              </w:rPr>
            </w:pPr>
            <w:r>
              <w:rPr>
                <w:noProof/>
              </w:rPr>
              <w:t>Regulamentul stabilește standarde de calitate pentru combustibilii solizi din biomasă destinați utilizării casnice, inclusiv peletele din lemn.</w:t>
            </w:r>
          </w:p>
        </w:tc>
      </w:tr>
      <w:tr w:rsidR="00A60DDE" w14:paraId="1216B818" w14:textId="77777777">
        <w:trPr>
          <w:trHeight w:val="41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A"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B"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B1.1.1 Investiții în surse de căldură în sisteme de termoficare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D" w14:textId="6C0FBA0D"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T1 – Surse de căldură în sistemele de încălzire centralizată</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0" w14:textId="77777777" w:rsidR="00A60DDE" w:rsidRDefault="00095506">
            <w:pPr>
              <w:pStyle w:val="P68B1DB1-Normal019"/>
              <w:spacing w:after="0" w:line="240" w:lineRule="auto"/>
              <w:jc w:val="center"/>
              <w:rPr>
                <w:rFonts w:eastAsia="Times New Roman" w:cs="Times New Roman"/>
                <w:noProof/>
                <w:color w:val="000000" w:themeColor="text1"/>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23</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4" w14:textId="15286A03" w:rsidR="00A60DDE" w:rsidRDefault="00095506">
            <w:pPr>
              <w:pStyle w:val="P68B1DB1-Normal020"/>
              <w:pBdr>
                <w:top w:val="nil"/>
                <w:left w:val="nil"/>
                <w:bottom w:val="nil"/>
                <w:right w:val="nil"/>
                <w:between w:val="nil"/>
              </w:pBdr>
              <w:spacing w:after="0" w:line="240" w:lineRule="auto"/>
              <w:rPr>
                <w:noProof/>
              </w:rPr>
            </w:pPr>
            <w:r>
              <w:rPr>
                <w:noProof/>
              </w:rPr>
              <w:t xml:space="preserve">Acorduri semnate pentru instalațiile de producere a căldurii pentru încălzirea centralizată. </w:t>
            </w:r>
          </w:p>
          <w:p w14:paraId="3BBE0D84" w14:textId="77777777" w:rsidR="00A60DDE" w:rsidRDefault="00095506">
            <w:pPr>
              <w:pStyle w:val="P68B1DB1-Normal020"/>
              <w:pBdr>
                <w:top w:val="nil"/>
                <w:left w:val="nil"/>
                <w:bottom w:val="nil"/>
                <w:right w:val="nil"/>
                <w:between w:val="nil"/>
              </w:pBdr>
              <w:spacing w:after="0" w:line="240" w:lineRule="auto"/>
              <w:rPr>
                <w:noProof/>
              </w:rPr>
            </w:pPr>
            <w:r>
              <w:rPr>
                <w:noProof/>
              </w:rPr>
              <w:t xml:space="preserve">Respectarea principiului DNSH trebuie demonstrată prin următoarele dispoziții din acorduri: </w:t>
            </w:r>
          </w:p>
          <w:p w14:paraId="1216B815" w14:textId="55206C79" w:rsidR="00A60DDE" w:rsidRDefault="00095506">
            <w:pPr>
              <w:pStyle w:val="P68B1DB1-Normal020"/>
              <w:pBdr>
                <w:top w:val="nil"/>
                <w:left w:val="nil"/>
                <w:bottom w:val="nil"/>
                <w:right w:val="nil"/>
                <w:between w:val="nil"/>
              </w:pBdr>
              <w:spacing w:after="0" w:line="240" w:lineRule="auto"/>
              <w:rPr>
                <w:noProof/>
              </w:rPr>
            </w:pPr>
            <w:r>
              <w:rPr>
                <w:noProof/>
              </w:rPr>
              <w:t xml:space="preserve">Instalațiile de producere a căldurii care beneficiază de sprijin nu trebuie să depășească pragul de 250 g de CO2/kWh de energie. </w:t>
            </w:r>
          </w:p>
          <w:p w14:paraId="1216B816" w14:textId="77777777" w:rsidR="00A60DDE" w:rsidRDefault="00095506">
            <w:pPr>
              <w:pStyle w:val="P68B1DB1-Normal020"/>
              <w:pBdr>
                <w:top w:val="nil"/>
                <w:left w:val="nil"/>
                <w:bottom w:val="nil"/>
                <w:right w:val="nil"/>
                <w:between w:val="nil"/>
              </w:pBdr>
              <w:spacing w:after="0" w:line="240" w:lineRule="auto"/>
              <w:rPr>
                <w:noProof/>
              </w:rPr>
            </w:pPr>
            <w:r>
              <w:rPr>
                <w:noProof/>
              </w:rPr>
              <w:t>În cazul instalațiilor care utilizează bioenergie, acestea trebuie să respecte articolul 29 alineatele (2)-(7) din Directiva 2018/2001.</w:t>
            </w:r>
          </w:p>
          <w:p w14:paraId="1216B817"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Nicio instalație care beneficiază de sprijin nu trebuie să utilizeze combustibil derivat din deșeuri.</w:t>
            </w:r>
          </w:p>
        </w:tc>
      </w:tr>
      <w:tr w:rsidR="00A60DDE" w14:paraId="1216B825"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9"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A" w14:textId="326170FF" w:rsidR="00A60DDE" w:rsidRDefault="00095506">
            <w:pPr>
              <w:pStyle w:val="P68B1DB1-Normal019"/>
              <w:pBdr>
                <w:top w:val="nil"/>
                <w:left w:val="nil"/>
                <w:bottom w:val="nil"/>
                <w:right w:val="nil"/>
                <w:between w:val="nil"/>
              </w:pBdr>
              <w:spacing w:after="0" w:line="240" w:lineRule="auto"/>
              <w:rPr>
                <w:noProof/>
              </w:rPr>
            </w:pPr>
            <w:r>
              <w:rPr>
                <w:noProof/>
              </w:rPr>
              <w:t>B1.1.2 Înlocuirea surselor de căldură și îmbunătățirea eficienței energetice în clădirile rezidențiale unifamiliale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B"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C" w14:textId="57EE4D13" w:rsidR="00A60DDE" w:rsidRDefault="00095506">
            <w:pPr>
              <w:pStyle w:val="P68B1DB1-Normal019"/>
              <w:pBdr>
                <w:top w:val="nil"/>
                <w:left w:val="nil"/>
                <w:bottom w:val="nil"/>
                <w:right w:val="nil"/>
                <w:between w:val="nil"/>
              </w:pBdr>
              <w:spacing w:after="0" w:line="240" w:lineRule="auto"/>
              <w:rPr>
                <w:noProof/>
              </w:rPr>
            </w:pPr>
            <w:r>
              <w:rPr>
                <w:noProof/>
              </w:rPr>
              <w:t>T1 - Înlocuirea sursei de căldură în clădirile unifamiliale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D" w14:textId="77777777" w:rsidR="00A60DDE" w:rsidRDefault="00095506">
            <w:pPr>
              <w:pStyle w:val="P68B1DB1-Normal019"/>
              <w:pBdr>
                <w:top w:val="nil"/>
                <w:left w:val="nil"/>
                <w:bottom w:val="nil"/>
                <w:right w:val="nil"/>
                <w:between w:val="nil"/>
              </w:pBdr>
              <w:spacing w:after="0" w:line="240" w:lineRule="auto"/>
              <w:rPr>
                <w:noProof/>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E"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F"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0"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250 000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1"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2" w14:textId="77777777" w:rsidR="00A60DDE" w:rsidRDefault="00095506">
            <w:pPr>
              <w:pStyle w:val="P68B1DB1-Normal019"/>
              <w:spacing w:after="0" w:line="240" w:lineRule="auto"/>
              <w:jc w:val="center"/>
              <w:rPr>
                <w:noProof/>
                <w:color w:val="000000" w:themeColor="text1"/>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3" w14:textId="77777777" w:rsidR="00A60DDE" w:rsidRDefault="00095506">
            <w:pPr>
              <w:pStyle w:val="P68B1DB1-Normal019"/>
              <w:spacing w:after="0" w:line="240" w:lineRule="auto"/>
              <w:rPr>
                <w:noProof/>
                <w:color w:val="000000" w:themeColor="text1"/>
              </w:rPr>
            </w:pPr>
            <w:r>
              <w:rPr>
                <w:noProof/>
              </w:rPr>
              <w:t>Numărul</w:t>
            </w:r>
            <w:bookmarkStart w:id="9" w:name="_Hlk213398934"/>
            <w:r>
              <w:rPr>
                <w:noProof/>
              </w:rPr>
              <w:t xml:space="preserve"> de surse de căldură instalate</w:t>
            </w:r>
            <w:bookmarkEnd w:id="9"/>
            <w:r>
              <w:rPr>
                <w:noProof/>
              </w:rPr>
              <w:t>. Investițiile sunt sprijinite în cadrul programului prioritar „Aer curat”, în conformitate cu strategia de renovare pe termen lung în temeiul Directivei privind performanța energetică a clădirilor.</w:t>
            </w:r>
          </w:p>
          <w:p w14:paraId="1216B824" w14:textId="5F38AC3E" w:rsidR="00A60DDE" w:rsidRDefault="00095506">
            <w:pPr>
              <w:pStyle w:val="P68B1DB1-Normal019"/>
              <w:spacing w:after="0" w:line="240" w:lineRule="auto"/>
              <w:rPr>
                <w:noProof/>
              </w:rPr>
            </w:pPr>
            <w:r>
              <w:rPr>
                <w:noProof/>
              </w:rPr>
              <w:t>În cazul sprijinului pentru cazanele pe gaz, acestea sunt instalate în conformitate cu anexa III la Orientările tehnice ale Comisiei privind principiul DNSH (2021/C58/021) și conduc la o scădere semnificativă a emisiilor de GES, cu obiectivul de a îmbunătăți în mod semnificativ mediul și sănătatea publică, în special ca urmare a reducerii poluării, în special în zonele în care standardele UE de calitate a aerului stabilite prin Directiva 2008/50/UE sunt depășite sau riscă să fie depășite.</w:t>
            </w:r>
          </w:p>
        </w:tc>
      </w:tr>
      <w:tr w:rsidR="00A60DDE" w14:paraId="1216B832"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6"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7" w14:textId="1C34BCEA"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B1.1.2 Înlocuirea surselor de căldură și îmbunătățirea eficienței energetice în clădirile rezidențiale unifamiliale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Înlocuirea sursei</w:t>
            </w:r>
            <w:r>
              <w:rPr>
                <w:noProof/>
                <w:szCs w:val="18"/>
              </w:rPr>
              <w:t xml:space="preserve"> de căldură, instalarea surselor regenerabile de energie și modernizarea termică</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C" w14:textId="2C4A7B86" w:rsidR="00A60DDE" w:rsidRDefault="00095506">
            <w:pPr>
              <w:pStyle w:val="P68B1DB1-Normal020"/>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D"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szCs w:val="18"/>
              </w:rPr>
              <w:t>465</w:t>
            </w:r>
            <w:r>
              <w:rPr>
                <w:noProof/>
                <w:color w:val="000000" w:themeColor="text1"/>
              </w:rPr>
              <w:t xml:space="preserve"> </w:t>
            </w:r>
            <w:r>
              <w:rPr>
                <w:noProof/>
                <w:szCs w:val="18"/>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C942B3" w14:textId="6E2558A6" w:rsidR="00A60DDE" w:rsidRDefault="00095506">
            <w:pPr>
              <w:pStyle w:val="P68B1DB1-Normal020"/>
              <w:pBdr>
                <w:top w:val="nil"/>
                <w:left w:val="nil"/>
                <w:bottom w:val="nil"/>
                <w:right w:val="nil"/>
                <w:between w:val="nil"/>
              </w:pBdr>
              <w:spacing w:after="0" w:line="240" w:lineRule="auto"/>
              <w:rPr>
                <w:noProof/>
              </w:rPr>
            </w:pPr>
            <w:bookmarkStart w:id="10" w:name="_Hlk213398819"/>
            <w:r>
              <w:rPr>
                <w:noProof/>
              </w:rPr>
              <w:t xml:space="preserve">Numărul </w:t>
            </w:r>
            <w:bookmarkStart w:id="11" w:name="_Hlk213399174"/>
            <w:r>
              <w:rPr>
                <w:noProof/>
              </w:rPr>
              <w:t xml:space="preserve">de clădiri unifamiliale </w:t>
            </w:r>
            <w:bookmarkEnd w:id="10"/>
            <w:bookmarkEnd w:id="11"/>
            <w:r>
              <w:rPr>
                <w:noProof/>
              </w:rPr>
              <w:t>cu surse de căldură înlocuite;</w:t>
            </w:r>
            <w:bookmarkStart w:id="12" w:name="_Hlk213398974"/>
            <w:r>
              <w:rPr>
                <w:noProof/>
              </w:rPr>
              <w:t xml:space="preserve"> sau surse regenerabile de energie instalate; sau modernizate termic</w:t>
            </w:r>
            <w:bookmarkEnd w:id="12"/>
            <w:r>
              <w:rPr>
                <w:noProof/>
              </w:rPr>
              <w:t>.</w:t>
            </w:r>
          </w:p>
          <w:p w14:paraId="1216B831" w14:textId="77777777" w:rsidR="00A60DDE" w:rsidRDefault="00095506">
            <w:pPr>
              <w:pStyle w:val="P68B1DB1-Normal029"/>
              <w:spacing w:after="0" w:line="240" w:lineRule="auto"/>
              <w:rPr>
                <w:noProof/>
              </w:rPr>
            </w:pPr>
            <w:r>
              <w:rPr>
                <w:noProof/>
              </w:rPr>
              <w:t>În plus, la nivelul investiției, cazanele pe gaz nu trebuie să reprezinte mai mult de 40 % din numărul total de înlocuiri ale surselor de căldură.</w:t>
            </w:r>
          </w:p>
        </w:tc>
      </w:tr>
      <w:tr w:rsidR="00A60DDE" w14:paraId="1216B83E"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3"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B10G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4" w14:textId="2E40102F"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B1.1.2 Înlocuirea surselor de căldură și îmbunătățirea eficienței energetice în clădirile rezidențiale unifamiliale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5"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6" w14:textId="58D6B97E"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T1 </w:t>
            </w:r>
            <w:r w:rsidR="005631E2">
              <w:rPr>
                <w:noProof/>
              </w:rPr>
              <w:t>–</w:t>
            </w:r>
            <w:r>
              <w:rPr>
                <w:noProof/>
              </w:rPr>
              <w:t xml:space="preserve"> Termo</w:t>
            </w:r>
            <w:r w:rsidR="005631E2">
              <w:rPr>
                <w:noProof/>
              </w:rPr>
              <w:t>-</w:t>
            </w:r>
            <w:r>
              <w:rPr>
                <w:noProof/>
              </w:rPr>
              <w:t>modernizarea și instalarea surselor regenerabile de energie în clădiri rezidențiale unifamiliale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7"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8"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9"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szCs w:val="18"/>
              </w:rPr>
              <w:t>190</w:t>
            </w:r>
            <w:r>
              <w:rPr>
                <w:noProof/>
              </w:rPr>
              <w:t xml:space="preserve"> </w:t>
            </w:r>
            <w:r>
              <w:rPr>
                <w:noProof/>
                <w:szCs w:val="18"/>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B"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C"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D" w14:textId="086A246F"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Numărul de case unifamiliale termo</w:t>
            </w:r>
            <w:r w:rsidR="005631E2">
              <w:rPr>
                <w:noProof/>
              </w:rPr>
              <w:t>-</w:t>
            </w:r>
            <w:r>
              <w:rPr>
                <w:noProof/>
              </w:rPr>
              <w:t>modernizate care îndeplinesc standardele de eficiență energetică. Investițiile sunt sprijinite în cadrul programului prioritar „Aer curat”.</w:t>
            </w:r>
          </w:p>
        </w:tc>
      </w:tr>
      <w:tr w:rsidR="00A60DDE" w14:paraId="1216B84C"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F"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B12G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0"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B1.1.3 Modernizarea termică a instituțiilor de învățământ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2" w14:textId="23512D3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Numărul de clădiri ale instituțiilor de învățământ cu contracte semnate pentru </w:t>
            </w:r>
            <w:r>
              <w:rPr>
                <w:noProof/>
                <w:szCs w:val="18"/>
              </w:rPr>
              <w:t>instalații sau modernizări de surse de căldură, instalații de surse regenerabile de energie sau modernizări termice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3"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6"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492</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7" w14:textId="77777777"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9" w14:textId="6AB9B73C" w:rsidR="00A60DDE" w:rsidRDefault="00095506">
            <w:pPr>
              <w:pStyle w:val="P68B1DB1-Normal020"/>
              <w:pBdr>
                <w:top w:val="nil"/>
                <w:left w:val="nil"/>
                <w:bottom w:val="nil"/>
                <w:right w:val="nil"/>
                <w:between w:val="nil"/>
              </w:pBdr>
              <w:spacing w:after="0" w:line="240" w:lineRule="auto"/>
              <w:rPr>
                <w:noProof/>
              </w:rPr>
            </w:pPr>
            <w:r>
              <w:rPr>
                <w:noProof/>
              </w:rPr>
              <w:t>Numărul de clădiri ale instituțiilor de învățământ cu contracte semnate pentru instalații sau modernizări ale surselor de căldură, instalații din surse regenerabile de energie și/sau modernizări termice.</w:t>
            </w:r>
          </w:p>
          <w:p w14:paraId="1216B84A"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84B"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Cererea de propuneri exclude sursele de căldură pe bază de combustibili fosili de la punerea în aplicare a proiectelor.</w:t>
            </w:r>
          </w:p>
        </w:tc>
      </w:tr>
      <w:tr w:rsidR="00A60DDE" w14:paraId="1216B858" w14:textId="77777777">
        <w:trPr>
          <w:trHeight w:val="836"/>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D"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B15G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B1.1.4 Creșterea eficienței energetice a facilităților de activitate socială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0" w14:textId="4096FBB4" w:rsidR="00A60DDE" w:rsidRDefault="00095506">
            <w:pPr>
              <w:pStyle w:val="P68B1DB1-Normal059"/>
              <w:pBdr>
                <w:top w:val="nil"/>
                <w:left w:val="nil"/>
                <w:bottom w:val="nil"/>
                <w:right w:val="nil"/>
                <w:between w:val="nil"/>
              </w:pBdr>
              <w:spacing w:after="0" w:line="240" w:lineRule="auto"/>
              <w:rPr>
                <w:rFonts w:ascii="Times New Roman" w:eastAsia="Times New Roman" w:hAnsi="Times New Roman" w:cs="Times New Roman"/>
                <w:noProof/>
                <w:color w:val="000000"/>
                <w:szCs w:val="18"/>
              </w:rPr>
            </w:pPr>
            <w:r>
              <w:rPr>
                <w:rFonts w:ascii="Times New Roman" w:eastAsia="Times New Roman" w:hAnsi="Times New Roman" w:cs="Times New Roman"/>
                <w:noProof/>
                <w:szCs w:val="18"/>
              </w:rPr>
              <w:t>Termo</w:t>
            </w:r>
            <w:r w:rsidR="005631E2">
              <w:rPr>
                <w:rFonts w:ascii="Times New Roman" w:eastAsia="Times New Roman" w:hAnsi="Times New Roman" w:cs="Times New Roman"/>
                <w:noProof/>
                <w:szCs w:val="18"/>
              </w:rPr>
              <w:t>-</w:t>
            </w:r>
            <w:r>
              <w:rPr>
                <w:rFonts w:ascii="Times New Roman" w:eastAsia="Times New Roman" w:hAnsi="Times New Roman" w:cs="Times New Roman"/>
                <w:noProof/>
                <w:szCs w:val="18"/>
              </w:rPr>
              <w:t xml:space="preserve">modernizarea </w:t>
            </w:r>
            <w:r>
              <w:rPr>
                <w:rFonts w:ascii="Times New Roman" w:hAnsi="Times New Roman"/>
                <w:noProof/>
              </w:rPr>
              <w:t>facilităților de activitate socială</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1"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2"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150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7" w14:textId="6B04720A" w:rsidR="00A60DDE" w:rsidRDefault="00095506">
            <w:pPr>
              <w:pStyle w:val="P68B1DB1-Normal019"/>
              <w:spacing w:after="0" w:line="240" w:lineRule="auto"/>
              <w:rPr>
                <w:rFonts w:eastAsia="Times New Roman" w:cs="Times New Roman"/>
                <w:noProof/>
                <w:szCs w:val="18"/>
              </w:rPr>
            </w:pPr>
            <w:r>
              <w:rPr>
                <w:noProof/>
                <w:szCs w:val="18"/>
              </w:rPr>
              <w:t>Numărul de facilități termo</w:t>
            </w:r>
            <w:r w:rsidR="005631E2">
              <w:rPr>
                <w:noProof/>
                <w:szCs w:val="18"/>
              </w:rPr>
              <w:t>-</w:t>
            </w:r>
            <w:r>
              <w:rPr>
                <w:noProof/>
                <w:szCs w:val="18"/>
              </w:rPr>
              <w:t xml:space="preserve">modernizate pentru activități sociale (biblioteci, centre culturale sau comunitare). Aceasta poate include instalarea de surse de căldură și/sau de surse regenerabile de energie. Regulamentul de procedură pentru selectarea proiectelor </w:t>
            </w:r>
            <w:r>
              <w:rPr>
                <w:noProof/>
              </w:rPr>
              <w:t>specifică faptul că înlocuirea surselor de căldură pentru cazanele pe gaz nu este eligibilă.</w:t>
            </w:r>
          </w:p>
        </w:tc>
      </w:tr>
      <w:tr w:rsidR="00A60DDE" w14:paraId="1216B864"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C6EFCE"/>
          </w:tcPr>
          <w:p w14:paraId="1216B859"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B16G</w:t>
            </w:r>
          </w:p>
        </w:tc>
        <w:tc>
          <w:tcPr>
            <w:tcW w:w="1763" w:type="dxa"/>
            <w:tcBorders>
              <w:top w:val="single" w:sz="4" w:space="0" w:color="auto"/>
              <w:left w:val="single" w:sz="4" w:space="0" w:color="auto"/>
              <w:bottom w:val="single" w:sz="4" w:space="0" w:color="auto"/>
              <w:right w:val="single" w:sz="4" w:space="0" w:color="auto"/>
            </w:tcBorders>
            <w:shd w:val="clear" w:color="auto" w:fill="C6EFCE"/>
          </w:tcPr>
          <w:p w14:paraId="1216B85A" w14:textId="77777777" w:rsidR="00A60DDE" w:rsidRDefault="00095506">
            <w:pPr>
              <w:pStyle w:val="P68B1DB1-Normal019"/>
              <w:pBdr>
                <w:top w:val="nil"/>
                <w:left w:val="nil"/>
                <w:bottom w:val="nil"/>
                <w:right w:val="nil"/>
                <w:between w:val="nil"/>
              </w:pBdr>
              <w:spacing w:after="0" w:line="240" w:lineRule="auto"/>
              <w:rPr>
                <w:noProof/>
              </w:rPr>
            </w:pPr>
            <w:r>
              <w:rPr>
                <w:noProof/>
              </w:rPr>
              <w:t>B2.1 Îmbunătățirea condițiilor pentru dezvoltarea tehnologiilor pe bază de hidrogen și a altor gaze decarbonizate</w:t>
            </w:r>
          </w:p>
        </w:tc>
        <w:tc>
          <w:tcPr>
            <w:tcW w:w="1093" w:type="dxa"/>
            <w:tcBorders>
              <w:top w:val="single" w:sz="4" w:space="0" w:color="auto"/>
              <w:left w:val="single" w:sz="4" w:space="0" w:color="auto"/>
              <w:bottom w:val="single" w:sz="4" w:space="0" w:color="auto"/>
              <w:right w:val="single" w:sz="4" w:space="0" w:color="auto"/>
            </w:tcBorders>
            <w:shd w:val="clear" w:color="auto" w:fill="C6EFCE"/>
          </w:tcPr>
          <w:p w14:paraId="1216B85B"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auto"/>
              <w:left w:val="single" w:sz="4" w:space="0" w:color="auto"/>
              <w:bottom w:val="single" w:sz="4" w:space="0" w:color="auto"/>
              <w:right w:val="single" w:sz="4" w:space="0" w:color="auto"/>
            </w:tcBorders>
            <w:shd w:val="clear" w:color="auto" w:fill="C6EFCE"/>
          </w:tcPr>
          <w:p w14:paraId="1216B85C" w14:textId="77777777" w:rsidR="00A60DDE" w:rsidRDefault="00095506">
            <w:pPr>
              <w:pStyle w:val="P68B1DB1-Normal019"/>
              <w:pBdr>
                <w:top w:val="nil"/>
                <w:left w:val="nil"/>
                <w:bottom w:val="nil"/>
                <w:right w:val="nil"/>
                <w:between w:val="nil"/>
              </w:pBdr>
              <w:spacing w:after="0" w:line="240" w:lineRule="auto"/>
              <w:rPr>
                <w:noProof/>
              </w:rPr>
            </w:pPr>
            <w:r>
              <w:rPr>
                <w:noProof/>
              </w:rPr>
              <w:t>Intrarea în vigoare a actelor de modificare a actelor legislative privind hidrogenul drept combustibil alternativ pentru transport</w:t>
            </w:r>
          </w:p>
        </w:tc>
        <w:tc>
          <w:tcPr>
            <w:tcW w:w="1628" w:type="dxa"/>
            <w:tcBorders>
              <w:top w:val="single" w:sz="4" w:space="0" w:color="auto"/>
              <w:left w:val="single" w:sz="4" w:space="0" w:color="auto"/>
              <w:bottom w:val="single" w:sz="4" w:space="0" w:color="auto"/>
              <w:right w:val="single" w:sz="4" w:space="0" w:color="auto"/>
            </w:tcBorders>
            <w:shd w:val="clear" w:color="auto" w:fill="C6EFCE"/>
          </w:tcPr>
          <w:p w14:paraId="1216B85D" w14:textId="77777777" w:rsidR="00A60DDE" w:rsidRDefault="00095506">
            <w:pPr>
              <w:pStyle w:val="P68B1DB1-Normal019"/>
              <w:pBdr>
                <w:top w:val="nil"/>
                <w:left w:val="nil"/>
                <w:bottom w:val="nil"/>
                <w:right w:val="nil"/>
                <w:between w:val="nil"/>
              </w:pBdr>
              <w:spacing w:after="0" w:line="240" w:lineRule="auto"/>
              <w:rPr>
                <w:noProof/>
              </w:rPr>
            </w:pPr>
            <w:r>
              <w:rPr>
                <w:noProof/>
              </w:rPr>
              <w:t>Dispoziții din actele legislative de modificare care indică intrarea lor în vigoare</w:t>
            </w:r>
          </w:p>
        </w:tc>
        <w:tc>
          <w:tcPr>
            <w:tcW w:w="1125" w:type="dxa"/>
            <w:tcBorders>
              <w:top w:val="single" w:sz="4" w:space="0" w:color="auto"/>
              <w:left w:val="single" w:sz="4" w:space="0" w:color="auto"/>
              <w:bottom w:val="single" w:sz="4" w:space="0" w:color="auto"/>
              <w:right w:val="single" w:sz="4" w:space="0" w:color="auto"/>
            </w:tcBorders>
            <w:shd w:val="clear" w:color="auto" w:fill="C6EFCE"/>
          </w:tcPr>
          <w:p w14:paraId="1216B85E"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auto"/>
              <w:left w:val="single" w:sz="4" w:space="0" w:color="auto"/>
              <w:bottom w:val="single" w:sz="4" w:space="0" w:color="auto"/>
              <w:right w:val="single" w:sz="4" w:space="0" w:color="auto"/>
            </w:tcBorders>
            <w:shd w:val="clear" w:color="auto" w:fill="C6EFCE"/>
          </w:tcPr>
          <w:p w14:paraId="1216B85F"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auto"/>
              <w:left w:val="single" w:sz="4" w:space="0" w:color="auto"/>
              <w:bottom w:val="single" w:sz="4" w:space="0" w:color="auto"/>
              <w:right w:val="single" w:sz="4" w:space="0" w:color="auto"/>
            </w:tcBorders>
            <w:shd w:val="clear" w:color="auto" w:fill="C6EFCE"/>
          </w:tcPr>
          <w:p w14:paraId="1216B860"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auto"/>
              <w:left w:val="single" w:sz="4" w:space="0" w:color="auto"/>
              <w:bottom w:val="single" w:sz="4" w:space="0" w:color="auto"/>
              <w:right w:val="single" w:sz="4" w:space="0" w:color="auto"/>
            </w:tcBorders>
            <w:shd w:val="clear" w:color="auto" w:fill="C6EFCE"/>
          </w:tcPr>
          <w:p w14:paraId="1216B861"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auto"/>
              <w:left w:val="single" w:sz="4" w:space="0" w:color="auto"/>
              <w:bottom w:val="single" w:sz="4" w:space="0" w:color="auto"/>
              <w:right w:val="single" w:sz="4" w:space="0" w:color="auto"/>
            </w:tcBorders>
            <w:shd w:val="clear" w:color="auto" w:fill="C6EFCE"/>
          </w:tcPr>
          <w:p w14:paraId="1216B862"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2021</w:t>
            </w:r>
          </w:p>
        </w:tc>
        <w:tc>
          <w:tcPr>
            <w:tcW w:w="3262" w:type="dxa"/>
            <w:tcBorders>
              <w:top w:val="single" w:sz="4" w:space="0" w:color="auto"/>
              <w:left w:val="single" w:sz="4" w:space="0" w:color="auto"/>
              <w:bottom w:val="single" w:sz="4" w:space="0" w:color="auto"/>
              <w:right w:val="single" w:sz="4" w:space="0" w:color="auto"/>
            </w:tcBorders>
            <w:shd w:val="clear" w:color="auto" w:fill="C6EFCE"/>
          </w:tcPr>
          <w:p w14:paraId="2E4C4EA1" w14:textId="641B6D30" w:rsidR="00A60DDE" w:rsidRDefault="00095506">
            <w:pPr>
              <w:pStyle w:val="P68B1DB1-Normal019"/>
              <w:pBdr>
                <w:top w:val="nil"/>
                <w:left w:val="nil"/>
                <w:bottom w:val="nil"/>
                <w:right w:val="nil"/>
                <w:between w:val="nil"/>
              </w:pBdr>
              <w:spacing w:after="0" w:line="240" w:lineRule="auto"/>
              <w:rPr>
                <w:noProof/>
              </w:rPr>
            </w:pPr>
            <w:r>
              <w:rPr>
                <w:noProof/>
              </w:rPr>
              <w:t>1. Modificarea Legii privind electromobilitatea (11 ianuarie 2018; Dz. U. z 2018 r. poz. 317) introduce definițiile pentru infrastructura de realimentare cu hidrogen; stabilește cerințele tehnice și de siguranță generale pentru stațiile de realimentare (în conformitate cu Directiva privind infrastructura pentru combustibili alternativi) și stabilește procedurile și autoritățile competente relevante pentru inspectarea acestei infrastructuri.</w:t>
            </w:r>
          </w:p>
          <w:p w14:paraId="1216B863" w14:textId="5FFA4569" w:rsidR="00A60DDE" w:rsidRDefault="00095506">
            <w:pPr>
              <w:pStyle w:val="P68B1DB1-Normal019"/>
              <w:pBdr>
                <w:top w:val="nil"/>
                <w:left w:val="nil"/>
                <w:bottom w:val="nil"/>
                <w:right w:val="nil"/>
                <w:between w:val="nil"/>
              </w:pBdr>
              <w:spacing w:after="0" w:line="240" w:lineRule="auto"/>
              <w:rPr>
                <w:noProof/>
              </w:rPr>
            </w:pPr>
            <w:r>
              <w:rPr>
                <w:noProof/>
              </w:rPr>
              <w:t>2. Modificarea Legii privind sistemul de monitorizare și control al calității combustibililor (25 august 2006; Dz.U. Nr 169, poz. 1200) introduce noțiunea de hidrogen în conformitate cu codul NC 2804 10 00 din Nomenclatura Combinată; stabilește procedurile de monitorizare și control al calității hidrogenului; stabilește autoritățile relevante. Noțiunea de hidrogen trebuie să fie în conformitate cu Orientările tehnice de „a nu prejudicia în mod semnificativ” (2021/C 58/01). Reforma nu îngreunează utilizarea și comercializarea hidrogenului din surse regenerabile mai mult decât alte surse de hidrogen. Reforma vizează în primul rând dezvoltarea hidrogenului din surse regenerabile sau a hidrogenului produs din electrolizoare.</w:t>
            </w:r>
          </w:p>
        </w:tc>
      </w:tr>
      <w:tr w:rsidR="00A60DDE" w14:paraId="1216B870"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65"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B17G</w:t>
            </w:r>
          </w:p>
        </w:tc>
        <w:tc>
          <w:tcPr>
            <w:tcW w:w="17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6" w14:textId="77777777" w:rsidR="00A60DDE" w:rsidRDefault="00095506">
            <w:pPr>
              <w:pStyle w:val="P68B1DB1-Normal019"/>
              <w:pBdr>
                <w:top w:val="nil"/>
                <w:left w:val="nil"/>
                <w:bottom w:val="nil"/>
                <w:right w:val="nil"/>
                <w:between w:val="nil"/>
              </w:pBdr>
              <w:spacing w:after="0" w:line="240" w:lineRule="auto"/>
              <w:rPr>
                <w:noProof/>
              </w:rPr>
            </w:pPr>
            <w:r>
              <w:rPr>
                <w:noProof/>
              </w:rPr>
              <w:t>B2.1 Îmbunătățirea condițiilor pentru dezvoltarea tehnologiilor pe bază de hidrogen și a altor gaze decarbonizate</w:t>
            </w:r>
          </w:p>
        </w:tc>
        <w:tc>
          <w:tcPr>
            <w:tcW w:w="10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7"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8" w14:textId="77777777" w:rsidR="00A60DDE" w:rsidRDefault="00095506">
            <w:pPr>
              <w:pStyle w:val="P68B1DB1-Normal019"/>
              <w:pBdr>
                <w:top w:val="nil"/>
                <w:left w:val="nil"/>
                <w:bottom w:val="nil"/>
                <w:right w:val="nil"/>
                <w:between w:val="nil"/>
              </w:pBdr>
              <w:spacing w:after="0" w:line="240" w:lineRule="auto"/>
              <w:rPr>
                <w:noProof/>
              </w:rPr>
            </w:pPr>
            <w:r>
              <w:rPr>
                <w:noProof/>
              </w:rPr>
              <w:t>Intrarea în vigoare a legii de stabilire a normelor privind hidrogenul</w:t>
            </w:r>
          </w:p>
        </w:tc>
        <w:tc>
          <w:tcPr>
            <w:tcW w:w="162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9" w14:textId="77777777" w:rsidR="00A60DDE" w:rsidRDefault="00095506">
            <w:pPr>
              <w:pStyle w:val="P68B1DB1-Normal019"/>
              <w:pBdr>
                <w:top w:val="nil"/>
                <w:left w:val="nil"/>
                <w:bottom w:val="nil"/>
                <w:right w:val="nil"/>
                <w:between w:val="nil"/>
              </w:pBdr>
              <w:spacing w:after="0" w:line="240" w:lineRule="auto"/>
              <w:rPr>
                <w:noProof/>
              </w:rPr>
            </w:pPr>
            <w:r>
              <w:rPr>
                <w:noProof/>
              </w:rPr>
              <w:t>Dispoziție legală care indică intrarea sa în vigoare</w:t>
            </w: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D"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E"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2023</w:t>
            </w:r>
          </w:p>
        </w:tc>
        <w:tc>
          <w:tcPr>
            <w:tcW w:w="326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F" w14:textId="77777777" w:rsidR="00A60DDE" w:rsidRDefault="00095506">
            <w:pPr>
              <w:pStyle w:val="P68B1DB1-Normal019"/>
              <w:pBdr>
                <w:top w:val="nil"/>
                <w:left w:val="nil"/>
                <w:bottom w:val="nil"/>
                <w:right w:val="nil"/>
                <w:between w:val="nil"/>
              </w:pBdr>
              <w:spacing w:after="0" w:line="240" w:lineRule="auto"/>
              <w:rPr>
                <w:noProof/>
              </w:rPr>
            </w:pPr>
            <w:r>
              <w:rPr>
                <w:noProof/>
              </w:rPr>
              <w:t>Intrarea în vigoare a legii care definește normele pentru infrastructura de hidrogen și organizarea piețelor cu scopul de a sprijini introducerea pe piață a hidrogenului din surse regenerabile și cu emisii scăzute de dioxid de carbon, integrarea producției de hidrogen pe alte piețe ale energiei, precum și infrastructura existentă și specifică cu scopul de a crea previzibilitate în materie de reglementare pentru investitori și de a sprijini adoptarea hidrogenului din surse regenerabile și cu emisii scăzute de dioxid de carbon. Legea trebuie să fie în conformitate cu Orientările tehnice de „a nu prejudicia în mod semnificativ” (2021/C 58/01). Reforma nu îngreunează utilizarea și comercializarea hidrogenului din surse regenerabile mai mult decât alte surse de hidrogen. Reforma este în conformitate cu Strategia UE pentru hidrogen.</w:t>
            </w:r>
          </w:p>
        </w:tc>
      </w:tr>
      <w:tr w:rsidR="00A60DDE" w14:paraId="1216B87C" w14:textId="77777777">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1"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B20G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2"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4" w14:textId="7777777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Proiect(e) de cercetare și inovare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5"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B" w14:textId="77777777" w:rsidR="00A60DDE" w:rsidRDefault="00095506">
            <w:pPr>
              <w:pStyle w:val="P68B1DB1-Normal020"/>
              <w:pBdr>
                <w:top w:val="nil"/>
                <w:left w:val="nil"/>
                <w:bottom w:val="nil"/>
                <w:right w:val="nil"/>
                <w:between w:val="nil"/>
              </w:pBdr>
              <w:spacing w:after="0" w:line="240" w:lineRule="auto"/>
              <w:rPr>
                <w:noProof/>
              </w:rPr>
            </w:pPr>
            <w:r>
              <w:rPr>
                <w:noProof/>
              </w:rPr>
              <w:t>Investiția constă în proiectarea și construcția unui prototip de vehicul feroviar de călători pe bază de hidrogen și/sau în extinderea capacității de producție a vehiculelor pe bază de hidrogen.</w:t>
            </w:r>
          </w:p>
        </w:tc>
      </w:tr>
      <w:tr w:rsidR="00A60DDE" w14:paraId="1216B888"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D" w14:textId="77777777" w:rsidR="00A60DDE" w:rsidRDefault="00095506">
            <w:pPr>
              <w:pStyle w:val="P68B1DB1-Normal023"/>
              <w:pBdr>
                <w:top w:val="nil"/>
                <w:left w:val="nil"/>
                <w:bottom w:val="nil"/>
                <w:right w:val="nil"/>
                <w:between w:val="nil"/>
              </w:pBdr>
              <w:spacing w:after="0" w:line="240" w:lineRule="auto"/>
              <w:jc w:val="center"/>
              <w:rPr>
                <w:rFonts w:cs="Times New Roman"/>
                <w:noProof/>
                <w:szCs w:val="18"/>
              </w:rPr>
            </w:pPr>
            <w:r>
              <w:rPr>
                <w:noProof/>
              </w:rPr>
              <w:t>B21aG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E"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0" w14:textId="49753C2D"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Acord de punere în aplicare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1"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Intrarea în vigoare a acordului de punere în aplicare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85"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T2</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86"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2024</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87" w14:textId="319263E3"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Intrarea în vigoare a acordului de punere în aplicare.</w:t>
            </w:r>
          </w:p>
        </w:tc>
      </w:tr>
      <w:tr w:rsidR="00A60DDE" w14:paraId="1216B894" w14:textId="77777777">
        <w:trPr>
          <w:trHeight w:val="1365"/>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9"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B21dG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A"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B"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C" w14:textId="1F45B1A0"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Acorduri juridice semnate cu beneficiarii finali</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D"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E"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Procente</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F"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0"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100%</w:t>
            </w: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91"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T3</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2"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3" w14:textId="580ED7A0"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BGK trebuie să fi încheiat acorduri juridice de subvenționare cu beneficiarii finali pentru o sumă necesară pentru a utiliza 100 % din investiția MRR în schemă (ținând seama de comisioanele de gestiune).</w:t>
            </w:r>
          </w:p>
        </w:tc>
      </w:tr>
      <w:tr w:rsidR="00A60DDE" w14:paraId="1216B8A0"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5" w14:textId="77777777" w:rsidR="00A60DDE" w:rsidRDefault="00095506">
            <w:pPr>
              <w:pStyle w:val="P68B1DB1-Normal018"/>
              <w:pBdr>
                <w:top w:val="nil"/>
                <w:left w:val="nil"/>
                <w:bottom w:val="nil"/>
                <w:right w:val="nil"/>
                <w:between w:val="nil"/>
              </w:pBdr>
              <w:spacing w:after="0" w:line="240" w:lineRule="auto"/>
              <w:jc w:val="center"/>
              <w:rPr>
                <w:rFonts w:cs="Times New Roman"/>
                <w:noProof/>
              </w:rPr>
            </w:pPr>
            <w:r>
              <w:rPr>
                <w:noProof/>
              </w:rPr>
              <w:t>B21eG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6"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7"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98" w14:textId="4FBC10DB" w:rsidR="00A60DDE" w:rsidRDefault="00095506">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Ministerul a finalizat investiția</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9"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Certificatul de transfer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9D" w14:textId="77777777" w:rsidR="00A60DDE" w:rsidRDefault="00095506">
            <w:pPr>
              <w:pStyle w:val="Normal0"/>
              <w:pBdr>
                <w:top w:val="nil"/>
                <w:left w:val="nil"/>
                <w:bottom w:val="nil"/>
                <w:right w:val="nil"/>
                <w:between w:val="nil"/>
              </w:pBdr>
              <w:spacing w:after="0" w:line="240" w:lineRule="auto"/>
              <w:jc w:val="center"/>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T4</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E" w14:textId="77777777" w:rsidR="00A60DDE" w:rsidRDefault="000955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szCs w:val="18"/>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F" w14:textId="699F77EB" w:rsidR="00A60DDE" w:rsidRDefault="00095506">
            <w:pPr>
              <w:pStyle w:val="Normal0"/>
              <w:pBdr>
                <w:top w:val="nil"/>
                <w:left w:val="nil"/>
                <w:bottom w:val="nil"/>
                <w:right w:val="nil"/>
                <w:between w:val="nil"/>
              </w:pBdr>
              <w:spacing w:after="0" w:line="240" w:lineRule="auto"/>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Polonia transferă 514 105 514 EUR către BGK pentru schemă.</w:t>
            </w:r>
          </w:p>
        </w:tc>
      </w:tr>
      <w:tr w:rsidR="00A60DDE" w14:paraId="1216B8AE"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1"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2" w14:textId="4A384D27"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B2.2.3 Construirea infrastructurii terminalelor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3"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4"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Construirea unui nou terminal pentru instalațiile eoliene offshore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5" w14:textId="29D0E59A"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Lucrările de construcție și contractul preliminar de utilizare sau de închiriere a terminalului</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9"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A"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B" w14:textId="199FE873" w:rsidR="00A60DDE" w:rsidRDefault="00095506">
            <w:pP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O copie a înscrierii administratorului sitului în jurnalul de șantier, care să confirme executarea lucrărilor de construcție a noului terminal în conformitate cu autorizațiile acordate.</w:t>
            </w:r>
          </w:p>
          <w:p w14:paraId="1216B8AC" w14:textId="77777777" w:rsidR="00A60DDE" w:rsidRDefault="00A60DDE">
            <w:pPr>
              <w:spacing w:after="0" w:line="240" w:lineRule="auto"/>
              <w:rPr>
                <w:rFonts w:ascii="Times New Roman" w:hAnsi="Times New Roman"/>
                <w:noProof/>
                <w:color w:val="000000" w:themeColor="text1"/>
                <w:sz w:val="18"/>
                <w:szCs w:val="18"/>
              </w:rPr>
            </w:pPr>
          </w:p>
          <w:p w14:paraId="1216B8AD" w14:textId="5867F63F" w:rsidR="00A60DDE" w:rsidRDefault="00095506">
            <w:pPr>
              <w:pStyle w:val="P68B1DB1-Normal26"/>
              <w:spacing w:after="0" w:line="240" w:lineRule="auto"/>
              <w:rPr>
                <w:rFonts w:eastAsia="Times New Roman" w:cs="Times New Roman"/>
                <w:noProof/>
                <w:color w:val="FF0000"/>
              </w:rPr>
            </w:pPr>
            <w:r>
              <w:rPr>
                <w:noProof/>
              </w:rPr>
              <w:t>Se semnează un contract (contracte) preliminar(e) de utilizare sau de închiriere obligatoriu(e) din punct de vedere juridic, care să asigure utilizarea principală a terminalului pentru instalarea de instalații eoliene offshore.</w:t>
            </w:r>
          </w:p>
        </w:tc>
      </w:tr>
      <w:tr w:rsidR="00A60DDE" w14:paraId="1216B8BB"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F"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0"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B2.2.3 Construirea infrastructurii terminalelor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1"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2" w14:textId="77777777" w:rsidR="00A60DDE" w:rsidRDefault="00095506">
            <w:pPr>
              <w:pStyle w:val="P68B1DB1-Normal020"/>
              <w:spacing w:after="0" w:line="240" w:lineRule="auto"/>
              <w:rPr>
                <w:rFonts w:eastAsia="Times New Roman" w:cs="Times New Roman"/>
                <w:noProof/>
                <w:color w:val="000000"/>
              </w:rPr>
            </w:pPr>
            <w:r>
              <w:rPr>
                <w:noProof/>
              </w:rPr>
              <w:t>Lucrări de construcție pentru modernizarea/extinderea instalațiilor din porturile Łeba, Ustka și Darłowo</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3" w14:textId="77777777" w:rsidR="00A60DDE" w:rsidRDefault="00095506">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4"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5"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6" w14:textId="77777777" w:rsidR="00A60DDE" w:rsidRDefault="00095506">
            <w:pPr>
              <w:pStyle w:val="P68B1DB1-Normal020"/>
              <w:spacing w:after="0" w:line="240" w:lineRule="auto"/>
              <w:jc w:val="center"/>
              <w:rPr>
                <w:rFonts w:eastAsia="Times New Roman" w:cs="Times New Roman"/>
                <w:noProof/>
                <w:color w:val="000000"/>
              </w:rPr>
            </w:pPr>
            <w:r>
              <w:rPr>
                <w:noProof/>
              </w:rPr>
              <w:t>3</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7" w14:textId="12ED2461" w:rsidR="00A60DDE" w:rsidRDefault="00095506">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8"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9" w14:textId="13059BC8" w:rsidR="00A60DDE" w:rsidRDefault="00095506">
            <w:pPr>
              <w:spacing w:after="160" w:line="240" w:lineRule="auto"/>
              <w:jc w:val="both"/>
              <w:rPr>
                <w:noProof/>
              </w:rPr>
            </w:pPr>
            <w:r>
              <w:rPr>
                <w:rFonts w:ascii="Times New Roman" w:hAnsi="Times New Roman"/>
                <w:noProof/>
                <w:color w:val="000000" w:themeColor="text1"/>
                <w:sz w:val="18"/>
                <w:szCs w:val="18"/>
              </w:rPr>
              <w:t>Pentru lucrările de modernizare sau de extindere a instalațiilor din porturile Łeba, Ustka și Darłowo se furnizează o copie a înregistrării administratorului sitului în jurnalul de șantier, care confirmă executarea lucrărilor de construcție în conformitate cu autorizațiile acordate. Pentru lucrările la cheiul maltez și la cheiul din portul Łeba, se furnizează o copie a protocolului de recepție finală semnat de contractant (contractanți) și de entitatea (entitățile) contractantă (contractante).</w:t>
            </w:r>
          </w:p>
          <w:p w14:paraId="1216B8BA" w14:textId="4FC5BF73" w:rsidR="00A60DDE" w:rsidRDefault="00095506">
            <w:pPr>
              <w:pStyle w:val="P68B1DB1-Normal26"/>
              <w:spacing w:after="160" w:line="240" w:lineRule="auto"/>
              <w:jc w:val="both"/>
              <w:rPr>
                <w:noProof/>
              </w:rPr>
            </w:pPr>
            <w:r>
              <w:rPr>
                <w:noProof/>
              </w:rPr>
              <w:t>Se încheie unul sau mai multe acorduri obligatorii din punct de vedere juridic pentru utilizarea instalațiilor portuare (inclusiv cel puțin una dintre următoarele: terenuri, terminale sau dane) cu dezvoltatorii sau operatorii de parcuri eoliene offshore, în scopul întreținerii și întreținerii instalațiilor eoliene offshore.</w:t>
            </w:r>
          </w:p>
        </w:tc>
      </w:tr>
      <w:tr w:rsidR="00A60DDE" w14:paraId="1216B8C7"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C"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B39G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D" w14:textId="77777777" w:rsidR="00A60DDE" w:rsidRDefault="00095506">
            <w:pPr>
              <w:pStyle w:val="P68B1DB1-Normal019"/>
              <w:pBdr>
                <w:top w:val="nil"/>
                <w:left w:val="nil"/>
                <w:bottom w:val="nil"/>
                <w:right w:val="nil"/>
                <w:between w:val="nil"/>
              </w:pBdr>
              <w:spacing w:after="0" w:line="240" w:lineRule="auto"/>
              <w:rPr>
                <w:noProof/>
              </w:rPr>
            </w:pPr>
            <w:r>
              <w:rPr>
                <w:noProof/>
              </w:rPr>
              <w:t xml:space="preserve">B3.1 Sprijinirea gestionării durabile a apei și a apelor uzate în zonele rurale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E"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F" w14:textId="7CDF7134" w:rsidR="00A60DDE" w:rsidRDefault="00095506">
            <w:pPr>
              <w:pStyle w:val="P68B1DB1-Normal019"/>
              <w:pBdr>
                <w:top w:val="nil"/>
                <w:left w:val="nil"/>
                <w:bottom w:val="nil"/>
                <w:right w:val="nil"/>
                <w:between w:val="nil"/>
              </w:pBdr>
              <w:spacing w:after="0" w:line="240" w:lineRule="auto"/>
              <w:rPr>
                <w:noProof/>
              </w:rPr>
            </w:pPr>
            <w:r>
              <w:rPr>
                <w:noProof/>
              </w:rPr>
              <w:t>Elaborarea de norme pentru teritorializarea sprijinului pentru investițiile în alimentarea cu apă sau canalizare Planul de redresare și reziliență în zonele rurale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0" w14:textId="77777777" w:rsidR="00A60DDE" w:rsidRDefault="00095506">
            <w:pPr>
              <w:pStyle w:val="P68B1DB1-Normal019"/>
              <w:pBdr>
                <w:top w:val="nil"/>
                <w:left w:val="nil"/>
                <w:bottom w:val="nil"/>
                <w:right w:val="nil"/>
                <w:between w:val="nil"/>
              </w:pBdr>
              <w:spacing w:after="0" w:line="240" w:lineRule="auto"/>
              <w:rPr>
                <w:noProof/>
              </w:rPr>
            </w:pPr>
            <w:r>
              <w:rPr>
                <w:noProof/>
              </w:rPr>
              <w:t>Adoptarea orientărilor de către ministrul agriculturii și dezvoltării rurale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4"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5"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6" w14:textId="77777777" w:rsidR="00A60DDE" w:rsidRDefault="00095506">
            <w:pPr>
              <w:pStyle w:val="Normal0"/>
              <w:pBdr>
                <w:top w:val="nil"/>
                <w:left w:val="nil"/>
                <w:bottom w:val="nil"/>
                <w:right w:val="nil"/>
                <w:between w:val="nil"/>
              </w:pBdr>
              <w:spacing w:after="0" w:line="240" w:lineRule="auto"/>
              <w:rPr>
                <w:rFonts w:ascii="Times New Roman" w:hAnsi="Times New Roman"/>
                <w:noProof/>
                <w:color w:val="000000"/>
                <w:sz w:val="18"/>
              </w:rPr>
            </w:pPr>
            <w:r>
              <w:rPr>
                <w:rFonts w:ascii="Times New Roman" w:hAnsi="Times New Roman"/>
                <w:noProof/>
                <w:color w:val="000000" w:themeColor="text1"/>
                <w:sz w:val="18"/>
              </w:rPr>
              <w:t>Adoptarea unor criterii teritoriale pentru selectarea beneficiarilor.</w:t>
            </w:r>
            <w:r>
              <w:rPr>
                <w:noProof/>
              </w:rPr>
              <w:t xml:space="preserve"> </w:t>
            </w:r>
            <w:r>
              <w:rPr>
                <w:noProof/>
              </w:rPr>
              <w:br/>
            </w:r>
            <w:r>
              <w:rPr>
                <w:rFonts w:ascii="Times New Roman" w:hAnsi="Times New Roman"/>
                <w:noProof/>
                <w:color w:val="000000" w:themeColor="text1"/>
                <w:sz w:val="18"/>
              </w:rPr>
              <w:t>Criteriile de selecție acordă prioritate municipalităților cu cea mai redusă capacitate de finanțare a investițiilor din resurse proprii. Autoguvernările voievodatului sunt implicate în procesul de definire a criteriilor de selecție a beneficiarilor.</w:t>
            </w:r>
          </w:p>
        </w:tc>
      </w:tr>
      <w:tr w:rsidR="00A60DDE" w14:paraId="1216B8D3"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8" w14:textId="77777777" w:rsidR="00A60DDE" w:rsidRDefault="00095506">
            <w:pPr>
              <w:pStyle w:val="P68B1DB1-Normal023"/>
              <w:pBdr>
                <w:top w:val="nil"/>
                <w:left w:val="nil"/>
                <w:bottom w:val="nil"/>
                <w:right w:val="nil"/>
                <w:between w:val="nil"/>
              </w:pBdr>
              <w:spacing w:after="0" w:line="240" w:lineRule="auto"/>
              <w:jc w:val="center"/>
              <w:rPr>
                <w:noProof/>
                <w:color w:val="000000"/>
              </w:rPr>
            </w:pPr>
            <w:r>
              <w:rPr>
                <w:noProof/>
              </w:rPr>
              <w:t>B40G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9" w14:textId="77777777" w:rsidR="00A60DDE" w:rsidRDefault="00095506">
            <w:pPr>
              <w:pStyle w:val="P68B1DB1-Normal019"/>
              <w:pBdr>
                <w:top w:val="nil"/>
                <w:left w:val="nil"/>
                <w:bottom w:val="nil"/>
                <w:right w:val="nil"/>
                <w:between w:val="nil"/>
              </w:pBdr>
              <w:spacing w:after="0" w:line="240" w:lineRule="auto"/>
              <w:rPr>
                <w:noProof/>
              </w:rPr>
            </w:pPr>
            <w:r>
              <w:rPr>
                <w:noProof/>
              </w:rPr>
              <w:t xml:space="preserve">B3.1 Sprijinirea gestionării durabile a apei și a apelor uzate în zonele rurale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A"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B" w14:textId="77777777" w:rsidR="00A60DDE" w:rsidRDefault="00095506">
            <w:pPr>
              <w:pStyle w:val="P68B1DB1-Normal019"/>
              <w:pBdr>
                <w:top w:val="nil"/>
                <w:left w:val="nil"/>
                <w:bottom w:val="nil"/>
                <w:right w:val="nil"/>
                <w:between w:val="nil"/>
              </w:pBdr>
              <w:spacing w:after="0" w:line="240" w:lineRule="auto"/>
              <w:rPr>
                <w:noProof/>
              </w:rPr>
            </w:pPr>
            <w:r>
              <w:rPr>
                <w:noProof/>
              </w:rPr>
              <w:t>Intrarea în vigoare a unui act juridic care stabilește obligația de a efectua monitorizarea și controlul periodic al sistemelor individuale adecvate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C" w14:textId="77777777" w:rsidR="00A60DDE" w:rsidRDefault="00095506">
            <w:pPr>
              <w:pStyle w:val="P68B1DB1-Normal019"/>
              <w:pBdr>
                <w:top w:val="nil"/>
                <w:left w:val="nil"/>
                <w:bottom w:val="nil"/>
                <w:right w:val="nil"/>
                <w:between w:val="nil"/>
              </w:pBdr>
              <w:spacing w:after="0" w:line="240" w:lineRule="auto"/>
              <w:rPr>
                <w:noProof/>
              </w:rPr>
            </w:pPr>
            <w:r>
              <w:rPr>
                <w:noProof/>
              </w:rPr>
              <w:t>Dispoziție din actul juridic care indică intrarea sa în vigoare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D"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E"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F"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0"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1"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2" w14:textId="77777777" w:rsidR="00A60DDE" w:rsidRDefault="00095506">
            <w:pPr>
              <w:pStyle w:val="P68B1DB1-Normal019"/>
              <w:pBdr>
                <w:top w:val="nil"/>
                <w:left w:val="nil"/>
                <w:bottom w:val="nil"/>
                <w:right w:val="nil"/>
                <w:between w:val="nil"/>
              </w:pBdr>
              <w:spacing w:after="0" w:line="240" w:lineRule="auto"/>
              <w:rPr>
                <w:noProof/>
              </w:rPr>
            </w:pPr>
            <w:r>
              <w:rPr>
                <w:noProof/>
              </w:rPr>
              <w:t>Intrarea în vigoare a unui act juridic care introduce obligația comunelor de a monitoriza și controla eliminarea apelor uzate și de a utiliza instrumente pentru a preveni eliminarea necorespunzătoare, inclusiv mecanismul așa-numitei executări de substituție, și anume organizarea golirii foselor septice de către comună pentru proprietarii care nu au încheiat contracte de golire a foselor septice.</w:t>
            </w:r>
          </w:p>
        </w:tc>
      </w:tr>
      <w:tr w:rsidR="00A60DDE" w14:paraId="1216B8DF" w14:textId="77777777">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4"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B41G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5" w14:textId="5E62A9AF" w:rsidR="00A60DDE" w:rsidRDefault="00095506">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B3.1.1 Investiții în infrastructuri de apă uzată sau de alimentare cu apă în zonele rurale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6" w14:textId="77777777" w:rsidR="00A60DDE" w:rsidRDefault="00095506">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7" w14:textId="05046A0C" w:rsidR="00A60DDE" w:rsidRDefault="00095506">
            <w:pPr>
              <w:pStyle w:val="P68B1DB1-Normal018"/>
              <w:pBdr>
                <w:top w:val="nil"/>
                <w:left w:val="nil"/>
                <w:bottom w:val="nil"/>
                <w:right w:val="nil"/>
                <w:between w:val="nil"/>
              </w:pBdr>
              <w:spacing w:after="0" w:line="240" w:lineRule="auto"/>
              <w:rPr>
                <w:rFonts w:eastAsia="Times New Roman" w:cs="Times New Roman"/>
                <w:noProof/>
              </w:rPr>
            </w:pPr>
            <w:r>
              <w:rPr>
                <w:noProof/>
              </w:rPr>
              <w:t>Sprijin pentru ape uzate sau alimentare cu apă</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8" w14:textId="77777777" w:rsidR="00A60DDE" w:rsidRDefault="00095506">
            <w:pPr>
              <w:pStyle w:val="P68B1DB1-Normal023"/>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9"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A" w14:textId="77777777" w:rsidR="00A60DDE" w:rsidRDefault="00095506">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B"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rPr>
            </w:pPr>
            <w:r>
              <w:rPr>
                <w:noProof/>
              </w:rPr>
              <w:t>150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C"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D" w14:textId="77777777" w:rsidR="00A60DDE" w:rsidRDefault="00095506">
            <w:pPr>
              <w:pStyle w:val="P68B1DB1-Normal018"/>
              <w:pBdr>
                <w:top w:val="nil"/>
                <w:left w:val="nil"/>
                <w:bottom w:val="nil"/>
                <w:right w:val="nil"/>
                <w:between w:val="nil"/>
              </w:pBdr>
              <w:spacing w:after="0" w:line="240" w:lineRule="auto"/>
              <w:jc w:val="center"/>
              <w:rPr>
                <w:rFonts w:eastAsia="Times New Roman" w:cs="Times New Roman"/>
                <w:noProof/>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E" w14:textId="100E989E" w:rsidR="00A60DDE" w:rsidRDefault="00095506">
            <w:pPr>
              <w:pStyle w:val="P68B1DB1-Normal018"/>
              <w:spacing w:after="0" w:line="240" w:lineRule="auto"/>
              <w:rPr>
                <w:rFonts w:eastAsia="Times New Roman" w:cs="Times New Roman"/>
                <w:noProof/>
              </w:rPr>
            </w:pPr>
            <w:r>
              <w:rPr>
                <w:noProof/>
              </w:rPr>
              <w:t>Protocol de recepție emis pentru construirea, extinderea sau modernizarea sistemelor de alimentare cu apă sau de evacuare a apelor uzate.</w:t>
            </w:r>
          </w:p>
        </w:tc>
      </w:tr>
      <w:tr w:rsidR="00A60DDE" w14:paraId="1216B8EB" w14:textId="77777777">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0" w14:textId="7189977A" w:rsidR="00A60DDE" w:rsidRDefault="00095506">
            <w:pPr>
              <w:pStyle w:val="P68B1DB1-Normal018"/>
              <w:pBdr>
                <w:top w:val="nil"/>
                <w:left w:val="nil"/>
                <w:bottom w:val="nil"/>
                <w:right w:val="nil"/>
                <w:between w:val="nil"/>
              </w:pBdr>
              <w:spacing w:after="0" w:line="240" w:lineRule="auto"/>
              <w:jc w:val="center"/>
              <w:rPr>
                <w:noProof/>
              </w:rPr>
            </w:pPr>
            <w:r>
              <w:rPr>
                <w:noProof/>
              </w:rPr>
              <w:t>B41aG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1" w14:textId="4D2BFB69" w:rsidR="00A60DDE" w:rsidRDefault="00095506">
            <w:pPr>
              <w:pStyle w:val="P68B1DB1-Normal020"/>
              <w:pBdr>
                <w:top w:val="nil"/>
                <w:left w:val="nil"/>
                <w:bottom w:val="nil"/>
                <w:right w:val="nil"/>
                <w:between w:val="nil"/>
              </w:pBdr>
              <w:spacing w:after="0" w:line="240" w:lineRule="auto"/>
              <w:rPr>
                <w:noProof/>
              </w:rPr>
            </w:pPr>
            <w:r>
              <w:rPr>
                <w:noProof/>
              </w:rPr>
              <w:t>B3.1.1 Investiții în infrastructuri de apă uzată sau de alimentare cu apă în zonele rurale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2" w14:textId="77777777" w:rsidR="00A60DDE" w:rsidRDefault="00095506">
            <w:pPr>
              <w:pStyle w:val="P68B1DB1-Normal019"/>
              <w:pBdr>
                <w:top w:val="nil"/>
                <w:left w:val="nil"/>
                <w:bottom w:val="nil"/>
                <w:right w:val="nil"/>
                <w:between w:val="nil"/>
              </w:pBdr>
              <w:spacing w:after="0" w:line="240" w:lineRule="auto"/>
              <w:jc w:val="center"/>
              <w:rPr>
                <w:noProof/>
                <w:color w:val="000000" w:themeColor="text1"/>
                <w:szCs w:val="18"/>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3" w14:textId="74DB0C12" w:rsidR="00A60DDE" w:rsidRDefault="00095506">
            <w:pPr>
              <w:pStyle w:val="P68B1DB1-Normal018"/>
              <w:pBdr>
                <w:top w:val="nil"/>
                <w:left w:val="nil"/>
                <w:bottom w:val="nil"/>
                <w:right w:val="nil"/>
                <w:between w:val="nil"/>
              </w:pBdr>
              <w:spacing w:after="0" w:line="240" w:lineRule="auto"/>
              <w:rPr>
                <w:noProof/>
                <w:color w:val="000000" w:themeColor="text1"/>
              </w:rPr>
            </w:pPr>
            <w:r>
              <w:rPr>
                <w:noProof/>
              </w:rPr>
              <w:t>Sprijin pentru ape uzate sau alimentare cu apă</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4"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5" w14:textId="77777777" w:rsidR="00A60DDE" w:rsidRDefault="00095506">
            <w:pPr>
              <w:pStyle w:val="P68B1DB1-Normal023"/>
              <w:pBdr>
                <w:top w:val="nil"/>
                <w:left w:val="nil"/>
                <w:bottom w:val="nil"/>
                <w:right w:val="nil"/>
                <w:between w:val="nil"/>
              </w:pBdr>
              <w:spacing w:after="0" w:line="240" w:lineRule="auto"/>
              <w:jc w:val="center"/>
              <w:rPr>
                <w:noProof/>
                <w:color w:val="000000" w:themeColor="text1"/>
                <w:szCs w:val="18"/>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6"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150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7" w14:textId="4BC1C199" w:rsidR="00A60DDE" w:rsidRDefault="00095506">
            <w:pPr>
              <w:pStyle w:val="P68B1DB1-Normal020"/>
              <w:pBdr>
                <w:top w:val="nil"/>
                <w:left w:val="nil"/>
                <w:bottom w:val="nil"/>
                <w:right w:val="nil"/>
                <w:between w:val="nil"/>
              </w:pBdr>
              <w:spacing w:after="0" w:line="240" w:lineRule="auto"/>
              <w:jc w:val="center"/>
              <w:rPr>
                <w:noProof/>
              </w:rPr>
            </w:pPr>
            <w:r>
              <w:rPr>
                <w:noProof/>
              </w:rPr>
              <w:t>467</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8"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9" w14:textId="77777777" w:rsidR="00A60DDE" w:rsidRDefault="00095506">
            <w:pPr>
              <w:pStyle w:val="P68B1DB1-Normal020"/>
              <w:pBdr>
                <w:top w:val="nil"/>
                <w:left w:val="nil"/>
                <w:bottom w:val="nil"/>
                <w:right w:val="nil"/>
                <w:between w:val="nil"/>
              </w:pBdr>
              <w:spacing w:after="0"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A" w14:textId="7CC625B6" w:rsidR="00A60DDE" w:rsidRDefault="00095506">
            <w:pPr>
              <w:pStyle w:val="P68B1DB1-Normal018"/>
              <w:spacing w:line="240" w:lineRule="auto"/>
              <w:rPr>
                <w:noProof/>
                <w:color w:val="000000" w:themeColor="text1"/>
              </w:rPr>
            </w:pPr>
            <w:r>
              <w:rPr>
                <w:noProof/>
              </w:rPr>
              <w:t>Protocol de recepție emis pentru construirea, extinderea sau modernizarea sistemelor de alimentare cu apă sau de evacuare a apelor uzate.</w:t>
            </w:r>
          </w:p>
        </w:tc>
      </w:tr>
      <w:tr w:rsidR="00A60DDE" w14:paraId="1216B8F8" w14:textId="77777777">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C" w14:textId="77777777" w:rsidR="00A60DDE" w:rsidRDefault="00095506">
            <w:pPr>
              <w:pStyle w:val="P68B1DB1-Normal023"/>
              <w:pBdr>
                <w:top w:val="nil"/>
                <w:left w:val="nil"/>
                <w:bottom w:val="nil"/>
                <w:right w:val="nil"/>
                <w:between w:val="nil"/>
              </w:pBdr>
              <w:spacing w:after="0" w:line="240" w:lineRule="auto"/>
              <w:jc w:val="center"/>
              <w:rPr>
                <w:noProof/>
              </w:rPr>
            </w:pPr>
            <w:r>
              <w:rPr>
                <w:noProof/>
              </w:rPr>
              <w:t>B42G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D" w14:textId="77777777" w:rsidR="00A60DDE" w:rsidRDefault="00095506">
            <w:pPr>
              <w:pStyle w:val="P68B1DB1-Normal019"/>
              <w:pBdr>
                <w:top w:val="nil"/>
                <w:left w:val="nil"/>
                <w:bottom w:val="nil"/>
                <w:right w:val="nil"/>
                <w:between w:val="nil"/>
              </w:pBdr>
              <w:spacing w:after="0" w:line="240" w:lineRule="auto"/>
              <w:rPr>
                <w:noProof/>
              </w:rPr>
            </w:pPr>
            <w:r>
              <w:rPr>
                <w:noProof/>
              </w:rPr>
              <w:t>B1.1.5 Îmbunătățirea eficienței energetice a clădirilor rezidențiale cu mai multe apartamente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E"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F" w14:textId="2497E0EC" w:rsidR="00A60DDE" w:rsidRDefault="00095506">
            <w:pPr>
              <w:pStyle w:val="P68B1DB1-Normal019"/>
              <w:pBdr>
                <w:top w:val="nil"/>
                <w:left w:val="nil"/>
                <w:bottom w:val="nil"/>
                <w:right w:val="nil"/>
                <w:between w:val="nil"/>
              </w:pBdr>
              <w:spacing w:after="0" w:line="240" w:lineRule="auto"/>
              <w:rPr>
                <w:noProof/>
                <w:color w:val="000000" w:themeColor="text1"/>
              </w:rPr>
            </w:pPr>
            <w:r>
              <w:rPr>
                <w:noProof/>
              </w:rPr>
              <w:t>T1 – Instalații de energie din surse regenerabile și termo</w:t>
            </w:r>
            <w:r w:rsidR="005631E2">
              <w:rPr>
                <w:noProof/>
              </w:rPr>
              <w:t>-</w:t>
            </w:r>
            <w:r>
              <w:rPr>
                <w:noProof/>
              </w:rPr>
              <w:t>modernizări în clădirile cu mai multe apartamente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0" w14:textId="77777777" w:rsidR="00A60DDE" w:rsidRDefault="00A60DDE">
            <w:pPr>
              <w:pStyle w:val="Normal0"/>
              <w:pBdr>
                <w:top w:val="nil"/>
                <w:left w:val="nil"/>
                <w:bottom w:val="nil"/>
                <w:right w:val="nil"/>
                <w:between w:val="nil"/>
              </w:pBdr>
              <w:spacing w:after="0" w:line="240" w:lineRule="auto"/>
              <w:rPr>
                <w:rFonts w:ascii="Times New Roman" w:hAnsi="Times New Roman"/>
                <w:noProof/>
                <w:color w:val="000000"/>
                <w:sz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1"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2"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3"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632</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4"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5" w14:textId="77777777" w:rsidR="00A60DDE" w:rsidRDefault="00095506">
            <w:pPr>
              <w:pStyle w:val="P68B1DB1-Normal019"/>
              <w:pBdr>
                <w:top w:val="nil"/>
                <w:left w:val="nil"/>
                <w:bottom w:val="nil"/>
                <w:right w:val="nil"/>
                <w:between w:val="nil"/>
              </w:pBdr>
              <w:spacing w:after="0" w:line="240" w:lineRule="auto"/>
              <w:jc w:val="center"/>
              <w:rPr>
                <w:noProof/>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6" w14:textId="719C77CD" w:rsidR="00A60DDE" w:rsidRDefault="00095506">
            <w:pPr>
              <w:pStyle w:val="P68B1DB1-Normal019"/>
              <w:spacing w:line="240" w:lineRule="auto"/>
              <w:rPr>
                <w:noProof/>
                <w:color w:val="000000" w:themeColor="text1"/>
              </w:rPr>
            </w:pPr>
            <w:r>
              <w:rPr>
                <w:noProof/>
              </w:rPr>
              <w:t>Numărul de clădiri cu mai multe apartamente care au fost termo</w:t>
            </w:r>
            <w:r w:rsidR="005631E2">
              <w:rPr>
                <w:noProof/>
              </w:rPr>
              <w:t>-</w:t>
            </w:r>
            <w:r>
              <w:rPr>
                <w:noProof/>
              </w:rPr>
              <w:t>modernizate sau echipate cu instalații de energie din surse regenerabile.</w:t>
            </w:r>
          </w:p>
          <w:p w14:paraId="1216B8F7" w14:textId="1B01A624" w:rsidR="00A60DDE" w:rsidRDefault="00095506">
            <w:pPr>
              <w:pStyle w:val="P68B1DB1-Normal019"/>
              <w:spacing w:line="240" w:lineRule="auto"/>
              <w:rPr>
                <w:noProof/>
                <w:color w:val="000000" w:themeColor="text1"/>
              </w:rPr>
            </w:pPr>
            <w:r>
              <w:rPr>
                <w:noProof/>
              </w:rPr>
              <w:t>Investițiile sunt sprijinite în cadrul programului TERMO.</w:t>
            </w:r>
          </w:p>
        </w:tc>
      </w:tr>
      <w:tr w:rsidR="00A60DDE" w14:paraId="1216B904" w14:textId="77777777">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9" w14:textId="77777777" w:rsidR="00A60DDE" w:rsidRDefault="00095506">
            <w:pPr>
              <w:pStyle w:val="P68B1DB1-Normal018"/>
              <w:pBdr>
                <w:top w:val="nil"/>
                <w:left w:val="nil"/>
                <w:bottom w:val="nil"/>
                <w:right w:val="nil"/>
                <w:between w:val="nil"/>
              </w:pBdr>
              <w:spacing w:after="0" w:line="240" w:lineRule="auto"/>
              <w:jc w:val="center"/>
              <w:rPr>
                <w:noProof/>
              </w:rPr>
            </w:pPr>
            <w:r>
              <w:rPr>
                <w:noProof/>
              </w:rPr>
              <w:t>B43G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A" w14:textId="77777777" w:rsidR="00A60DDE" w:rsidRDefault="00095506">
            <w:pPr>
              <w:pStyle w:val="P68B1DB1-Normal020"/>
              <w:pBdr>
                <w:top w:val="nil"/>
                <w:left w:val="nil"/>
                <w:bottom w:val="nil"/>
                <w:right w:val="nil"/>
                <w:between w:val="nil"/>
              </w:pBdr>
              <w:spacing w:after="0" w:line="240" w:lineRule="auto"/>
              <w:rPr>
                <w:noProof/>
                <w:color w:val="000000"/>
              </w:rPr>
            </w:pPr>
            <w:r>
              <w:rPr>
                <w:noProof/>
              </w:rPr>
              <w:t>B1.1.5 Investiții în eficiența energetică a clădirilor rezidențiale cu mai multe apartamente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B"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Țintă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C" w14:textId="77777777" w:rsidR="00A60DDE" w:rsidRDefault="00095506">
            <w:pPr>
              <w:pStyle w:val="P68B1DB1-Normal020"/>
              <w:pBdr>
                <w:top w:val="nil"/>
                <w:left w:val="nil"/>
                <w:bottom w:val="nil"/>
                <w:right w:val="nil"/>
                <w:between w:val="nil"/>
              </w:pBdr>
              <w:spacing w:after="0" w:line="240" w:lineRule="auto"/>
              <w:rPr>
                <w:noProof/>
              </w:rPr>
            </w:pPr>
            <w:r>
              <w:rPr>
                <w:noProof/>
              </w:rPr>
              <w:t>T2 – Instalații de energie din surse regenerabile sau modernizări termice în clădiri cu mai multe apartamente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D"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E"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Număr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F"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632</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0" w14:textId="1CE27FF3" w:rsidR="00A60DDE" w:rsidRDefault="00095506">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5</w:t>
            </w:r>
            <w:r>
              <w:rPr>
                <w:rFonts w:eastAsia="Times New Roman"/>
                <w:noProof/>
                <w:color w:val="006100"/>
              </w:rPr>
              <w:t xml:space="preserve"> </w:t>
            </w:r>
            <w:r>
              <w:rPr>
                <w:rFonts w:ascii="Times New Roman" w:eastAsia="Times New Roman" w:hAnsi="Times New Roman" w:cs="Times New Roman"/>
                <w:noProof/>
                <w:color w:val="006100"/>
                <w:sz w:val="18"/>
                <w:szCs w:val="18"/>
              </w:rPr>
              <w:t>395</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1"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2" w14:textId="77777777" w:rsidR="00A60DDE" w:rsidRDefault="00095506">
            <w:pPr>
              <w:pStyle w:val="P68B1DB1-Normal020"/>
              <w:pBdr>
                <w:top w:val="nil"/>
                <w:left w:val="nil"/>
                <w:bottom w:val="nil"/>
                <w:right w:val="nil"/>
                <w:between w:val="nil"/>
              </w:pBdr>
              <w:spacing w:after="0" w:line="240" w:lineRule="auto"/>
              <w:jc w:val="center"/>
              <w:rPr>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3" w14:textId="1AACEAE9" w:rsidR="00A60DDE" w:rsidRDefault="00095506">
            <w:pPr>
              <w:pStyle w:val="P68B1DB1-Normal020"/>
              <w:spacing w:line="240" w:lineRule="auto"/>
              <w:rPr>
                <w:rFonts w:eastAsia="Times New Roman" w:cs="Times New Roman"/>
                <w:noProof/>
              </w:rPr>
            </w:pPr>
            <w:r>
              <w:rPr>
                <w:noProof/>
              </w:rPr>
              <w:t>Numărul de clădiri cu mai multe apartamente care au fost termo</w:t>
            </w:r>
            <w:r w:rsidR="005631E2">
              <w:rPr>
                <w:noProof/>
              </w:rPr>
              <w:t>-</w:t>
            </w:r>
            <w:r>
              <w:rPr>
                <w:noProof/>
              </w:rPr>
              <w:t>modernizate sau echipate cu instalații de energie din surse regenerabile.</w:t>
            </w:r>
          </w:p>
        </w:tc>
      </w:tr>
      <w:tr w:rsidR="00A60DDE" w14:paraId="63B0E720" w14:textId="77777777">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842164" w14:textId="7624B761" w:rsidR="00A60DDE" w:rsidRDefault="00095506">
            <w:pPr>
              <w:pStyle w:val="P68B1DB1-Normal018"/>
              <w:spacing w:line="240" w:lineRule="auto"/>
              <w:jc w:val="center"/>
              <w:rPr>
                <w:noProof/>
              </w:rPr>
            </w:pPr>
            <w:r>
              <w:rPr>
                <w:noProof/>
              </w:rPr>
              <w:t>B44G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01A50B2" w14:textId="5A9431F2" w:rsidR="00A60DDE" w:rsidRDefault="00095506">
            <w:pPr>
              <w:pStyle w:val="P68B1DB1-Normal020"/>
              <w:spacing w:line="240" w:lineRule="auto"/>
              <w:rPr>
                <w:noProof/>
              </w:rPr>
            </w:pPr>
            <w:r>
              <w:rPr>
                <w:noProof/>
              </w:rPr>
              <w:t xml:space="preserve">B4.1 Reducerea dependenței de cărbune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10042C" w14:textId="4BC9F7E8" w:rsidR="00A60DDE" w:rsidRDefault="00095506">
            <w:pPr>
              <w:pStyle w:val="P68B1DB1-Normal020"/>
              <w:spacing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B3519C" w14:textId="0CD1BB26" w:rsidR="00A60DDE" w:rsidRDefault="00095506">
            <w:pPr>
              <w:pStyle w:val="P68B1DB1-Normal020"/>
              <w:spacing w:line="240" w:lineRule="auto"/>
              <w:rPr>
                <w:noProof/>
              </w:rPr>
            </w:pPr>
            <w:r>
              <w:rPr>
                <w:noProof/>
              </w:rPr>
              <w:t>Fondul de transformare a încălzirii centralizate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BF3813" w14:textId="3FE425B5" w:rsidR="00A60DDE" w:rsidRDefault="00095506">
            <w:pPr>
              <w:pStyle w:val="P68B1DB1-Normal029"/>
              <w:spacing w:line="240" w:lineRule="auto"/>
              <w:rPr>
                <w:noProof/>
              </w:rPr>
            </w:pPr>
            <w:r>
              <w:rPr>
                <w:noProof/>
              </w:rPr>
              <w:t>Aprobarea consiliului</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7BDE77" w14:textId="58422367" w:rsidR="00A60DDE" w:rsidRDefault="00A60DDE">
            <w:pPr>
              <w:pStyle w:val="Normal0"/>
              <w:spacing w:line="240" w:lineRule="auto"/>
              <w:jc w:val="center"/>
              <w:rPr>
                <w:rFonts w:ascii="Times New Roman" w:hAnsi="Times New Roman"/>
                <w:noProof/>
                <w:color w:val="000000" w:themeColor="text1"/>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CD1ACC" w14:textId="4F2AC1A9" w:rsidR="00A60DDE" w:rsidRDefault="00A60DDE">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08F99A" w14:textId="29BF7B71" w:rsidR="00A60DDE" w:rsidRDefault="00A60DDE">
            <w:pPr>
              <w:pStyle w:val="Normal0"/>
              <w:spacing w:line="240" w:lineRule="auto"/>
              <w:jc w:val="center"/>
              <w:rPr>
                <w:rFonts w:ascii="Times New Roman" w:hAnsi="Times New Roman"/>
                <w:noProof/>
                <w:color w:val="000000" w:themeColor="text1"/>
                <w:sz w:val="18"/>
                <w:szCs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1FE0D6" w14:textId="19164E0C" w:rsidR="00A60DDE" w:rsidRDefault="00095506">
            <w:pPr>
              <w:pStyle w:val="P68B1DB1-Normal020"/>
              <w:spacing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941F46E" w14:textId="2D83F38C" w:rsidR="00A60DDE" w:rsidRDefault="00095506">
            <w:pPr>
              <w:pStyle w:val="P68B1DB1-Normal020"/>
              <w:spacing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69A7B" w14:textId="79CB770C" w:rsidR="00A60DDE" w:rsidRDefault="00095506">
            <w:pPr>
              <w:pStyle w:val="P68B1DB1-Normal020"/>
              <w:spacing w:line="240" w:lineRule="auto"/>
              <w:rPr>
                <w:noProof/>
              </w:rPr>
            </w:pPr>
            <w:r>
              <w:rPr>
                <w:noProof/>
              </w:rPr>
              <w:t>Conducerea și/sau consiliul de supraveghere al Narodowy Fundusz Ochrony Srodowiska i Gospodarki Wodnej (NFOSiGW) aprobă ca program prioritar „Fondul pentru transformarea încălzirii centralizate” pentru perioada 2026-2030, constând în cel puțin 700 de milioane EUR provenind din fondurile naționale ale NFOSiGW. Această aprobare precizează că obiectivul „Fondului de transformare a încălzirii centralizate” este de a sprijini decarbonizarea sectorului încălzirii centralizate în Polonia și:</w:t>
            </w:r>
          </w:p>
          <w:p w14:paraId="46735694" w14:textId="1BD7B1F4" w:rsidR="00A60DDE" w:rsidRDefault="00095506">
            <w:pPr>
              <w:pStyle w:val="P68B1DB1-Normal020"/>
              <w:spacing w:line="240" w:lineRule="auto"/>
              <w:rPr>
                <w:noProof/>
              </w:rPr>
            </w:pPr>
            <w:r>
              <w:rPr>
                <w:noProof/>
              </w:rPr>
              <w:t>1. investițiile eligibile pentru decarbonizarea generării de căldură și obiectivele de investiții ale „Fondului de transformare a încălzirii centralizate” (cum ar fi utilizarea surselor regenerabile de energie, tehnologiile pompelor de căldură, stocarea termică și recuperarea căldurii reziduale) și cerința ca investițiile eligibile să fie în conformitate cu principiul DNSH;</w:t>
            </w:r>
          </w:p>
          <w:p w14:paraId="435E5F13" w14:textId="0D3ABC38" w:rsidR="00A60DDE" w:rsidRDefault="00095506">
            <w:pPr>
              <w:pStyle w:val="P68B1DB1-Normal020"/>
              <w:spacing w:line="240" w:lineRule="auto"/>
              <w:rPr>
                <w:noProof/>
              </w:rPr>
            </w:pPr>
            <w:r>
              <w:rPr>
                <w:noProof/>
              </w:rPr>
              <w:t>2. Obiectivele de investiții în ceea ce privește capacitatea de utilizare a surselor regenerabile de energie și reducerea emisiilor de GES sau reducerea utilizării combustibililor fosili.</w:t>
            </w:r>
          </w:p>
        </w:tc>
      </w:tr>
      <w:tr w:rsidR="00A60DDE" w14:paraId="1C3E0B34" w14:textId="77777777">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50F94F" w14:textId="716212A6" w:rsidR="00A60DDE" w:rsidRDefault="00095506">
            <w:pPr>
              <w:pStyle w:val="P68B1DB1-Normal018"/>
              <w:spacing w:line="240" w:lineRule="auto"/>
              <w:jc w:val="center"/>
              <w:rPr>
                <w:noProof/>
              </w:rPr>
            </w:pPr>
            <w:r>
              <w:rPr>
                <w:noProof/>
              </w:rPr>
              <w:t>B45G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247E82" w14:textId="6AC76474" w:rsidR="00A60DDE" w:rsidRDefault="00095506">
            <w:pPr>
              <w:pStyle w:val="P68B1DB1-Normal020"/>
              <w:spacing w:line="240" w:lineRule="auto"/>
              <w:rPr>
                <w:noProof/>
              </w:rPr>
            </w:pPr>
            <w:r>
              <w:rPr>
                <w:noProof/>
              </w:rPr>
              <w:t>B4.1 Reducerea dependenței de cărbune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6A8F28" w14:textId="48CDD360" w:rsidR="00A60DDE" w:rsidRDefault="00095506">
            <w:pPr>
              <w:pStyle w:val="P68B1DB1-Normal020"/>
              <w:spacing w:line="240" w:lineRule="auto"/>
              <w:jc w:val="center"/>
              <w:rPr>
                <w:noProof/>
              </w:rPr>
            </w:pPr>
            <w:r>
              <w:rPr>
                <w:noProof/>
              </w:rPr>
              <w:t>Etapa de referință</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BABE84" w14:textId="289259FC" w:rsidR="00A60DDE" w:rsidRDefault="00095506">
            <w:pPr>
              <w:pStyle w:val="P68B1DB1-Normal020"/>
              <w:spacing w:line="240" w:lineRule="auto"/>
              <w:rPr>
                <w:noProof/>
              </w:rPr>
            </w:pPr>
            <w:r>
              <w:rPr>
                <w:noProof/>
              </w:rPr>
              <w:t>Intrarea în vigoare a unei legi de modificare a Legii privind funcționarea industriei miniere a cărbunelui superior</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3713A6" w14:textId="739FA04C" w:rsidR="00A60DDE" w:rsidRDefault="00095506">
            <w:pPr>
              <w:pStyle w:val="P68B1DB1-Normal029"/>
              <w:spacing w:line="240" w:lineRule="auto"/>
              <w:rPr>
                <w:noProof/>
              </w:rPr>
            </w:pPr>
            <w:r>
              <w:rPr>
                <w:noProof/>
              </w:rPr>
              <w:t>Intrarea în vigoare a modificării legislative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BE870B" w14:textId="3BF71B0E" w:rsidR="00A60DDE" w:rsidRDefault="00A60DDE">
            <w:pPr>
              <w:pStyle w:val="Normal0"/>
              <w:spacing w:line="240" w:lineRule="auto"/>
              <w:jc w:val="center"/>
              <w:rPr>
                <w:rFonts w:ascii="Times New Roman" w:hAnsi="Times New Roman"/>
                <w:noProof/>
                <w:color w:val="000000" w:themeColor="text1"/>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F675BA" w14:textId="0B99D62B" w:rsidR="00A60DDE" w:rsidRDefault="00A60DDE">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D4AD0" w14:textId="2705D216" w:rsidR="00A60DDE" w:rsidRDefault="00A60DDE">
            <w:pPr>
              <w:pStyle w:val="Normal0"/>
              <w:spacing w:line="240" w:lineRule="auto"/>
              <w:jc w:val="center"/>
              <w:rPr>
                <w:rFonts w:ascii="Times New Roman" w:hAnsi="Times New Roman"/>
                <w:noProof/>
                <w:color w:val="000000" w:themeColor="text1"/>
                <w:sz w:val="18"/>
                <w:szCs w:val="18"/>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DD91B8" w14:textId="5827A111" w:rsidR="00A60DDE" w:rsidRDefault="00095506">
            <w:pPr>
              <w:pStyle w:val="P68B1DB1-Normal020"/>
              <w:spacing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176A0B" w14:textId="20357727" w:rsidR="00A60DDE" w:rsidRDefault="00095506">
            <w:pPr>
              <w:pStyle w:val="P68B1DB1-Normal020"/>
              <w:spacing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994730" w14:textId="6C1E61F8" w:rsidR="00A60DDE" w:rsidRDefault="00095506">
            <w:pPr>
              <w:pStyle w:val="P68B1DB1-Normal020"/>
              <w:spacing w:line="240" w:lineRule="auto"/>
              <w:rPr>
                <w:noProof/>
              </w:rPr>
            </w:pPr>
            <w:r>
              <w:rPr>
                <w:noProof/>
              </w:rPr>
              <w:t>Intrarea în vigoare a unei legi de modificare a Legii privind funcționarea industriei de extracție a huilei în ceea ce privește închiderea minelor de huilă.</w:t>
            </w:r>
          </w:p>
        </w:tc>
      </w:tr>
    </w:tbl>
    <w:p w14:paraId="1216B905"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sectPr w:rsidR="00A60DDE" w:rsidSect="006C5441">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299"/>
        </w:sectPr>
      </w:pPr>
    </w:p>
    <w:p w14:paraId="1216B906"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r>
        <w:rPr>
          <w:rFonts w:ascii="Times New Roman" w:hAnsi="Times New Roman"/>
          <w:b/>
          <w:noProof/>
          <w:color w:val="000000" w:themeColor="text1"/>
          <w:sz w:val="24"/>
        </w:rPr>
        <w:t xml:space="preserve">B.3. </w:t>
      </w:r>
      <w:r>
        <w:rPr>
          <w:noProof/>
        </w:rPr>
        <w:t xml:space="preserve"> </w:t>
      </w:r>
      <w:r>
        <w:rPr>
          <w:rFonts w:ascii="Times New Roman" w:hAnsi="Times New Roman"/>
          <w:b/>
          <w:noProof/>
          <w:color w:val="000000" w:themeColor="text1"/>
          <w:sz w:val="24"/>
        </w:rPr>
        <w:t>Descrierea reformelor și a investițiilor pentru sprijinul sub formă de împrumut</w:t>
      </w:r>
    </w:p>
    <w:p w14:paraId="1216B907"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rPr>
      </w:pPr>
    </w:p>
    <w:p w14:paraId="1216B908" w14:textId="77777777" w:rsidR="00A60DDE" w:rsidRDefault="00095506">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B1.2 Facilitarea obligației de economisire a energiei pentru întreprinderile energetice</w:t>
      </w:r>
    </w:p>
    <w:p w14:paraId="1216B909" w14:textId="2306DB51" w:rsidR="00A60DDE" w:rsidRDefault="00095506">
      <w:pPr>
        <w:pStyle w:val="P68B1DB1-Normal047"/>
        <w:pBdr>
          <w:top w:val="nil"/>
          <w:left w:val="nil"/>
          <w:bottom w:val="nil"/>
          <w:right w:val="nil"/>
          <w:between w:val="nil"/>
        </w:pBdr>
        <w:spacing w:before="60" w:after="0" w:line="240" w:lineRule="auto"/>
        <w:jc w:val="both"/>
        <w:rPr>
          <w:noProof/>
          <w:color w:val="000000"/>
        </w:rPr>
      </w:pPr>
      <w:r>
        <w:rPr>
          <w:noProof/>
        </w:rPr>
        <w:t>Obiectivul reformei este simplificarea și extinderea sistemului de obligații în materie de eficiență energetică.</w:t>
      </w:r>
    </w:p>
    <w:p w14:paraId="1216B90A" w14:textId="52C0819F" w:rsidR="00A60DDE" w:rsidRDefault="00095506">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r>
        <w:rPr>
          <w:noProof/>
        </w:rPr>
        <w:t xml:space="preserve">Reforma </w:t>
      </w:r>
      <w:r>
        <w:rPr>
          <w:rFonts w:ascii="Times New Roman" w:hAnsi="Times New Roman"/>
          <w:noProof/>
          <w:color w:val="000000" w:themeColor="text1"/>
          <w:sz w:val="24"/>
        </w:rPr>
        <w:t xml:space="preserve">este pusă în aplicare prin crearea unui set standard de valori de referință pentru diferite tipuri de măsuri de economisire a energiei. Astfel de măsuri nu mai trebuie auditate, ceea ce facilitează participarea la program a entităților mai mici. Un alt element al reformei este includerea în sistemul de obligații în materie de eficiență energetică a întreprinderilor producătoare de combustibili care introduc pe piață combustibili lichizi utilizați pentru transport. Aceste societăți pun în aplicare proiecte de îmbunătățire a eficienței energetice, anulează un număr </w:t>
      </w:r>
      <w:r w:rsidR="005631E2">
        <w:rPr>
          <w:rFonts w:ascii="Times New Roman" w:hAnsi="Times New Roman"/>
          <w:noProof/>
          <w:color w:val="000000" w:themeColor="text1"/>
          <w:sz w:val="24"/>
        </w:rPr>
        <w:t>adecvat</w:t>
      </w:r>
      <w:r>
        <w:rPr>
          <w:rFonts w:ascii="Times New Roman" w:hAnsi="Times New Roman"/>
          <w:noProof/>
          <w:color w:val="000000" w:themeColor="text1"/>
          <w:sz w:val="24"/>
        </w:rPr>
        <w:t xml:space="preserve"> de certificate albe sau plătesc o taxă de substituție în anumite condiții. Punerea în aplicare a reformei se finalizează până la 30 iunie 2022.</w:t>
      </w:r>
    </w:p>
    <w:p w14:paraId="1216B90B" w14:textId="77777777" w:rsidR="00A60DDE" w:rsidRDefault="00A60DDE">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p>
    <w:p w14:paraId="1216B90C" w14:textId="77777777" w:rsidR="00A60DDE" w:rsidRDefault="00095506">
      <w:pPr>
        <w:pStyle w:val="P68B1DB1-Normal048"/>
        <w:pBdr>
          <w:top w:val="nil"/>
          <w:left w:val="nil"/>
          <w:bottom w:val="nil"/>
          <w:right w:val="nil"/>
          <w:between w:val="nil"/>
        </w:pBdr>
        <w:spacing w:before="60" w:after="120" w:line="240" w:lineRule="auto"/>
        <w:jc w:val="both"/>
        <w:rPr>
          <w:noProof/>
        </w:rPr>
      </w:pPr>
      <w:r>
        <w:rPr>
          <w:noProof/>
        </w:rPr>
        <w:t>B1.2.1 Eficiența energetică și sursele regenerabile de energie în întreprinderi – investiții cu cel mai mare potențial de reducere a emisiilor de gaze cu efect de seră</w:t>
      </w:r>
    </w:p>
    <w:p w14:paraId="1216B90D" w14:textId="59187CFA" w:rsidR="00A60DDE" w:rsidRDefault="00095506">
      <w:pPr>
        <w:pStyle w:val="P68B1DB1-Normal047"/>
        <w:pBdr>
          <w:top w:val="nil"/>
          <w:left w:val="nil"/>
          <w:bottom w:val="nil"/>
          <w:right w:val="nil"/>
          <w:between w:val="nil"/>
        </w:pBdr>
        <w:spacing w:before="60" w:after="120" w:line="240" w:lineRule="auto"/>
        <w:jc w:val="both"/>
        <w:rPr>
          <w:noProof/>
        </w:rPr>
      </w:pPr>
      <w:r>
        <w:rPr>
          <w:noProof/>
        </w:rPr>
        <w:t>Investiția vizează reducerea consumului final de energie și a emisiilor de gaze cu efect de seră ale întreprinderilor.</w:t>
      </w:r>
    </w:p>
    <w:p w14:paraId="1216B90E" w14:textId="1B7F78C3" w:rsidR="00A60DDE" w:rsidRDefault="00095506">
      <w:pPr>
        <w:pStyle w:val="P68B1DB1-Normal047"/>
        <w:pBdr>
          <w:top w:val="nil"/>
          <w:left w:val="nil"/>
          <w:bottom w:val="nil"/>
          <w:right w:val="nil"/>
          <w:between w:val="nil"/>
        </w:pBdr>
        <w:spacing w:before="60" w:after="120" w:line="240" w:lineRule="auto"/>
        <w:jc w:val="both"/>
        <w:rPr>
          <w:noProof/>
        </w:rPr>
      </w:pPr>
      <w:r>
        <w:rPr>
          <w:noProof/>
        </w:rPr>
        <w:t>Punerea în aplicare a soluțiilor ecologice în întreprinderi urmărește să se concentreze pe îmbunătățirea proceselor industriale și energetice pentru a îmbunătăți eficiența energetică și a reduce intensitatea energetică, conducând la o reducere - și la o eficiență sporită - a consumului de energie, împreună cu investiții în surse de energie regenerabile și cu emisii scăzute de dioxid de carbon în întreprinderi.</w:t>
      </w:r>
    </w:p>
    <w:p w14:paraId="1216B90F" w14:textId="483DB4AB" w:rsidR="00A60DDE" w:rsidRDefault="00095506">
      <w:pPr>
        <w:pStyle w:val="P68B1DB1-Normal049"/>
        <w:pBdr>
          <w:top w:val="nil"/>
          <w:left w:val="nil"/>
          <w:bottom w:val="nil"/>
          <w:right w:val="nil"/>
          <w:between w:val="nil"/>
        </w:pBdr>
        <w:spacing w:before="60" w:after="120" w:line="240" w:lineRule="auto"/>
        <w:jc w:val="both"/>
        <w:rPr>
          <w:noProof/>
        </w:rPr>
      </w:pPr>
      <w:r>
        <w:rPr>
          <w:noProof/>
          <w:color w:val="000000" w:themeColor="text1"/>
        </w:rPr>
        <w:t>Investiția sprijină, în special, (i) construirea, extinderea sau modernizarea instalațiilor industriale și de producție, a echipamentelor industriale și a instalațiilor de energie electrică existente, cu scopul de a îmbunătăți eficiența energetică a acestora; (ii) construirea și instalarea de surse regenerabile proprii de energie în întreprinderi, inclusiv turbine eoliene, colectoare solare, panouri fotovoltaice, sisteme geotermale, pompe de căldură; (iii) construirea de instalații de stocare a energiei în întreprinderi în legătură cu producția de energie din surse regenerabile; (iv) construirea/modernizarea surselor proprii (interne) de energie cu emisii scăzute de dioxid de carbon, inclusiv cogenerarea; (v) creșterea ponderii combustibililor cu emisii scăzute sau cu emisii zero în procesele de fabricație, respectând cele mai înalte standarde de emisii; (vi) înlocuirea surselor de căldură cu consum redus de energie care utilizează combustibili (soli</w:t>
      </w:r>
      <w:r w:rsidR="005631E2">
        <w:rPr>
          <w:noProof/>
          <w:color w:val="000000" w:themeColor="text1"/>
        </w:rPr>
        <w:t>z</w:t>
      </w:r>
      <w:r>
        <w:rPr>
          <w:noProof/>
          <w:color w:val="000000" w:themeColor="text1"/>
        </w:rPr>
        <w:t>i, lichizi, gazoși) sau energie electrică cu surse mai eficiente din punct de vedere energetic; (vii) termo</w:t>
      </w:r>
      <w:r w:rsidR="005631E2">
        <w:rPr>
          <w:noProof/>
          <w:color w:val="000000" w:themeColor="text1"/>
        </w:rPr>
        <w:t>-</w:t>
      </w:r>
      <w:r>
        <w:rPr>
          <w:noProof/>
          <w:color w:val="000000" w:themeColor="text1"/>
        </w:rPr>
        <w:t>modernizarea clădirilor și a instalațiilor utilizate în procesele industriale. Proiectele sunt selectate pe baza unui</w:t>
      </w:r>
      <w:r>
        <w:rPr>
          <w:noProof/>
        </w:rPr>
        <w:t xml:space="preserve"> concurs general, ținând seama de următoarele criterii: (i) gradul de pregătire – maturitatea proiectului pentru implementare; (ii) coerența cu planurile existente privind neutralitatea climatică; (iii) gradul de reducere a emisiilor de CO2, PM 2,5 și PM10; (iv) gradul de reducere a consumului de energie primară. </w:t>
      </w:r>
    </w:p>
    <w:p w14:paraId="1216B910" w14:textId="4BFDBB40" w:rsidR="00A60DDE" w:rsidRDefault="00095506">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r>
        <w:rPr>
          <w:rFonts w:ascii="Times New Roman" w:hAnsi="Times New Roman"/>
          <w:noProof/>
          <w:sz w:val="24"/>
        </w:rPr>
        <w:t>Pentru a se asigura că măsura respectă Orientările tehnice de „a nu prejudicia în mod semnificativ” (2021/C 58/01), criteriile de eligibilitate cuprinse în termenii de referință pentru viitoarele cereri de proiecte exclud următoarea listă de activități: (i) activitățile legate de combustibilii fosili, inclusiv utilizarea în aval;</w:t>
      </w:r>
      <w:r>
        <w:rPr>
          <w:rStyle w:val="FootnoteReference"/>
          <w:rFonts w:ascii="Times New Roman" w:hAnsi="Times New Roman"/>
          <w:noProof/>
          <w:sz w:val="24"/>
        </w:rPr>
        <w:footnoteReference w:id="28"/>
      </w:r>
      <w:r>
        <w:rPr>
          <w:rFonts w:ascii="Times New Roman" w:hAnsi="Times New Roman"/>
          <w:noProof/>
          <w:sz w:val="24"/>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sz w:val="24"/>
        </w:rPr>
        <w:footnoteReference w:id="29"/>
      </w:r>
      <w:r>
        <w:rPr>
          <w:rFonts w:ascii="Times New Roman" w:hAnsi="Times New Roman"/>
          <w:noProof/>
          <w:sz w:val="24"/>
        </w:rPr>
        <w:t xml:space="preserve"> (iii) activități legate de depozitele de deșeuri, incineratoare</w:t>
      </w:r>
      <w:r>
        <w:rPr>
          <w:rStyle w:val="FootnoteReference"/>
          <w:rFonts w:ascii="Times New Roman" w:hAnsi="Times New Roman"/>
          <w:noProof/>
          <w:sz w:val="24"/>
        </w:rPr>
        <w:footnoteReference w:id="30"/>
      </w:r>
      <w:r>
        <w:rPr>
          <w:rFonts w:ascii="Times New Roman" w:hAnsi="Times New Roman"/>
          <w:noProof/>
          <w:sz w:val="24"/>
        </w:rPr>
        <w:t xml:space="preserve"> și stații de tratare mecano-biologică;</w:t>
      </w:r>
      <w:r>
        <w:rPr>
          <w:rStyle w:val="FootnoteReference"/>
          <w:rFonts w:ascii="Times New Roman" w:hAnsi="Times New Roman"/>
          <w:noProof/>
          <w:sz w:val="24"/>
        </w:rPr>
        <w:footnoteReference w:id="31"/>
      </w:r>
      <w:r>
        <w:rPr>
          <w:rFonts w:ascii="Times New Roman" w:hAnsi="Times New Roman"/>
          <w:noProof/>
          <w:sz w:val="24"/>
        </w:rPr>
        <w:t xml:space="preserve"> și (iv) activități în care eliminarea pe termen lung a deșeurilor poate dăuna mediului. Mandatul impune, de asemenea, selectarea numai a activităților care respectă legislația UE și națională relevantă în domeniul mediului.</w:t>
      </w:r>
      <w:r>
        <w:rPr>
          <w:noProof/>
        </w:rPr>
        <w:t xml:space="preserve"> </w:t>
      </w:r>
      <w:r>
        <w:rPr>
          <w:rFonts w:ascii="Times New Roman" w:hAnsi="Times New Roman"/>
          <w:noProof/>
          <w:color w:val="000000" w:themeColor="text1"/>
          <w:sz w:val="24"/>
        </w:rPr>
        <w:t>Punerea în aplicare a investiției se finalizează până la 31 decembrie 2023.</w:t>
      </w:r>
    </w:p>
    <w:p w14:paraId="1216B911" w14:textId="77777777" w:rsidR="00A60DDE" w:rsidRDefault="00A60DDE">
      <w:pPr>
        <w:pStyle w:val="Normal0"/>
        <w:pBdr>
          <w:top w:val="nil"/>
          <w:left w:val="nil"/>
          <w:bottom w:val="nil"/>
          <w:right w:val="nil"/>
          <w:between w:val="nil"/>
        </w:pBdr>
        <w:spacing w:before="60" w:after="120" w:line="240" w:lineRule="auto"/>
        <w:jc w:val="both"/>
        <w:rPr>
          <w:noProof/>
        </w:rPr>
      </w:pPr>
    </w:p>
    <w:p w14:paraId="1216B912" w14:textId="77777777" w:rsidR="00A60DDE" w:rsidRDefault="00095506">
      <w:pPr>
        <w:pStyle w:val="P68B1DB1-Normal048"/>
        <w:pBdr>
          <w:top w:val="nil"/>
          <w:left w:val="nil"/>
          <w:bottom w:val="nil"/>
          <w:right w:val="nil"/>
          <w:between w:val="nil"/>
        </w:pBdr>
        <w:spacing w:before="60" w:after="120" w:line="240" w:lineRule="auto"/>
        <w:jc w:val="both"/>
        <w:rPr>
          <w:noProof/>
        </w:rPr>
      </w:pPr>
      <w:r>
        <w:rPr>
          <w:noProof/>
        </w:rPr>
        <w:t>B2.3 Sprijin pentru investiții în parcuri eoliene offshore</w:t>
      </w:r>
    </w:p>
    <w:p w14:paraId="1216B913" w14:textId="77777777" w:rsidR="00A60DDE" w:rsidRDefault="00095506">
      <w:pPr>
        <w:pStyle w:val="P68B1DB1-Normal037"/>
        <w:pBdr>
          <w:top w:val="nil"/>
          <w:left w:val="nil"/>
          <w:bottom w:val="nil"/>
          <w:right w:val="nil"/>
          <w:between w:val="nil"/>
        </w:pBdr>
        <w:spacing w:before="60" w:after="120" w:line="240" w:lineRule="auto"/>
        <w:jc w:val="both"/>
        <w:rPr>
          <w:noProof/>
        </w:rPr>
      </w:pPr>
      <w:r>
        <w:rPr>
          <w:noProof/>
        </w:rPr>
        <w:t xml:space="preserve">Obiectivul reformei este de a sprijini energia eoliană offshore și de a reduce impactul constrângerilor de alocare asupra pieței energiei electrice. Această măsură constă în: (i) adoptarea de reglementări privind centralele electrice offshore, (ii) publicarea rezultatelor licitației contractului (contractelor) pentru diferență (CfD) pentru energia electrică din capacitatea eoliană offshore, (iii) modificări ale normelor pieței de echilibrare pentru a include achiziționarea explicită de capacități (rezerve) de echilibrare înainte de cuplarea unică a piețelor pentru ziua următoare (SDAC) și (iv) un studiu privind măsurile de limitare a constrângerilor de alocare în sistemul electroenergetic polonez. </w:t>
      </w:r>
    </w:p>
    <w:p w14:paraId="1216B914" w14:textId="77777777" w:rsidR="00A60DDE" w:rsidRDefault="00A60DDE">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rPr>
      </w:pPr>
    </w:p>
    <w:p w14:paraId="1216B915" w14:textId="77777777" w:rsidR="00A60DDE" w:rsidRDefault="00095506">
      <w:pPr>
        <w:pStyle w:val="P68B1DB1-Normal048"/>
        <w:pBdr>
          <w:top w:val="nil"/>
          <w:left w:val="nil"/>
          <w:bottom w:val="nil"/>
          <w:right w:val="nil"/>
          <w:between w:val="nil"/>
        </w:pBdr>
        <w:spacing w:before="60" w:after="120" w:line="240" w:lineRule="auto"/>
        <w:jc w:val="both"/>
        <w:rPr>
          <w:noProof/>
        </w:rPr>
      </w:pPr>
      <w:r>
        <w:rPr>
          <w:noProof/>
        </w:rPr>
        <w:t>B2.4 Cadrul juridic pentru dezvoltarea instalațiilor de stocare a energiei</w:t>
      </w:r>
    </w:p>
    <w:p w14:paraId="1216B916" w14:textId="77777777" w:rsidR="00A60DDE" w:rsidRDefault="00095506">
      <w:pPr>
        <w:pStyle w:val="P68B1DB1-Normal047"/>
        <w:pBdr>
          <w:top w:val="nil"/>
          <w:left w:val="nil"/>
          <w:bottom w:val="nil"/>
          <w:right w:val="nil"/>
          <w:between w:val="nil"/>
        </w:pBdr>
        <w:spacing w:before="60" w:after="120" w:line="240" w:lineRule="auto"/>
        <w:jc w:val="both"/>
        <w:rPr>
          <w:noProof/>
        </w:rPr>
      </w:pPr>
      <w:r>
        <w:rPr>
          <w:noProof/>
        </w:rPr>
        <w:t xml:space="preserve">Obiectivul reformei este de a elimina barierele juridice existente în calea dezvoltării tehnologiilor de stocare și de a crea un mediu juridic stabil pentru funcționarea activităților de stocare. </w:t>
      </w:r>
    </w:p>
    <w:p w14:paraId="1216B917" w14:textId="77777777" w:rsidR="00A60DDE" w:rsidRDefault="00095506">
      <w:pPr>
        <w:pStyle w:val="P68B1DB1-Normal047"/>
        <w:pBdr>
          <w:top w:val="nil"/>
          <w:left w:val="nil"/>
          <w:bottom w:val="nil"/>
          <w:right w:val="nil"/>
          <w:between w:val="nil"/>
        </w:pBdr>
        <w:spacing w:before="60" w:after="120" w:line="240" w:lineRule="auto"/>
        <w:jc w:val="both"/>
        <w:rPr>
          <w:noProof/>
        </w:rPr>
      </w:pPr>
      <w:r>
        <w:rPr>
          <w:noProof/>
        </w:rPr>
        <w:t>Reforma scutește, printre altele, stocarea energiei electrice de obligația tarifară și elimină dubla impunere a taxelor de rețea. Aceasta condiționează obligația de a obține o concesiune/înscriere în registru de capacitatea totală instalată de stocare a energiei electrice, indiferent de capacitatea acesteia. Cadrul tarifar propus pentru depozitare trebuie să fie nediscriminatoriu și să reflecte costurile.</w:t>
      </w:r>
    </w:p>
    <w:p w14:paraId="1216B918" w14:textId="77777777" w:rsidR="00A60DDE" w:rsidRDefault="00095506">
      <w:pPr>
        <w:pStyle w:val="P68B1DB1-Normal047"/>
        <w:pBdr>
          <w:top w:val="nil"/>
          <w:left w:val="nil"/>
          <w:bottom w:val="nil"/>
          <w:right w:val="nil"/>
          <w:between w:val="nil"/>
        </w:pBdr>
        <w:spacing w:before="60" w:after="120" w:line="240" w:lineRule="auto"/>
        <w:jc w:val="both"/>
        <w:rPr>
          <w:noProof/>
        </w:rPr>
      </w:pPr>
      <w:r>
        <w:rPr>
          <w:noProof/>
        </w:rPr>
        <w:t>Punerea în aplicare a reformei urma să fie finalizată până la 30 iunie 2021.</w:t>
      </w:r>
    </w:p>
    <w:p w14:paraId="1216B919" w14:textId="77777777" w:rsidR="00A60DDE" w:rsidRDefault="00A60DDE">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p>
    <w:p w14:paraId="1216B91A" w14:textId="77777777" w:rsidR="00A60DDE" w:rsidRDefault="00095506">
      <w:pPr>
        <w:pStyle w:val="P68B1DB1-Normal048"/>
        <w:pBdr>
          <w:top w:val="nil"/>
          <w:left w:val="nil"/>
          <w:bottom w:val="nil"/>
          <w:right w:val="nil"/>
          <w:between w:val="nil"/>
        </w:pBdr>
        <w:spacing w:before="60" w:after="120" w:line="240" w:lineRule="auto"/>
        <w:jc w:val="both"/>
        <w:rPr>
          <w:noProof/>
          <w:color w:val="000000" w:themeColor="text1"/>
        </w:rPr>
      </w:pPr>
      <w:r>
        <w:rPr>
          <w:noProof/>
        </w:rPr>
        <w:t>B3.2 Sprijin pentru refacerea mediului și protecția împotriva substanțelor periculoase</w:t>
      </w:r>
    </w:p>
    <w:p w14:paraId="1216B91B"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Obiectivul reformei este de a reduce impactul negativ asupra mediului al zonelor postindustriale de mari dimensiuni și al materialelor periculoase care persistă în zonele marine poloneze. Această măsură constă în modificări juridice menite să faciliteze o eliminare cuprinzătoare a impactului negativ asupra mediului al anumitor zone postindustriale de mari dimensiuni, precum și modificări juridice în domeniul manipulării materialelor periculoase.</w:t>
      </w:r>
    </w:p>
    <w:p w14:paraId="1216B91C"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1D"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B3.2.1 Investiții în neutralizarea riscurilor și refacerea siturilor terestre și offshore</w:t>
      </w:r>
    </w:p>
    <w:p w14:paraId="1216B91E" w14:textId="77777777" w:rsidR="00A60DDE" w:rsidRDefault="00095506">
      <w:pPr>
        <w:pStyle w:val="P68B1DB1-Normal047"/>
        <w:pBdr>
          <w:top w:val="nil"/>
          <w:left w:val="nil"/>
          <w:bottom w:val="nil"/>
          <w:right w:val="nil"/>
          <w:between w:val="nil"/>
        </w:pBdr>
        <w:spacing w:before="120" w:after="120" w:line="240" w:lineRule="auto"/>
        <w:jc w:val="both"/>
        <w:rPr>
          <w:noProof/>
        </w:rPr>
      </w:pPr>
      <w:r>
        <w:rPr>
          <w:noProof/>
        </w:rPr>
        <w:t>Obiectivul investiției este de a elimina amenințarea la adresa sănătății umane și a vieții pe care o reprezintă prezența poluanților sau a substanțelor periculoase în siturile terestre și offshore. Această măsură constă în publicarea documentației pentru investițiile legate de siturile terestre și offshore predefinite din Republica Polonă care sunt expuse la prezența poluanților sau a substanțelor periculoase.</w:t>
      </w:r>
    </w:p>
    <w:p w14:paraId="1216B920" w14:textId="77777777" w:rsidR="00A60DDE" w:rsidRDefault="00095506">
      <w:pPr>
        <w:pStyle w:val="P68B1DB1-Normal048"/>
        <w:pBdr>
          <w:top w:val="nil"/>
          <w:left w:val="nil"/>
          <w:bottom w:val="nil"/>
          <w:right w:val="nil"/>
          <w:between w:val="nil"/>
        </w:pBdr>
        <w:spacing w:before="120" w:after="120" w:line="240" w:lineRule="auto"/>
        <w:jc w:val="both"/>
        <w:rPr>
          <w:noProof/>
        </w:rPr>
      </w:pPr>
      <w:r>
        <w:rPr>
          <w:noProof/>
        </w:rPr>
        <w:t>B3.3 Sprijin pentru gestionarea durabilă a resurselor de apă în agricultură și în zonele rurale</w:t>
      </w:r>
    </w:p>
    <w:p w14:paraId="1216B921"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îmbunătăți condițiile pentru investiții în zonele rurale în gestionarea apei și utilizarea eficientă a resurselor. Reforma contribuie la creșterea rezilienței agriculturii la secetă și la prevenirea inundațiilor în zonele agricole; îmbunătățirea eficienței utilizării apei prin reglementarea corespunzătoare a relațiilor cu apa în zonele agricole și reducerea scurgerilor de apă; și creșterea retenției de apă.</w:t>
      </w:r>
    </w:p>
    <w:p w14:paraId="1216B922" w14:textId="77777777" w:rsidR="00A60DDE" w:rsidRDefault="00095506">
      <w:pPr>
        <w:pStyle w:val="P68B1DB1-Normal049"/>
        <w:pBdr>
          <w:top w:val="nil"/>
          <w:left w:val="nil"/>
          <w:bottom w:val="nil"/>
          <w:right w:val="nil"/>
          <w:between w:val="nil"/>
        </w:pBdr>
        <w:spacing w:before="120" w:after="120" w:line="240" w:lineRule="auto"/>
        <w:jc w:val="both"/>
        <w:rPr>
          <w:noProof/>
          <w:color w:val="000000" w:themeColor="text1"/>
        </w:rPr>
      </w:pPr>
      <w:r>
        <w:rPr>
          <w:noProof/>
          <w:color w:val="000000" w:themeColor="text1"/>
        </w:rPr>
        <w:t>Reforma constă în modificări ale legislației naționale necesare pentru a îmbunătăți condițiile pentru o gestionare rezilientă a apei în zonele agricole și</w:t>
      </w:r>
      <w:r>
        <w:rPr>
          <w:noProof/>
        </w:rPr>
        <w:t xml:space="preserve"> rurale. Modificările facilitează pregătirea și punerea în aplicare a investițiilor privind retenția apei și oprirea drenării acesteia de pe terenurile agricole, inclusiv, în special, a investițiilor legate de reconstrucția și reconstruirea dispozitivelor de drenare, astfel încât acestea să îndeplinească funcția de retenție și, astfel, să protejeze terenurile agricole împotriva secetei și să limiteze riscul de inundații. </w:t>
      </w:r>
    </w:p>
    <w:p w14:paraId="1216B923" w14:textId="77777777" w:rsidR="00A60DDE" w:rsidRDefault="00095506">
      <w:pPr>
        <w:pStyle w:val="P68B1DB1-Normal049"/>
        <w:pBdr>
          <w:top w:val="nil"/>
          <w:left w:val="nil"/>
          <w:bottom w:val="nil"/>
          <w:right w:val="nil"/>
          <w:between w:val="nil"/>
        </w:pBdr>
        <w:spacing w:before="120" w:after="120" w:line="240" w:lineRule="auto"/>
        <w:jc w:val="both"/>
        <w:rPr>
          <w:noProof/>
          <w:color w:val="000000" w:themeColor="text1"/>
        </w:rPr>
      </w:pPr>
      <w:r>
        <w:rPr>
          <w:noProof/>
        </w:rPr>
        <w:t>Reforma respectă cerințele prevăzute în Orientările tehnice de „a nu prejudicia în mod semnificativ” (2021/C 58/01), în special, asigură respectarea legislației UE în domeniul mediului, inclusiv a Directivei EIM (2011/92/UE) și a Directivei-cadru privind apa (2000/60/CE).</w:t>
      </w:r>
    </w:p>
    <w:p w14:paraId="1216B924" w14:textId="77777777" w:rsidR="00A60DDE" w:rsidRDefault="00095506">
      <w:pPr>
        <w:pStyle w:val="P68B1DB1-Normal049"/>
        <w:pBdr>
          <w:top w:val="nil"/>
          <w:left w:val="nil"/>
          <w:bottom w:val="nil"/>
          <w:right w:val="nil"/>
          <w:between w:val="nil"/>
        </w:pBdr>
        <w:spacing w:before="120" w:after="120" w:line="240" w:lineRule="auto"/>
        <w:jc w:val="both"/>
        <w:rPr>
          <w:noProof/>
          <w:color w:val="000000"/>
        </w:rPr>
      </w:pPr>
      <w:r>
        <w:rPr>
          <w:noProof/>
        </w:rPr>
        <w:t>Modificările nu conduc la nicio deteriorare</w:t>
      </w:r>
      <w:r>
        <w:rPr>
          <w:noProof/>
          <w:color w:val="000000" w:themeColor="text1"/>
        </w:rPr>
        <w:t xml:space="preserve"> a nivelului de conformitate cu legislația UE în domeniul mediului, în special în ceea ce privește investițiile care sunt considerate investiții semnificative sau potențial semnificative în temeiul regulamentului Consiliului de Miniștri privind proiectele care ar putea avea un impact semnificativ asupra mediului și investițiile în zonele Natura 2000 sau care afectează aceste zone. În plus, modificările nu modifică normele obligatorii în prezent privind aportul de apă.</w:t>
      </w:r>
    </w:p>
    <w:p w14:paraId="1216B925" w14:textId="77777777" w:rsidR="00A60DDE" w:rsidRDefault="00095506">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Punerea în aplicare a reformei se finalizează până la 30 iunie 2022.</w:t>
      </w:r>
    </w:p>
    <w:p w14:paraId="1216B926"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27" w14:textId="77777777" w:rsidR="00A60DDE" w:rsidRDefault="00095506">
      <w:pPr>
        <w:pStyle w:val="P68B1DB1-Normal048"/>
        <w:pBdr>
          <w:top w:val="nil"/>
          <w:left w:val="nil"/>
          <w:bottom w:val="nil"/>
          <w:right w:val="nil"/>
          <w:between w:val="nil"/>
        </w:pBdr>
        <w:spacing w:before="120" w:after="120" w:line="240" w:lineRule="auto"/>
        <w:jc w:val="both"/>
        <w:rPr>
          <w:noProof/>
        </w:rPr>
      </w:pPr>
      <w:r>
        <w:rPr>
          <w:noProof/>
        </w:rPr>
        <w:t>B3.3.1 Investiții în creșterea potențialului gestionării durabile a apei în zonele rurale</w:t>
      </w:r>
    </w:p>
    <w:p w14:paraId="1216B928" w14:textId="77777777" w:rsidR="00A60DDE" w:rsidRDefault="00095506">
      <w:pPr>
        <w:pStyle w:val="P68B1DB1-Normal050"/>
        <w:pBdr>
          <w:top w:val="nil"/>
          <w:left w:val="nil"/>
          <w:bottom w:val="nil"/>
          <w:right w:val="nil"/>
          <w:between w:val="nil"/>
        </w:pBdr>
        <w:spacing w:before="120" w:after="120" w:line="240" w:lineRule="auto"/>
        <w:jc w:val="both"/>
        <w:rPr>
          <w:noProof/>
        </w:rPr>
      </w:pPr>
      <w:r>
        <w:rPr>
          <w:noProof/>
        </w:rPr>
        <w:t>Obiectivul investiției este de a sprijini investițiile în zonele rurale în îmbunătățirea gestionării apei și a utilizării eficiente a resurselor.</w:t>
      </w:r>
    </w:p>
    <w:p w14:paraId="1216B929" w14:textId="107A260F" w:rsidR="00A60DDE" w:rsidRDefault="00095506">
      <w:pPr>
        <w:pStyle w:val="P68B1DB1-Normal050"/>
        <w:pBdr>
          <w:top w:val="nil"/>
          <w:left w:val="nil"/>
          <w:bottom w:val="nil"/>
          <w:right w:val="nil"/>
          <w:between w:val="nil"/>
        </w:pBdr>
        <w:spacing w:before="120" w:after="120" w:line="240" w:lineRule="auto"/>
        <w:jc w:val="both"/>
        <w:rPr>
          <w:noProof/>
        </w:rPr>
      </w:pPr>
      <w:r>
        <w:rPr>
          <w:noProof/>
        </w:rPr>
        <w:t>Investițiile contribuie la creșterea rezilienței agriculturii la secetă și la prevenirea inundațiilor în zonele agricole; îmbunătățirea eficienței utilizării apei prin reglementarea corespunzătoare a relațiilor cu apa în zonele agricole și reducerea scurgerilor de apă; și creșterea retenției de apă, cu condiția ca nevoia și natura acestora să fie justificate în mod corespunzător. Se acordă prioritate soluțiilor rezistente la schimbările climatice și bazate pe natură. Proiectele din cadrul acestei măsuri fac obiectul evaluării impactului asupra mediului (EIM) și respectă cerințele prevăzute în Orientările tehnice privind principiul de „a nu aduce prejudicii semnificative” [C(2023) 6454 final]. Se asigură conformitatea cu legislația UE în domeniul mediului, inclusiv cu Directiva EIM (2011/92/UE) și cu Directiva-cadru privind apa (2000/60/CE). Toate proiectele de investiții finanțate în cadrul acestei componente care necesită o decizie EIM sunt conforme cu Directiva 2011/92/UE, astfel cum a fost modificată prin Directiva 2014/52/UE. Mai precis, toate proiectele noi care necesită o evaluare a impactului asupra mediului sunt autorizate în temeiul Legii privind furnizarea de informații privind mediul și protecția acestuia, participarea publicului la protecția mediului și evaluarea impactului asupra mediului, astfel cum a fost modificată prin Legea din 30 martie 2021 de modificare a legii respective și a altor acte. Dispozițiile „Orientărilor privind acțiunile de remediere pentru proiectele cofinanțate din fondurile UE afectate de încălcare 2016/2046”, astfel cum au fost comunicate Poloniei la 23 februarie 2021 [ref. Ares(2021)1423319], se iau în considerare pentru punerea în aplicare a tuturor proiectelor de investiții pentru care a fost solicitată sau emisă o decizie de mediu sau o autorizație de construcție sau de dezvoltare înainte de intrarea în vigoare a Legii din 30 martie 2021. Se sprijină numai proiectele care nu conduc la o deteriorare a stării apelor de suprafață și a apelor subterane și care nu împiedică îmbunătățirea stării ecologice sau a potențialului ecologic al corpurilor de apă afectate.</w:t>
      </w:r>
    </w:p>
    <w:p w14:paraId="1216B92A" w14:textId="77777777" w:rsidR="00A60DDE" w:rsidRDefault="00095506">
      <w:pPr>
        <w:pStyle w:val="P68B1DB1-Normal050"/>
        <w:pBdr>
          <w:top w:val="nil"/>
          <w:left w:val="nil"/>
          <w:bottom w:val="nil"/>
          <w:right w:val="nil"/>
          <w:between w:val="nil"/>
        </w:pBdr>
        <w:spacing w:before="120" w:after="120" w:line="240" w:lineRule="auto"/>
        <w:jc w:val="both"/>
        <w:rPr>
          <w:noProof/>
        </w:rPr>
      </w:pPr>
      <w:r>
        <w:rPr>
          <w:noProof/>
        </w:rPr>
        <w:t xml:space="preserve">Orice investiție care are efecte negative asupra naturii este exclusă de la sprijin. În cazul în care apa este captată, autoritatea relevantă trebuie să acorde o autorizație relevantă, care să asigure faptul că corpurile de apă afectate se află într-o stare ecologică bună și să specifice condițiile pentru a evita deteriorarea acesteia, în conformitate cu cerințele Directivei 2000/60/CE și ale Orientărilor tehnice privind principiul de „a nu aduce prejudicii semnificative” și evidențiate de cele mai recente date justificative relevante. Se evită captarea apei în cazul în care corpurile de apă în cauză (ape de suprafață sau subterane) sunt sau se preconizează (în contextul intensificării schimbărilor climatice) că se află într-o stare sau un potențial mai puțin bun. Măsurile respectă, de asemenea, dispozițiile Directivei 2009/147/CE privind conservarea păsărilor sălbatice (Directiva privind păsările) și ale Directivei 92/43/CEE privind conservarea habitatelor naturale și a speciilor de faună și floră sălbatică (Directiva privind habitatele). </w:t>
      </w:r>
    </w:p>
    <w:p w14:paraId="1216B92B" w14:textId="77777777" w:rsidR="00A60DDE" w:rsidRDefault="00095506">
      <w:pPr>
        <w:pStyle w:val="P68B1DB1-Normal050"/>
        <w:pBdr>
          <w:top w:val="nil"/>
          <w:left w:val="nil"/>
          <w:bottom w:val="nil"/>
          <w:right w:val="nil"/>
          <w:between w:val="nil"/>
        </w:pBdr>
        <w:spacing w:before="120" w:after="120" w:line="240" w:lineRule="auto"/>
        <w:jc w:val="both"/>
        <w:rPr>
          <w:noProof/>
        </w:rPr>
      </w:pPr>
      <w:r>
        <w:rPr>
          <w:noProof/>
        </w:rPr>
        <w:t>Punerea în aplicare a investiției se finalizează până la 31 decembrie 2025.</w:t>
      </w:r>
    </w:p>
    <w:p w14:paraId="4F4C1A54"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B92C" w14:textId="77777777" w:rsidR="00A60DDE" w:rsidRDefault="00095506">
      <w:pPr>
        <w:pStyle w:val="P68B1DB1-Normal048"/>
        <w:pBdr>
          <w:top w:val="nil"/>
          <w:left w:val="nil"/>
          <w:bottom w:val="nil"/>
          <w:right w:val="nil"/>
          <w:between w:val="nil"/>
        </w:pBdr>
        <w:spacing w:before="120" w:after="120" w:line="240" w:lineRule="auto"/>
        <w:rPr>
          <w:rFonts w:eastAsia="Times New Roman" w:cs="Times New Roman"/>
          <w:noProof/>
          <w:color w:val="006100"/>
        </w:rPr>
      </w:pPr>
      <w:r>
        <w:rPr>
          <w:noProof/>
        </w:rPr>
        <w:t>B3.4 Cadrul favorabil pentru investițiile în tranziția verde în zonele urbane</w:t>
      </w:r>
    </w:p>
    <w:p w14:paraId="1216B92D"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sprijini capacitatea orașelor de a acorda prioritate, de a planifica, de a executa și de a finanța proiecte de investiții care vizează atenuarea schimbărilor climatice și adaptarea la acestea, în conformitate cu Pactul verde european. Reforma și investițiile asociate vizează în special creșterea ponderii zonelor verzi în orașe.</w:t>
      </w:r>
    </w:p>
    <w:p w14:paraId="1216B92E" w14:textId="77777777" w:rsidR="00A60DDE" w:rsidRDefault="00095506">
      <w:pPr>
        <w:pStyle w:val="P68B1DB1-Normal049"/>
        <w:pBdr>
          <w:top w:val="nil"/>
          <w:left w:val="nil"/>
          <w:bottom w:val="nil"/>
          <w:right w:val="nil"/>
          <w:between w:val="nil"/>
        </w:pBdr>
        <w:spacing w:before="120" w:after="120" w:line="240" w:lineRule="auto"/>
        <w:jc w:val="both"/>
        <w:rPr>
          <w:noProof/>
          <w:color w:val="000000"/>
        </w:rPr>
      </w:pPr>
      <w:r>
        <w:rPr>
          <w:noProof/>
        </w:rPr>
        <w:t>Un set</w:t>
      </w:r>
      <w:r>
        <w:rPr>
          <w:noProof/>
          <w:color w:val="000000" w:themeColor="text1"/>
        </w:rPr>
        <w:t xml:space="preserve"> de modificări legislative asigură integrarea aspectelor legate de durabilitate în procedurile de planificare urbană și consultarea părților interesate în cadrul acestor proceduri. În plus, se asigură faptul că autoritățile locale primesc sprijin adecvat în materie de capacitate pentru a acorda prioritate, a planifica și a executa proiecte de atenuare a schimbărilor climatice și de adaptare la acestea. Aceste elemente de reglementare și de consolidare a capacităților sunt completate de instituirea unui instrument specific menit să ofere finanțare pentru investițiile în tranziția verde în zonele urbane.</w:t>
      </w:r>
    </w:p>
    <w:p w14:paraId="1216B92F" w14:textId="77777777" w:rsidR="00A60DDE" w:rsidRDefault="00095506">
      <w:pPr>
        <w:pStyle w:val="Normal0"/>
        <w:spacing w:before="120"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Pentru a se asigura că măsura respectă Orientările tehnice de „a nu prejudicia în mod semnificativ” (2021/C58/01), criteriile de eligibilitate pentru proiecte exclud următoarea listă de activități: (i) activitățile legate de combustibilii fosili, inclusiv utilizarea în aval;</w:t>
      </w:r>
      <w:r>
        <w:rPr>
          <w:rStyle w:val="FootnoteReference"/>
          <w:rFonts w:ascii="Times New Roman" w:hAnsi="Times New Roman"/>
          <w:noProof/>
          <w:color w:val="000000" w:themeColor="text1"/>
          <w:sz w:val="24"/>
        </w:rPr>
        <w:footnoteReference w:id="32"/>
      </w:r>
      <w:r>
        <w:rPr>
          <w:rFonts w:ascii="Times New Roman" w:hAnsi="Times New Roman"/>
          <w:noProof/>
          <w:color w:val="000000" w:themeColor="text1"/>
          <w:sz w:val="24"/>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color w:val="000000" w:themeColor="text1"/>
          <w:sz w:val="24"/>
        </w:rPr>
        <w:footnoteReference w:id="33"/>
      </w:r>
      <w:r>
        <w:rPr>
          <w:rFonts w:ascii="Times New Roman" w:hAnsi="Times New Roman"/>
          <w:noProof/>
          <w:color w:val="000000" w:themeColor="text1"/>
          <w:sz w:val="24"/>
        </w:rPr>
        <w:t xml:space="preserve"> (iii) activități legate de depozitele de deșeuri, incineratoare</w:t>
      </w:r>
      <w:r>
        <w:rPr>
          <w:rStyle w:val="FootnoteReference"/>
          <w:rFonts w:ascii="Times New Roman" w:hAnsi="Times New Roman"/>
          <w:noProof/>
          <w:color w:val="000000" w:themeColor="text1"/>
          <w:sz w:val="24"/>
        </w:rPr>
        <w:footnoteReference w:id="34"/>
      </w:r>
      <w:r>
        <w:rPr>
          <w:rFonts w:ascii="Times New Roman" w:hAnsi="Times New Roman"/>
          <w:noProof/>
          <w:color w:val="000000" w:themeColor="text1"/>
          <w:sz w:val="24"/>
        </w:rPr>
        <w:t xml:space="preserve"> și stații de tratare mecano-biologică;</w:t>
      </w:r>
      <w:r>
        <w:rPr>
          <w:rStyle w:val="FootnoteReference"/>
          <w:rFonts w:ascii="Times New Roman" w:hAnsi="Times New Roman"/>
          <w:noProof/>
          <w:color w:val="000000" w:themeColor="text1"/>
          <w:sz w:val="24"/>
        </w:rPr>
        <w:footnoteReference w:id="35"/>
      </w:r>
      <w:r>
        <w:rPr>
          <w:rFonts w:ascii="Times New Roman" w:hAnsi="Times New Roman"/>
          <w:noProof/>
          <w:color w:val="000000" w:themeColor="text1"/>
          <w:sz w:val="24"/>
        </w:rPr>
        <w:t xml:space="preserve"> și (iv) activități în care eliminarea pe termen lung a deșeurilor poate dăuna mediului. Mandatul prevede, de asemenea, că pot fi selectate numai activitățile care respectă legislația UE și națională relevantă în domeniul mediului.</w:t>
      </w:r>
    </w:p>
    <w:p w14:paraId="1216B931" w14:textId="359AF1A4" w:rsidR="00A60DDE" w:rsidRDefault="00095506">
      <w:pPr>
        <w:pStyle w:val="P68B1DB1-Normal047"/>
        <w:pBdr>
          <w:top w:val="nil"/>
          <w:left w:val="nil"/>
          <w:bottom w:val="nil"/>
          <w:right w:val="nil"/>
          <w:between w:val="nil"/>
        </w:pBdr>
        <w:spacing w:before="120" w:after="120" w:line="240" w:lineRule="auto"/>
        <w:rPr>
          <w:rFonts w:eastAsia="Times New Roman" w:cs="Times New Roman"/>
          <w:noProof/>
          <w:color w:val="000000"/>
        </w:rPr>
      </w:pPr>
      <w:r>
        <w:rPr>
          <w:noProof/>
        </w:rPr>
        <w:t>Fondul pentru o tranziție urbană verde se instituie până la 30 iunie 2022.</w:t>
      </w:r>
    </w:p>
    <w:p w14:paraId="1216B932" w14:textId="77777777" w:rsidR="00A60DDE" w:rsidRDefault="00095506">
      <w:pPr>
        <w:pStyle w:val="P68B1DB1-Normal036"/>
        <w:pBdr>
          <w:top w:val="nil"/>
          <w:left w:val="nil"/>
          <w:bottom w:val="nil"/>
          <w:right w:val="nil"/>
          <w:between w:val="nil"/>
        </w:pBdr>
        <w:spacing w:before="120" w:after="120" w:line="240" w:lineRule="auto"/>
        <w:rPr>
          <w:rFonts w:eastAsia="Times New Roman" w:cs="Times New Roman"/>
          <w:bCs/>
          <w:noProof/>
          <w:color w:val="000000"/>
        </w:rPr>
      </w:pPr>
      <w:r>
        <w:rPr>
          <w:noProof/>
        </w:rPr>
        <w:t>B3.4.1 Investiții într-o transformare ecologică a orașelor</w:t>
      </w:r>
    </w:p>
    <w:p w14:paraId="1216B933" w14:textId="77777777"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investiției este de a sprijini tranziția verde în zonele urbane. Această măsură constă în sprijinirea proiectelor din orașe în cadrul Instrumentului de transformare urbană verde.</w:t>
      </w:r>
    </w:p>
    <w:p w14:paraId="1216B934"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935"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B3.5 Reforma construcției de locuințe pentru persoanele cu venituri mici și medii, ținând seama de creșterea eficienței energetice a clădirilor</w:t>
      </w:r>
    </w:p>
    <w:p w14:paraId="1216B936" w14:textId="77777777" w:rsidR="00A60DDE" w:rsidRDefault="00095506">
      <w:pPr>
        <w:pStyle w:val="P68B1DB1-Normal047"/>
        <w:pBdr>
          <w:top w:val="nil"/>
          <w:left w:val="nil"/>
          <w:bottom w:val="nil"/>
          <w:right w:val="nil"/>
          <w:between w:val="nil"/>
        </w:pBdr>
        <w:spacing w:before="120" w:after="120" w:line="240" w:lineRule="auto"/>
        <w:jc w:val="both"/>
        <w:rPr>
          <w:noProof/>
        </w:rPr>
      </w:pPr>
      <w:r>
        <w:rPr>
          <w:noProof/>
        </w:rPr>
        <w:t>Obiectivul reformei este de a spori oferta de locuințe eficiente din punct de vedere energetic pentru gospodăriile cu venituri mici și medii.</w:t>
      </w:r>
    </w:p>
    <w:p w14:paraId="1216B937" w14:textId="77777777" w:rsidR="00A60DDE" w:rsidRDefault="00095506">
      <w:pPr>
        <w:pStyle w:val="P68B1DB1-Normal047"/>
        <w:pBdr>
          <w:top w:val="nil"/>
          <w:left w:val="nil"/>
          <w:bottom w:val="nil"/>
          <w:right w:val="nil"/>
          <w:between w:val="nil"/>
        </w:pBdr>
        <w:spacing w:before="120" w:after="120" w:line="240" w:lineRule="auto"/>
        <w:jc w:val="both"/>
        <w:rPr>
          <w:noProof/>
        </w:rPr>
      </w:pPr>
      <w:r>
        <w:rPr>
          <w:noProof/>
        </w:rPr>
        <w:t>Acest obiectiv se realizează prin creșterea ratei de cofinanțare publică pentru clădirile care îndeplinesc standardele de eficiență energetică cu 20 % mai ambițioase decât standardul minim de eficiență energetică în vigoare în Polonia (standardul privind clădirile al căror consum de energie este aproape egal cu zero, NZEB).</w:t>
      </w:r>
    </w:p>
    <w:p w14:paraId="1216B938" w14:textId="77777777" w:rsidR="00A60DDE" w:rsidRDefault="00095506">
      <w:pPr>
        <w:pStyle w:val="P68B1DB1-Normal047"/>
        <w:pBdr>
          <w:top w:val="nil"/>
          <w:left w:val="nil"/>
          <w:bottom w:val="nil"/>
          <w:right w:val="nil"/>
          <w:between w:val="nil"/>
        </w:pBdr>
        <w:spacing w:before="120" w:after="120" w:line="240" w:lineRule="auto"/>
        <w:rPr>
          <w:noProof/>
        </w:rPr>
      </w:pPr>
      <w:r>
        <w:rPr>
          <w:noProof/>
        </w:rPr>
        <w:t>Reforma se finalizează până la 30 iunie 2022.</w:t>
      </w:r>
      <w:r>
        <w:rPr>
          <w:noProof/>
        </w:rPr>
        <w:br/>
      </w:r>
    </w:p>
    <w:p w14:paraId="1216B939" w14:textId="4011C998"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 xml:space="preserve">B3.5.1 Investiții în proiecte locative </w:t>
      </w:r>
    </w:p>
    <w:p w14:paraId="1216B93A"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Obiectivul investiției este creșterea ofertei de locuințe.</w:t>
      </w:r>
    </w:p>
    <w:p w14:paraId="1216B93B" w14:textId="56518D1F" w:rsidR="00A60DDE" w:rsidRDefault="00095506">
      <w:pPr>
        <w:pStyle w:val="P68B1DB1-Normal037"/>
        <w:pBdr>
          <w:top w:val="nil"/>
          <w:left w:val="nil"/>
          <w:bottom w:val="nil"/>
          <w:right w:val="nil"/>
          <w:between w:val="nil"/>
        </w:pBdr>
        <w:spacing w:before="120" w:after="120" w:line="240" w:lineRule="auto"/>
        <w:jc w:val="both"/>
        <w:rPr>
          <w:noProof/>
        </w:rPr>
      </w:pPr>
      <w:r>
        <w:rPr>
          <w:noProof/>
        </w:rPr>
        <w:t>Această măsură constă în construirea și renovarea clădirilor, pentru care cererea de propuneri precizează că sunt sprijinite următoarele tipuri de proiecte: locuințele care fac parte din fondul locativ al municipalității, locuințele protejate și apartamentele de închiriat create cu participarea unei municipalități sau a unei asociații intercomunale de către alți investitori decât municipalitatea.</w:t>
      </w:r>
    </w:p>
    <w:p w14:paraId="1216B93C" w14:textId="77777777" w:rsidR="00A60DDE" w:rsidRDefault="00095506">
      <w:pPr>
        <w:pStyle w:val="P68B1DB1-Normal27"/>
        <w:rPr>
          <w:rFonts w:eastAsia="Times New Roman" w:cs="Times New Roman"/>
          <w:bCs/>
          <w:noProof/>
          <w:color w:val="000000" w:themeColor="text1"/>
          <w:szCs w:val="24"/>
        </w:rPr>
      </w:pPr>
      <w:r>
        <w:rPr>
          <w:noProof/>
        </w:rPr>
        <w:t>B3.6 Îmbunătățirea condițiilor de dezvoltare a surselor regenerabile de energie</w:t>
      </w:r>
    </w:p>
    <w:p w14:paraId="1216B93D" w14:textId="77777777" w:rsidR="00A60DDE" w:rsidRDefault="00095506">
      <w:pPr>
        <w:pStyle w:val="P68B1DB1-Normal60"/>
        <w:spacing w:before="120" w:after="120" w:line="240" w:lineRule="auto"/>
        <w:jc w:val="both"/>
        <w:rPr>
          <w:rFonts w:eastAsia="Times New Roman" w:cs="Times New Roman"/>
          <w:noProof/>
          <w:szCs w:val="24"/>
        </w:rPr>
      </w:pPr>
      <w:r>
        <w:rPr>
          <w:noProof/>
        </w:rPr>
        <w:t>Obiectivul reformei este de a îmbunătăți mediul de reglementare pentru energia distribuită și pentru prosumatori, de a dezvolta lanțul de aprovizionare pentru energia eoliană offshore, de a pune în aplicare sisteme de gestionare a energiei, de a crește capacitatea instalată a surselor regenerabile de energie și de a crește ponderea energiei din surse regenerabile de energie.</w:t>
      </w:r>
    </w:p>
    <w:p w14:paraId="1216B93E" w14:textId="77777777" w:rsidR="00A60DDE" w:rsidRDefault="00095506">
      <w:pPr>
        <w:pStyle w:val="P68B1DB1-Normal38"/>
        <w:spacing w:before="120" w:after="120" w:line="240" w:lineRule="auto"/>
        <w:jc w:val="both"/>
        <w:rPr>
          <w:rFonts w:eastAsia="Times New Roman" w:cs="Times New Roman"/>
          <w:noProof/>
        </w:rPr>
      </w:pPr>
      <w:r>
        <w:rPr>
          <w:noProof/>
        </w:rPr>
        <w:t xml:space="preserve">Reforma constă în modificări ale Legii privind energia din surse regenerabile („Legea privind energia din surse regenerabile”), cum ar fi introducerea unor condiții mai bune pentru funcționarea clusterelor energetice, punerea în aplicare a unor modele colective de prosumatori de energie, punerea în aplicare a dispozițiilor privind noile comunități de energie din surse regenerabile, introducerea unor dispoziții care să specifice principiile de funcționare pentru unul dintre modelele de comunități de energie din surse regenerabile și adoptarea principiilor de funcționare a unei întreprinderi pentru sectorul biometanului. </w:t>
      </w:r>
    </w:p>
    <w:p w14:paraId="1216B93F" w14:textId="77777777" w:rsidR="00A60DDE" w:rsidRDefault="00095506">
      <w:pPr>
        <w:pStyle w:val="P68B1DB1-Normal60"/>
        <w:spacing w:before="120" w:after="120" w:line="240" w:lineRule="auto"/>
        <w:jc w:val="both"/>
        <w:rPr>
          <w:noProof/>
        </w:rPr>
      </w:pPr>
      <w:r>
        <w:rPr>
          <w:noProof/>
        </w:rPr>
        <w:t>Punerea în aplicare a acțiunii se finalizează până la 30 martie 2023.</w:t>
      </w:r>
    </w:p>
    <w:p w14:paraId="1216B940" w14:textId="77777777" w:rsidR="00A60DDE" w:rsidRDefault="00095506">
      <w:pPr>
        <w:pStyle w:val="P68B1DB1-Normal60"/>
        <w:spacing w:before="120" w:after="120" w:line="240" w:lineRule="auto"/>
        <w:jc w:val="both"/>
        <w:rPr>
          <w:noProof/>
        </w:rPr>
      </w:pPr>
      <w:r>
        <w:rPr>
          <w:noProof/>
        </w:rPr>
        <w:t>Reforma modifică, de asemenea, Legea privind investițiile în energia eoliană onshore pentru a facilita posibilitatea investițiilor în energia eoliană onshore în municipalitățile care doresc să amplaseze astfel de instalații, acordând autorităților municipale mai multă putere pentru a stabili amplasarea investițiilor individuale și pentru a permite amplasarea centralei mai aproape de clădirile rezidențiale decât distanța minimă actuală de 10 ori înălțimea instalației.</w:t>
      </w:r>
    </w:p>
    <w:p w14:paraId="1216B941" w14:textId="77777777" w:rsidR="00A60DDE" w:rsidRDefault="00095506">
      <w:pPr>
        <w:pStyle w:val="P68B1DB1-Normal60"/>
        <w:spacing w:before="120" w:after="120" w:line="240" w:lineRule="auto"/>
        <w:jc w:val="both"/>
        <w:rPr>
          <w:noProof/>
        </w:rPr>
      </w:pPr>
      <w:r>
        <w:rPr>
          <w:noProof/>
        </w:rPr>
        <w:t>Punerea în aplicare a acțiunii se finalizează până la 30 iunie 2022.</w:t>
      </w:r>
    </w:p>
    <w:p w14:paraId="1216B942" w14:textId="77777777" w:rsidR="00A60DDE" w:rsidRDefault="00095506">
      <w:pPr>
        <w:pStyle w:val="P68B1DB1-Normal38"/>
        <w:spacing w:before="120" w:after="120" w:line="240" w:lineRule="auto"/>
        <w:jc w:val="both"/>
        <w:rPr>
          <w:noProof/>
        </w:rPr>
      </w:pPr>
      <w:r>
        <w:rPr>
          <w:noProof/>
        </w:rPr>
        <w:t>Reforma de mai sus este însoțită de intrarea în vigoare a unui regulament care prevede un plan de licitații pentru energia din surse regenerabile per tehnologie (inclusiv pentru noile parcuri eoliene terestre). Planul stabilește un buget și un volum de energie electrică care sunt disponibile pentru fiecare licitație competitivă pentru perioada 2022-2027. Regulamentul se publică până la 30 septembrie 2022.</w:t>
      </w:r>
    </w:p>
    <w:p w14:paraId="1216B943" w14:textId="77777777" w:rsidR="00A60DDE" w:rsidRDefault="00095506">
      <w:pPr>
        <w:pStyle w:val="P68B1DB1-Normal38"/>
        <w:spacing w:before="120" w:after="120" w:line="240" w:lineRule="auto"/>
        <w:jc w:val="both"/>
        <w:rPr>
          <w:noProof/>
        </w:rPr>
      </w:pPr>
      <w:r>
        <w:rPr>
          <w:noProof/>
        </w:rPr>
        <w:t>În plus, Polonia crește treptat capacitatea instalată a parcurilor eoliene terestre și a instalațiilor fotovoltaice pentru a contribui la tranziția verde. Capacitatea eoliană onshore și fotovoltaică instalată trebuie să ajungă la 23,5 GW până la 30 septembrie 2023.</w:t>
      </w:r>
    </w:p>
    <w:p w14:paraId="1216B944" w14:textId="3912B995" w:rsidR="00A60DDE" w:rsidRDefault="00095506">
      <w:pPr>
        <w:pStyle w:val="P68B1DB1-Normal60"/>
        <w:spacing w:before="120" w:after="120" w:line="240" w:lineRule="auto"/>
        <w:jc w:val="both"/>
        <w:rPr>
          <w:noProof/>
        </w:rPr>
      </w:pPr>
      <w:r>
        <w:rPr>
          <w:noProof/>
        </w:rPr>
        <w:t>În ceea ce privește dezvoltarea parcurilor eoliene offshore, reforma introduce norme detaliate pentru plata taxei de concesiune către președintele Biroului de reglementare în domeniul energiei, extinsă la entitățile implicate în producerea de energie electrică în parcurile eoliene offshore.</w:t>
      </w:r>
    </w:p>
    <w:p w14:paraId="1216B945" w14:textId="77777777" w:rsidR="00A60DDE" w:rsidRDefault="00095506">
      <w:pPr>
        <w:pStyle w:val="P68B1DB1-Normal60"/>
        <w:spacing w:before="120" w:after="120" w:line="240" w:lineRule="auto"/>
        <w:jc w:val="both"/>
        <w:rPr>
          <w:noProof/>
        </w:rPr>
      </w:pPr>
      <w:r>
        <w:rPr>
          <w:noProof/>
        </w:rPr>
        <w:t>Punerea în aplicare a acestei acțiuni se finalizează până la 30 iunie 2022.</w:t>
      </w:r>
    </w:p>
    <w:p w14:paraId="1216B946" w14:textId="77777777" w:rsidR="00A60DDE" w:rsidRDefault="00095506">
      <w:pPr>
        <w:pStyle w:val="P68B1DB1-Normal60"/>
        <w:spacing w:before="120" w:after="120" w:line="240" w:lineRule="auto"/>
        <w:jc w:val="both"/>
        <w:rPr>
          <w:noProof/>
        </w:rPr>
      </w:pPr>
      <w:r>
        <w:rPr>
          <w:noProof/>
        </w:rPr>
        <w:t>În plus, reforma reglementează, de asemenea, tipurile de fluxuri de trezorerie care trebuie luate în considerare la calcularea prețului ajustat și metoda detaliată de calculare a prețului ajustat.</w:t>
      </w:r>
    </w:p>
    <w:p w14:paraId="1216B947" w14:textId="77777777" w:rsidR="00A60DDE" w:rsidRDefault="00095506">
      <w:pPr>
        <w:pStyle w:val="P68B1DB1-Normal60"/>
        <w:spacing w:before="120" w:after="120" w:line="240" w:lineRule="auto"/>
        <w:jc w:val="both"/>
        <w:rPr>
          <w:rFonts w:eastAsia="Times New Roman" w:cs="Times New Roman"/>
          <w:noProof/>
          <w:szCs w:val="24"/>
        </w:rPr>
      </w:pPr>
      <w:r>
        <w:rPr>
          <w:noProof/>
        </w:rPr>
        <w:t>Punerea în aplicare a acestei acțiuni se finalizează până la 31 decembrie 2022.</w:t>
      </w:r>
    </w:p>
    <w:p w14:paraId="1216B948"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A60DDE" w:rsidSect="006C5441">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299"/>
        </w:sectPr>
      </w:pPr>
    </w:p>
    <w:p w14:paraId="1216B949" w14:textId="77777777" w:rsidR="00A60DDE" w:rsidRDefault="00095506">
      <w:pPr>
        <w:pStyle w:val="Normal0"/>
        <w:pBdr>
          <w:top w:val="nil"/>
          <w:left w:val="nil"/>
          <w:bottom w:val="nil"/>
          <w:right w:val="nil"/>
          <w:between w:val="nil"/>
        </w:pBdr>
        <w:spacing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B.4. </w:t>
      </w:r>
      <w:r>
        <w:rPr>
          <w:noProof/>
        </w:rPr>
        <w:t xml:space="preserve"> </w:t>
      </w:r>
      <w:r>
        <w:rPr>
          <w:rFonts w:ascii="Times New Roman" w:hAnsi="Times New Roman"/>
          <w:b/>
          <w:noProof/>
          <w:color w:val="000000"/>
          <w:sz w:val="24"/>
        </w:rPr>
        <w:t>Jaloane, ținte, indicatori și calendar pentru monitorizarea și punerea în aplicare a împrumutului</w:t>
      </w:r>
    </w:p>
    <w:tbl>
      <w:tblPr>
        <w:tblW w:w="156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12"/>
        <w:gridCol w:w="1720"/>
        <w:gridCol w:w="1258"/>
        <w:gridCol w:w="1848"/>
        <w:gridCol w:w="1545"/>
        <w:gridCol w:w="938"/>
        <w:gridCol w:w="938"/>
        <w:gridCol w:w="867"/>
        <w:gridCol w:w="952"/>
        <w:gridCol w:w="681"/>
        <w:gridCol w:w="4081"/>
      </w:tblGrid>
      <w:tr w:rsidR="00A60DDE" w14:paraId="1216B952" w14:textId="77777777">
        <w:trPr>
          <w:trHeight w:val="939"/>
          <w:tblHeader/>
          <w:jc w:val="center"/>
        </w:trPr>
        <w:tc>
          <w:tcPr>
            <w:tcW w:w="812" w:type="dxa"/>
            <w:vMerge w:val="restart"/>
            <w:shd w:val="clear" w:color="auto" w:fill="BDD7EE"/>
            <w:vAlign w:val="center"/>
          </w:tcPr>
          <w:p w14:paraId="1216B94A" w14:textId="230E440A" w:rsidR="00A60DDE" w:rsidRDefault="005631E2">
            <w:pPr>
              <w:pStyle w:val="P68B1DB1-Normal061"/>
              <w:pBdr>
                <w:top w:val="nil"/>
                <w:left w:val="nil"/>
                <w:bottom w:val="nil"/>
                <w:right w:val="nil"/>
                <w:between w:val="nil"/>
              </w:pBdr>
              <w:spacing w:after="0" w:line="240" w:lineRule="auto"/>
              <w:jc w:val="center"/>
              <w:rPr>
                <w:rFonts w:eastAsia="Times New Roman"/>
                <w:noProof/>
              </w:rPr>
            </w:pPr>
            <w:r>
              <w:rPr>
                <w:noProof/>
              </w:rPr>
              <w:t>Nr. secv</w:t>
            </w:r>
          </w:p>
        </w:tc>
        <w:tc>
          <w:tcPr>
            <w:tcW w:w="1720" w:type="dxa"/>
            <w:vMerge w:val="restart"/>
            <w:shd w:val="clear" w:color="auto" w:fill="BDD7EE"/>
            <w:vAlign w:val="center"/>
          </w:tcPr>
          <w:p w14:paraId="1216B94B"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258" w:type="dxa"/>
            <w:vMerge w:val="restart"/>
            <w:shd w:val="clear" w:color="auto" w:fill="BDD7EE"/>
            <w:vAlign w:val="center"/>
          </w:tcPr>
          <w:p w14:paraId="1216B94C"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Etapa/ținta</w:t>
            </w:r>
          </w:p>
        </w:tc>
        <w:tc>
          <w:tcPr>
            <w:tcW w:w="1848" w:type="dxa"/>
            <w:vMerge w:val="restart"/>
            <w:shd w:val="clear" w:color="auto" w:fill="BDD7EE"/>
            <w:vAlign w:val="center"/>
          </w:tcPr>
          <w:p w14:paraId="1216B94D"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545" w:type="dxa"/>
            <w:vMerge w:val="restart"/>
            <w:shd w:val="clear" w:color="auto" w:fill="BDD7EE"/>
            <w:vAlign w:val="center"/>
          </w:tcPr>
          <w:p w14:paraId="1216B94E" w14:textId="43252E19" w:rsidR="00A60DDE" w:rsidRDefault="00095506">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Indicatori calitativi</w:t>
            </w:r>
            <w:r>
              <w:rPr>
                <w:noProof/>
              </w:rPr>
              <w:br/>
            </w:r>
            <w:r>
              <w:rPr>
                <w:b/>
                <w:noProof/>
                <w:color w:val="000000"/>
              </w:rPr>
              <w:t>(pentru jaloane)</w:t>
            </w:r>
          </w:p>
        </w:tc>
        <w:tc>
          <w:tcPr>
            <w:tcW w:w="2743" w:type="dxa"/>
            <w:gridSpan w:val="3"/>
            <w:shd w:val="clear" w:color="auto" w:fill="BDD7EE"/>
            <w:vAlign w:val="center"/>
          </w:tcPr>
          <w:p w14:paraId="1216B94F" w14:textId="649DAF82" w:rsidR="00A60DDE" w:rsidRDefault="00095506">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Indicatori cantitativi</w:t>
            </w:r>
            <w:r>
              <w:rPr>
                <w:noProof/>
              </w:rPr>
              <w:br/>
            </w:r>
            <w:r>
              <w:rPr>
                <w:b/>
                <w:noProof/>
                <w:color w:val="000000"/>
              </w:rPr>
              <w:t>(pentru obiective)</w:t>
            </w:r>
          </w:p>
        </w:tc>
        <w:tc>
          <w:tcPr>
            <w:tcW w:w="1633" w:type="dxa"/>
            <w:gridSpan w:val="2"/>
            <w:shd w:val="clear" w:color="auto" w:fill="BDD7EE"/>
            <w:vAlign w:val="center"/>
          </w:tcPr>
          <w:p w14:paraId="1216B950"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4081" w:type="dxa"/>
            <w:vMerge w:val="restart"/>
            <w:shd w:val="clear" w:color="auto" w:fill="BDD7EE"/>
            <w:vAlign w:val="center"/>
          </w:tcPr>
          <w:p w14:paraId="1216B951"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A60DDE" w14:paraId="1216B95E" w14:textId="77777777">
        <w:trPr>
          <w:trHeight w:val="699"/>
          <w:jc w:val="center"/>
        </w:trPr>
        <w:tc>
          <w:tcPr>
            <w:tcW w:w="812" w:type="dxa"/>
            <w:vMerge/>
            <w:vAlign w:val="center"/>
          </w:tcPr>
          <w:p w14:paraId="1216B953"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20" w:type="dxa"/>
            <w:vMerge/>
            <w:vAlign w:val="center"/>
          </w:tcPr>
          <w:p w14:paraId="1216B954"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58" w:type="dxa"/>
            <w:vMerge/>
            <w:vAlign w:val="center"/>
          </w:tcPr>
          <w:p w14:paraId="1216B955"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8" w:type="dxa"/>
            <w:vMerge/>
            <w:vAlign w:val="center"/>
          </w:tcPr>
          <w:p w14:paraId="1216B956"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45" w:type="dxa"/>
            <w:vMerge/>
            <w:vAlign w:val="center"/>
          </w:tcPr>
          <w:p w14:paraId="1216B957"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38" w:type="dxa"/>
            <w:shd w:val="clear" w:color="auto" w:fill="BDD7EE"/>
            <w:vAlign w:val="center"/>
          </w:tcPr>
          <w:p w14:paraId="1216B958"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938" w:type="dxa"/>
            <w:shd w:val="clear" w:color="auto" w:fill="BDD7EE"/>
            <w:vAlign w:val="center"/>
          </w:tcPr>
          <w:p w14:paraId="1216B959"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867" w:type="dxa"/>
            <w:shd w:val="clear" w:color="auto" w:fill="BDD7EE"/>
            <w:vAlign w:val="center"/>
          </w:tcPr>
          <w:p w14:paraId="1216B95A"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952" w:type="dxa"/>
            <w:shd w:val="clear" w:color="auto" w:fill="BDD7EE"/>
            <w:vAlign w:val="center"/>
          </w:tcPr>
          <w:p w14:paraId="1216B95B"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681" w:type="dxa"/>
            <w:shd w:val="clear" w:color="auto" w:fill="BDD7EE"/>
            <w:vAlign w:val="center"/>
          </w:tcPr>
          <w:p w14:paraId="1216B95C"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4081" w:type="dxa"/>
            <w:vMerge/>
            <w:vAlign w:val="center"/>
          </w:tcPr>
          <w:p w14:paraId="1216B95D"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96A" w14:textId="77777777">
        <w:trPr>
          <w:trHeight w:val="1409"/>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5F"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B1L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0"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B1.2 Facilitarea punerii în aplicare a obligației de economisire a energiei pentru întreprinderile energetice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1"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2"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regulamentului de punere în aplicare a Legii privind eficiența energetică</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3"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regulamentul de punere în aplicare a Legii privind eficiența energetică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5" w14:textId="77777777" w:rsidR="00A60DDE" w:rsidRDefault="00A60DDE">
            <w:pPr>
              <w:jc w:val="center"/>
              <w:rPr>
                <w:rFonts w:ascii="Times New Roman" w:hAnsi="Times New Roman" w:cs="Times New Roman"/>
                <w:noProof/>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7"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8"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9"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regulamentului de punere în aplicare a Legii privind eficiența energetică, care stabilește o valoare de referință a economiilor de energie pentru proiectele de îmbunătățire a eficienței energetice; și să stabilească o metodologie de calculare a economiilor de energie pentru proiectele din sectorul transporturilor.</w:t>
            </w:r>
          </w:p>
        </w:tc>
      </w:tr>
      <w:tr w:rsidR="00A60DDE" w14:paraId="1216B976" w14:textId="77777777">
        <w:trPr>
          <w:trHeight w:val="855"/>
          <w:jc w:val="center"/>
        </w:trPr>
        <w:tc>
          <w:tcPr>
            <w:tcW w:w="812" w:type="dxa"/>
            <w:shd w:val="clear" w:color="auto" w:fill="C6EFCE"/>
          </w:tcPr>
          <w:p w14:paraId="1216B96B" w14:textId="77777777" w:rsidR="00A60DDE" w:rsidRDefault="00095506">
            <w:pPr>
              <w:pStyle w:val="P68B1DB1-Normal021"/>
              <w:pBdr>
                <w:top w:val="nil"/>
                <w:left w:val="nil"/>
                <w:bottom w:val="nil"/>
                <w:right w:val="nil"/>
                <w:between w:val="nil"/>
              </w:pBdr>
              <w:spacing w:after="0" w:line="240" w:lineRule="auto"/>
              <w:jc w:val="center"/>
              <w:rPr>
                <w:b/>
                <w:noProof/>
                <w:color w:val="000000"/>
              </w:rPr>
            </w:pPr>
            <w:r>
              <w:rPr>
                <w:noProof/>
              </w:rPr>
              <w:t>B2L</w:t>
            </w:r>
          </w:p>
        </w:tc>
        <w:tc>
          <w:tcPr>
            <w:tcW w:w="1720" w:type="dxa"/>
            <w:shd w:val="clear" w:color="auto" w:fill="C6EFCE"/>
          </w:tcPr>
          <w:p w14:paraId="1216B96C" w14:textId="77777777" w:rsidR="00A60DDE" w:rsidRDefault="00095506">
            <w:pPr>
              <w:pStyle w:val="P68B1DB1-Normal062"/>
              <w:pBdr>
                <w:top w:val="nil"/>
                <w:left w:val="nil"/>
                <w:bottom w:val="nil"/>
                <w:right w:val="nil"/>
                <w:between w:val="nil"/>
              </w:pBdr>
              <w:spacing w:after="0" w:line="240" w:lineRule="auto"/>
              <w:rPr>
                <w:noProof/>
              </w:rPr>
            </w:pPr>
            <w:r>
              <w:rPr>
                <w:noProof/>
              </w:rPr>
              <w:t>B1.2.1 Eficiența energetică și sursele regenerabile de energie în întreprinderi – investiții cu cel mai mare potențial de reducere a emisiilor de gaze cu efect de seră</w:t>
            </w:r>
          </w:p>
        </w:tc>
        <w:tc>
          <w:tcPr>
            <w:tcW w:w="1258" w:type="dxa"/>
            <w:shd w:val="clear" w:color="auto" w:fill="C6EFCE"/>
          </w:tcPr>
          <w:p w14:paraId="1216B96D"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Etapa de referință</w:t>
            </w:r>
          </w:p>
        </w:tc>
        <w:tc>
          <w:tcPr>
            <w:tcW w:w="1848" w:type="dxa"/>
            <w:shd w:val="clear" w:color="auto" w:fill="C6EFCE"/>
          </w:tcPr>
          <w:p w14:paraId="1216B96E" w14:textId="77777777" w:rsidR="00A60DDE" w:rsidRDefault="00095506">
            <w:pPr>
              <w:pStyle w:val="P68B1DB1-Normal062"/>
              <w:pBdr>
                <w:top w:val="nil"/>
                <w:left w:val="nil"/>
                <w:bottom w:val="nil"/>
                <w:right w:val="nil"/>
                <w:between w:val="nil"/>
              </w:pBdr>
              <w:spacing w:after="0" w:line="240" w:lineRule="auto"/>
              <w:rPr>
                <w:noProof/>
              </w:rPr>
            </w:pPr>
            <w:r>
              <w:rPr>
                <w:noProof/>
              </w:rPr>
              <w:t>Instrucțiuni de finanțare (inclusiv criterii de eligibilitate și de selecție) pentru schema de sprijin care vizează eficiența energetică și sursele regenerabile de energie în întreprinderi, inclusiv în cele care fac obiectul schemei UE de comercializare a certificatelor de emisii</w:t>
            </w:r>
          </w:p>
        </w:tc>
        <w:tc>
          <w:tcPr>
            <w:tcW w:w="1545" w:type="dxa"/>
            <w:shd w:val="clear" w:color="auto" w:fill="C6EFCE"/>
          </w:tcPr>
          <w:p w14:paraId="1216B96F" w14:textId="7E6595AC" w:rsidR="00A60DDE" w:rsidRDefault="00095506">
            <w:pPr>
              <w:pStyle w:val="P68B1DB1-Normal062"/>
              <w:pBdr>
                <w:top w:val="nil"/>
                <w:left w:val="nil"/>
                <w:bottom w:val="nil"/>
                <w:right w:val="nil"/>
                <w:between w:val="nil"/>
              </w:pBdr>
              <w:spacing w:after="0" w:line="240" w:lineRule="auto"/>
              <w:rPr>
                <w:noProof/>
              </w:rPr>
            </w:pPr>
            <w:r>
              <w:rPr>
                <w:noProof/>
              </w:rPr>
              <w:t>Publicarea schemei de sprijin</w:t>
            </w:r>
          </w:p>
        </w:tc>
        <w:tc>
          <w:tcPr>
            <w:tcW w:w="938" w:type="dxa"/>
            <w:shd w:val="clear" w:color="auto" w:fill="C6EFCE"/>
          </w:tcPr>
          <w:p w14:paraId="1216B970"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38" w:type="dxa"/>
            <w:shd w:val="clear" w:color="auto" w:fill="C6EFCE"/>
          </w:tcPr>
          <w:p w14:paraId="1216B97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67" w:type="dxa"/>
            <w:shd w:val="clear" w:color="auto" w:fill="C6EFCE"/>
          </w:tcPr>
          <w:p w14:paraId="1216B97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52" w:type="dxa"/>
            <w:shd w:val="clear" w:color="auto" w:fill="C6EFCE"/>
          </w:tcPr>
          <w:p w14:paraId="1216B973"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T4</w:t>
            </w:r>
          </w:p>
        </w:tc>
        <w:tc>
          <w:tcPr>
            <w:tcW w:w="681" w:type="dxa"/>
            <w:shd w:val="clear" w:color="auto" w:fill="C6EFCE"/>
          </w:tcPr>
          <w:p w14:paraId="1216B974"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2022</w:t>
            </w:r>
          </w:p>
        </w:tc>
        <w:tc>
          <w:tcPr>
            <w:tcW w:w="4081" w:type="dxa"/>
            <w:shd w:val="clear" w:color="auto" w:fill="C6EFCE"/>
          </w:tcPr>
          <w:p w14:paraId="1216B975" w14:textId="42A649B6" w:rsidR="00A60DDE" w:rsidRDefault="00095506">
            <w:pPr>
              <w:pStyle w:val="P68B1DB1-Normal062"/>
              <w:pBdr>
                <w:top w:val="nil"/>
                <w:left w:val="nil"/>
                <w:bottom w:val="nil"/>
                <w:right w:val="nil"/>
                <w:between w:val="nil"/>
              </w:pBdr>
              <w:spacing w:after="0" w:line="240" w:lineRule="auto"/>
              <w:rPr>
                <w:noProof/>
              </w:rPr>
            </w:pPr>
            <w:r>
              <w:rPr>
                <w:noProof/>
              </w:rPr>
              <w:t>Politica de investiții a schemei include cel puțin următoarele criterii de eligibilitate și de selecție a proiectelor: (i) obiectivul celui mai mic preț pe tonă de gaze cu efect de seră economisite; (ii) asigurarea conformității cu Orientările tehnice privind principiul de „a nu aduce prejudicii semnificative” (2021/C58/01) prin utilizarea listei de excludere și respectarea legislației UE și naționale în domeniul mediului și (iii) specificarea obiectivelor de decarbonizare.</w:t>
            </w:r>
          </w:p>
        </w:tc>
      </w:tr>
      <w:tr w:rsidR="00A60DDE" w14:paraId="1216B982" w14:textId="77777777">
        <w:trPr>
          <w:trHeight w:val="313"/>
          <w:jc w:val="center"/>
        </w:trPr>
        <w:tc>
          <w:tcPr>
            <w:tcW w:w="812" w:type="dxa"/>
            <w:shd w:val="clear" w:color="auto" w:fill="C6EFCE"/>
          </w:tcPr>
          <w:p w14:paraId="1216B977"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B3L</w:t>
            </w:r>
          </w:p>
        </w:tc>
        <w:tc>
          <w:tcPr>
            <w:tcW w:w="1720" w:type="dxa"/>
            <w:shd w:val="clear" w:color="auto" w:fill="C6EFCE"/>
          </w:tcPr>
          <w:p w14:paraId="1216B978"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B1.2.1 Eficiența energetică și sursele regenerabile de energie în întreprinderi – investiții cu cel mai mare potențial de reducere a emisiilor de gaze cu efect de seră</w:t>
            </w:r>
          </w:p>
        </w:tc>
        <w:tc>
          <w:tcPr>
            <w:tcW w:w="1258" w:type="dxa"/>
            <w:shd w:val="clear" w:color="auto" w:fill="C6EFCE"/>
          </w:tcPr>
          <w:p w14:paraId="1216B979"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Țintă</w:t>
            </w:r>
          </w:p>
        </w:tc>
        <w:tc>
          <w:tcPr>
            <w:tcW w:w="1848" w:type="dxa"/>
            <w:shd w:val="clear" w:color="auto" w:fill="C6EFCE"/>
          </w:tcPr>
          <w:p w14:paraId="1216B97A"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Atribuirea tuturor contractelor pentru punerea în aplicare a eficienței energetice și a SRE în întreprinderi</w:t>
            </w:r>
          </w:p>
        </w:tc>
        <w:tc>
          <w:tcPr>
            <w:tcW w:w="1545" w:type="dxa"/>
            <w:shd w:val="clear" w:color="auto" w:fill="C6EFCE"/>
          </w:tcPr>
          <w:p w14:paraId="1216B97B"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 </w:t>
            </w:r>
          </w:p>
        </w:tc>
        <w:tc>
          <w:tcPr>
            <w:tcW w:w="938" w:type="dxa"/>
            <w:shd w:val="clear" w:color="auto" w:fill="C6EFCE"/>
          </w:tcPr>
          <w:p w14:paraId="1216B97C"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Număr</w:t>
            </w:r>
          </w:p>
        </w:tc>
        <w:tc>
          <w:tcPr>
            <w:tcW w:w="938" w:type="dxa"/>
            <w:shd w:val="clear" w:color="auto" w:fill="C6EFCE"/>
          </w:tcPr>
          <w:p w14:paraId="1216B97D"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0</w:t>
            </w:r>
          </w:p>
        </w:tc>
        <w:tc>
          <w:tcPr>
            <w:tcW w:w="867" w:type="dxa"/>
            <w:shd w:val="clear" w:color="auto" w:fill="C6EFCE"/>
          </w:tcPr>
          <w:p w14:paraId="1216B97E"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13</w:t>
            </w:r>
          </w:p>
        </w:tc>
        <w:tc>
          <w:tcPr>
            <w:tcW w:w="952" w:type="dxa"/>
            <w:shd w:val="clear" w:color="auto" w:fill="C6EFCE"/>
          </w:tcPr>
          <w:p w14:paraId="1216B97F"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T4</w:t>
            </w:r>
          </w:p>
        </w:tc>
        <w:tc>
          <w:tcPr>
            <w:tcW w:w="681" w:type="dxa"/>
            <w:shd w:val="clear" w:color="auto" w:fill="C6EFCE"/>
          </w:tcPr>
          <w:p w14:paraId="1216B980"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2023</w:t>
            </w:r>
          </w:p>
        </w:tc>
        <w:tc>
          <w:tcPr>
            <w:tcW w:w="4081" w:type="dxa"/>
            <w:shd w:val="clear" w:color="auto" w:fill="C6EFCE"/>
          </w:tcPr>
          <w:p w14:paraId="1216B981"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Numărul de contracte atribuite proiectelor de investiții legate de îmbunătățirea proceselor industriale și energetice în vederea îmbunătățirii eficienței energetice și a reducerii intensității energetice, ceea ce duce la reducerea și raționalizarea consumului de energie prin investiții în surse de energie regenerabile și cu emisii scăzute de dioxid de carbon în întreprinderi. Schema este pusă în aplicare în conformitate cu instrucțiunile sale de finanțare, astfel cum sunt descrise la punctul B2L. Sistemul este pus în aplicare printr-un proces nediscriminatoriu, transparent și deschis, deschis tuturor sectoarelor industriale.</w:t>
            </w:r>
          </w:p>
        </w:tc>
      </w:tr>
      <w:tr w:rsidR="00A60DDE" w14:paraId="1216B98F" w14:textId="77777777">
        <w:trPr>
          <w:trHeight w:val="313"/>
          <w:jc w:val="center"/>
        </w:trPr>
        <w:tc>
          <w:tcPr>
            <w:tcW w:w="812" w:type="dxa"/>
            <w:shd w:val="clear" w:color="auto" w:fill="C6EFCE"/>
          </w:tcPr>
          <w:p w14:paraId="1216B983"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B4L</w:t>
            </w:r>
          </w:p>
        </w:tc>
        <w:tc>
          <w:tcPr>
            <w:tcW w:w="1720" w:type="dxa"/>
            <w:shd w:val="clear" w:color="auto" w:fill="C6EFCE"/>
          </w:tcPr>
          <w:p w14:paraId="1216B984"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B2.3 Sprijin pentru investiții în parcuri eoliene offshore</w:t>
            </w:r>
          </w:p>
        </w:tc>
        <w:tc>
          <w:tcPr>
            <w:tcW w:w="1258" w:type="dxa"/>
            <w:shd w:val="clear" w:color="auto" w:fill="C6EFCE"/>
          </w:tcPr>
          <w:p w14:paraId="1216B985"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86"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Intrarea în vigoare a regulamentelor de punere în aplicare care decurg din Legea privind promovarea generării de energie electrică în parcurile eoliene offshore </w:t>
            </w:r>
          </w:p>
        </w:tc>
        <w:tc>
          <w:tcPr>
            <w:tcW w:w="1545" w:type="dxa"/>
            <w:shd w:val="clear" w:color="auto" w:fill="C6EFCE"/>
          </w:tcPr>
          <w:p w14:paraId="1216B987"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Dispoziții din regulamente care indică intrarea lor în vigoare</w:t>
            </w:r>
          </w:p>
        </w:tc>
        <w:tc>
          <w:tcPr>
            <w:tcW w:w="938" w:type="dxa"/>
            <w:shd w:val="clear" w:color="auto" w:fill="C6EFCE"/>
          </w:tcPr>
          <w:p w14:paraId="1216B98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89"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8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8B"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shd w:val="clear" w:color="auto" w:fill="C6EFCE"/>
          </w:tcPr>
          <w:p w14:paraId="1216B98C"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2024</w:t>
            </w:r>
          </w:p>
        </w:tc>
        <w:tc>
          <w:tcPr>
            <w:tcW w:w="4081" w:type="dxa"/>
            <w:shd w:val="clear" w:color="auto" w:fill="C6EFCE"/>
          </w:tcPr>
          <w:p w14:paraId="1216B98D"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 xml:space="preserve">Două regulamente de punere în aplicare intră în vigoare: </w:t>
            </w:r>
          </w:p>
          <w:p w14:paraId="473A536E" w14:textId="77777777" w:rsidR="00A60DDE" w:rsidRDefault="00095506">
            <w:pPr>
              <w:pStyle w:val="P68B1DB1-Normal021"/>
              <w:pBdr>
                <w:top w:val="nil"/>
                <w:left w:val="nil"/>
                <w:bottom w:val="nil"/>
                <w:right w:val="nil"/>
                <w:between w:val="nil"/>
              </w:pBdr>
              <w:spacing w:after="0" w:line="240" w:lineRule="auto"/>
              <w:rPr>
                <w:noProof/>
              </w:rPr>
            </w:pPr>
            <w:r>
              <w:rPr>
                <w:noProof/>
                <w:color w:val="000000" w:themeColor="text1"/>
              </w:rPr>
              <w:t>1. Regulamentul ministrului climei și mediului privind cerințele pentru elementele unui set de echipamente pentru evacuarea energiei electrice și pentru elementele stațiilor electrice offshore - În plus, regulamentul trebuie să garanteze calitatea adecvată a infrastructurii în contextul integrării sale potențiale în rețeaua electrică în cazul transferului prizelor electrice de la parcurile eoliene offshore, astfel cum se prevede la articolele 82-83 din Legea privind energia eoliană offshore.</w:t>
            </w:r>
            <w:r>
              <w:rPr>
                <w:noProof/>
              </w:rPr>
              <w:t xml:space="preserve"> </w:t>
            </w:r>
          </w:p>
          <w:p w14:paraId="1216B98E" w14:textId="37976CEB" w:rsidR="00A60DDE" w:rsidRDefault="00095506">
            <w:pPr>
              <w:pStyle w:val="P68B1DB1-Normal062"/>
              <w:pBdr>
                <w:top w:val="nil"/>
                <w:left w:val="nil"/>
                <w:bottom w:val="nil"/>
                <w:right w:val="nil"/>
                <w:between w:val="nil"/>
              </w:pBdr>
              <w:spacing w:after="0" w:line="240" w:lineRule="auto"/>
              <w:rPr>
                <w:noProof/>
              </w:rPr>
            </w:pPr>
            <w:r>
              <w:rPr>
                <w:noProof/>
              </w:rPr>
              <w:t>2. Regulamentul ministrului climei și mediului privind prețul maxim în PLN per 1 MWh, care poate fi indicat în ofertele depuse în cadrul unei licitații de către producători.</w:t>
            </w:r>
          </w:p>
        </w:tc>
      </w:tr>
      <w:tr w:rsidR="00A60DDE" w14:paraId="1216B99B" w14:textId="77777777">
        <w:trPr>
          <w:trHeight w:val="313"/>
          <w:jc w:val="center"/>
        </w:trPr>
        <w:tc>
          <w:tcPr>
            <w:tcW w:w="812" w:type="dxa"/>
            <w:shd w:val="clear" w:color="auto" w:fill="C6EFCE"/>
          </w:tcPr>
          <w:p w14:paraId="1216B990"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B5L</w:t>
            </w:r>
          </w:p>
        </w:tc>
        <w:tc>
          <w:tcPr>
            <w:tcW w:w="1720" w:type="dxa"/>
            <w:shd w:val="clear" w:color="auto" w:fill="C6EFCE"/>
          </w:tcPr>
          <w:p w14:paraId="1216B991"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B2.3 Sprijin pentru investiții în parcuri eoliene offshore</w:t>
            </w:r>
          </w:p>
        </w:tc>
        <w:tc>
          <w:tcPr>
            <w:tcW w:w="1258" w:type="dxa"/>
            <w:shd w:val="clear" w:color="auto" w:fill="C6EFCE"/>
          </w:tcPr>
          <w:p w14:paraId="1216B99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993"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Rezultatele licitațiilor pentru contracte pe diferență pentru energia eoliană offshore</w:t>
            </w:r>
          </w:p>
        </w:tc>
        <w:tc>
          <w:tcPr>
            <w:tcW w:w="1545" w:type="dxa"/>
            <w:shd w:val="clear" w:color="auto" w:fill="C6EFCE"/>
          </w:tcPr>
          <w:p w14:paraId="1216B994"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Publicarea rezultatelor</w:t>
            </w:r>
          </w:p>
        </w:tc>
        <w:tc>
          <w:tcPr>
            <w:tcW w:w="938" w:type="dxa"/>
            <w:shd w:val="clear" w:color="auto" w:fill="C6EFCE"/>
          </w:tcPr>
          <w:p w14:paraId="1216B995"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38" w:type="dxa"/>
            <w:shd w:val="clear" w:color="auto" w:fill="C6EFCE"/>
          </w:tcPr>
          <w:p w14:paraId="1216B99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67" w:type="dxa"/>
            <w:shd w:val="clear" w:color="auto" w:fill="C6EFCE"/>
          </w:tcPr>
          <w:p w14:paraId="1216B99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52" w:type="dxa"/>
            <w:shd w:val="clear" w:color="auto" w:fill="C6EFCE"/>
          </w:tcPr>
          <w:p w14:paraId="1216B998"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681" w:type="dxa"/>
            <w:shd w:val="clear" w:color="auto" w:fill="C6EFCE"/>
          </w:tcPr>
          <w:p w14:paraId="1216B99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4081" w:type="dxa"/>
            <w:shd w:val="clear" w:color="auto" w:fill="C6EFCE"/>
          </w:tcPr>
          <w:p w14:paraId="1216B99A" w14:textId="2E9954FC"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Se publică rezultatele licitației contractului (contractelor) pentru diferență (CfD) desfășurate pentru o capacitate eoliană offshore de 4 GW.</w:t>
            </w:r>
          </w:p>
        </w:tc>
      </w:tr>
      <w:tr w:rsidR="00A60DDE" w14:paraId="1216B9A7" w14:textId="77777777">
        <w:trPr>
          <w:trHeight w:val="313"/>
          <w:jc w:val="center"/>
        </w:trPr>
        <w:tc>
          <w:tcPr>
            <w:tcW w:w="812" w:type="dxa"/>
            <w:shd w:val="clear" w:color="auto" w:fill="C6EFCE"/>
          </w:tcPr>
          <w:p w14:paraId="1216B99C"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B6L</w:t>
            </w:r>
          </w:p>
        </w:tc>
        <w:tc>
          <w:tcPr>
            <w:tcW w:w="1720" w:type="dxa"/>
            <w:shd w:val="clear" w:color="auto" w:fill="C6EFCE"/>
          </w:tcPr>
          <w:p w14:paraId="1216B99D"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B2.3 Sprijin pentru investiții în parcuri eoliene offshore</w:t>
            </w:r>
          </w:p>
        </w:tc>
        <w:tc>
          <w:tcPr>
            <w:tcW w:w="1258" w:type="dxa"/>
            <w:shd w:val="clear" w:color="auto" w:fill="C6EFCE"/>
          </w:tcPr>
          <w:p w14:paraId="1216B99E"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9F"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unei modificări a regulamentului privind condițiile detaliate de funcționare a sistemului energetic, care modifică normele naționale de echilibrare pentru a reduce în cea mai mare măsură posibilă impactul constrângerilor de alocare</w:t>
            </w:r>
          </w:p>
        </w:tc>
        <w:tc>
          <w:tcPr>
            <w:tcW w:w="1545" w:type="dxa"/>
            <w:shd w:val="clear" w:color="auto" w:fill="C6EFCE"/>
          </w:tcPr>
          <w:p w14:paraId="1216B9A0"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modificarea regulamentului care indică intrarea sa în vigoare</w:t>
            </w:r>
          </w:p>
        </w:tc>
        <w:tc>
          <w:tcPr>
            <w:tcW w:w="938" w:type="dxa"/>
            <w:shd w:val="clear" w:color="auto" w:fill="C6EFCE"/>
          </w:tcPr>
          <w:p w14:paraId="1216B9A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A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A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A4"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T4</w:t>
            </w:r>
          </w:p>
        </w:tc>
        <w:tc>
          <w:tcPr>
            <w:tcW w:w="681" w:type="dxa"/>
            <w:shd w:val="clear" w:color="auto" w:fill="C6EFCE"/>
          </w:tcPr>
          <w:p w14:paraId="1216B9A5"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2023</w:t>
            </w:r>
          </w:p>
        </w:tc>
        <w:tc>
          <w:tcPr>
            <w:tcW w:w="4081" w:type="dxa"/>
            <w:shd w:val="clear" w:color="auto" w:fill="C6EFCE"/>
          </w:tcPr>
          <w:p w14:paraId="1216B9A6" w14:textId="77777777" w:rsidR="00A60DDE" w:rsidRDefault="00095506">
            <w:pPr>
              <w:pStyle w:val="P68B1DB1-Normal062"/>
              <w:pBdr>
                <w:top w:val="nil"/>
                <w:left w:val="nil"/>
                <w:bottom w:val="nil"/>
                <w:right w:val="nil"/>
                <w:between w:val="nil"/>
              </w:pBdr>
              <w:spacing w:after="0" w:line="240" w:lineRule="auto"/>
              <w:rPr>
                <w:noProof/>
              </w:rPr>
            </w:pPr>
            <w:r>
              <w:rPr>
                <w:noProof/>
              </w:rPr>
              <w:t>Ca parte a reformei pieței energiei, normele pieței de echilibrare se modifică pentru a include achiziționarea explicită de rezerve înainte de cuplarea unică a piețelor pentru ziua următoare (SDAC). Această soluție a fost propusă de ACER în metodologia CORE CCM (Decizia ACER 02/2019) ca fiind una dintre soluțiile posibile pentru a reduce în cea mai mare măsură posibilă impactul constrângerilor în materie de alocare. În vederea punerii în aplicare a acestei reforme, ministrul responsabil cu energia modifică Regulamentul ministrului economiei din 4 mai 2007 privind condițiile detaliate de funcționare a sistemului energetic.</w:t>
            </w:r>
          </w:p>
        </w:tc>
      </w:tr>
      <w:tr w:rsidR="00A60DDE" w14:paraId="1216B9B3" w14:textId="77777777">
        <w:trPr>
          <w:trHeight w:val="313"/>
          <w:jc w:val="center"/>
        </w:trPr>
        <w:tc>
          <w:tcPr>
            <w:tcW w:w="812" w:type="dxa"/>
            <w:shd w:val="clear" w:color="auto" w:fill="C6EFCE"/>
          </w:tcPr>
          <w:p w14:paraId="1216B9A8"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B6aL</w:t>
            </w:r>
          </w:p>
        </w:tc>
        <w:tc>
          <w:tcPr>
            <w:tcW w:w="1720" w:type="dxa"/>
            <w:shd w:val="clear" w:color="auto" w:fill="C6EFCE"/>
          </w:tcPr>
          <w:p w14:paraId="1216B9A9"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B2.3 Sprijin pentru investiții în parcuri eoliene offshore</w:t>
            </w:r>
          </w:p>
        </w:tc>
        <w:tc>
          <w:tcPr>
            <w:tcW w:w="1258" w:type="dxa"/>
            <w:shd w:val="clear" w:color="auto" w:fill="C6EFCE"/>
          </w:tcPr>
          <w:p w14:paraId="1216B9AA"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Etapa de referință</w:t>
            </w:r>
          </w:p>
        </w:tc>
        <w:tc>
          <w:tcPr>
            <w:tcW w:w="1848" w:type="dxa"/>
            <w:shd w:val="clear" w:color="auto" w:fill="C6EFCE"/>
          </w:tcPr>
          <w:p w14:paraId="1216B9AB"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Studiu privind măsurile de limitare a constrângerilor de alocare în sistemul electroenergetic polonez</w:t>
            </w:r>
          </w:p>
        </w:tc>
        <w:tc>
          <w:tcPr>
            <w:tcW w:w="1545" w:type="dxa"/>
            <w:shd w:val="clear" w:color="auto" w:fill="C6EFCE"/>
          </w:tcPr>
          <w:p w14:paraId="1216B9AC"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Publicarea pe site-ul autorității de reglementare în domeniul energiei a unui studiu privind măsurile de limitare a constrângerilor de alocare în sistemul polonez de energie electrică</w:t>
            </w:r>
          </w:p>
        </w:tc>
        <w:tc>
          <w:tcPr>
            <w:tcW w:w="938" w:type="dxa"/>
            <w:shd w:val="clear" w:color="auto" w:fill="C6EFCE"/>
          </w:tcPr>
          <w:p w14:paraId="1216B9AD"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38" w:type="dxa"/>
            <w:shd w:val="clear" w:color="auto" w:fill="C6EFCE"/>
          </w:tcPr>
          <w:p w14:paraId="1216B9AE"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67" w:type="dxa"/>
            <w:shd w:val="clear" w:color="auto" w:fill="C6EFCE"/>
          </w:tcPr>
          <w:p w14:paraId="1216B9AF"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52" w:type="dxa"/>
            <w:shd w:val="clear" w:color="auto" w:fill="C6EFCE"/>
          </w:tcPr>
          <w:p w14:paraId="1216B9B0"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T4</w:t>
            </w:r>
          </w:p>
        </w:tc>
        <w:tc>
          <w:tcPr>
            <w:tcW w:w="681" w:type="dxa"/>
            <w:shd w:val="clear" w:color="auto" w:fill="C6EFCE"/>
          </w:tcPr>
          <w:p w14:paraId="1216B9B1"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2025</w:t>
            </w:r>
          </w:p>
        </w:tc>
        <w:tc>
          <w:tcPr>
            <w:tcW w:w="4081" w:type="dxa"/>
            <w:shd w:val="clear" w:color="auto" w:fill="C6EFCE"/>
          </w:tcPr>
          <w:p w14:paraId="1216B9B2" w14:textId="6039991B" w:rsidR="00A60DDE" w:rsidRDefault="00095506">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Autoritatea de reglementare în domeniul energiei efectuează și publică pe site-ul său web un studiu privind măsurile de limitare a constrângerilor de alocare în sistemul polonez de energie electrică. Studiul conține o evaluare a utilizării constrângerilor de alocare de la adoptarea reformei în B6L, justificarea utilizării acestora, impactul măsurilor existente de limitare a constrângerilor de alocare și recomandă măsuri suplimentare pentru a reduce în cea mai mare măsură posibilă utilizarea constrângerilor de alocare în sistemul electric polonez.</w:t>
            </w:r>
          </w:p>
        </w:tc>
      </w:tr>
      <w:tr w:rsidR="00A60DDE" w14:paraId="1216B9BF" w14:textId="77777777">
        <w:trPr>
          <w:trHeight w:val="313"/>
          <w:jc w:val="center"/>
        </w:trPr>
        <w:tc>
          <w:tcPr>
            <w:tcW w:w="812" w:type="dxa"/>
            <w:shd w:val="clear" w:color="auto" w:fill="C6EFCE"/>
          </w:tcPr>
          <w:p w14:paraId="1216B9B4"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B10L</w:t>
            </w:r>
          </w:p>
        </w:tc>
        <w:tc>
          <w:tcPr>
            <w:tcW w:w="1720" w:type="dxa"/>
            <w:shd w:val="clear" w:color="auto" w:fill="C6EFCE"/>
          </w:tcPr>
          <w:p w14:paraId="1216B9B5"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B2.4 Cadrul juridic pentru dezvoltarea instalațiilor de stocare a energiei</w:t>
            </w:r>
          </w:p>
        </w:tc>
        <w:tc>
          <w:tcPr>
            <w:tcW w:w="1258" w:type="dxa"/>
            <w:shd w:val="clear" w:color="auto" w:fill="C6EFCE"/>
          </w:tcPr>
          <w:p w14:paraId="1216B9B6"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B7"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modificărilor aduse Legii energiei în ceea ce privește stocarea energiei</w:t>
            </w:r>
          </w:p>
        </w:tc>
        <w:tc>
          <w:tcPr>
            <w:tcW w:w="1545" w:type="dxa"/>
            <w:shd w:val="clear" w:color="auto" w:fill="C6EFCE"/>
          </w:tcPr>
          <w:p w14:paraId="1216B9B8"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amendamentele la Legea energiei care indică intrarea sa în vigoare</w:t>
            </w:r>
          </w:p>
        </w:tc>
        <w:tc>
          <w:tcPr>
            <w:tcW w:w="938" w:type="dxa"/>
            <w:shd w:val="clear" w:color="auto" w:fill="C6EFCE"/>
          </w:tcPr>
          <w:p w14:paraId="1216B9B9"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B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B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BC"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shd w:val="clear" w:color="auto" w:fill="C6EFCE"/>
          </w:tcPr>
          <w:p w14:paraId="1216B9BD"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2021</w:t>
            </w:r>
          </w:p>
        </w:tc>
        <w:tc>
          <w:tcPr>
            <w:tcW w:w="4081" w:type="dxa"/>
            <w:shd w:val="clear" w:color="auto" w:fill="C6EFCE"/>
          </w:tcPr>
          <w:p w14:paraId="1216B9BE"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Modificările facilitează dezvoltarea stocării energiei electrice, inclusiv, în special, o scutire de la obligația tarifară, absența dublei taxe de rețea, scutirea parțială de taxe pentru conectarea stocării la rețea, scutirea de la obligația de a prezenta certificate de origine și de la anumite taxe în ceea ce privește energia electrică stocată. Cadrul tarifar propus pentru depozitare trebuie să fie nediscriminatoriu și să reflecte costurile.</w:t>
            </w:r>
          </w:p>
        </w:tc>
      </w:tr>
      <w:tr w:rsidR="00A60DDE" w14:paraId="1216B9CB" w14:textId="77777777">
        <w:trPr>
          <w:trHeight w:val="313"/>
          <w:jc w:val="center"/>
        </w:trPr>
        <w:tc>
          <w:tcPr>
            <w:tcW w:w="812" w:type="dxa"/>
            <w:shd w:val="clear" w:color="auto" w:fill="C6EFCE"/>
          </w:tcPr>
          <w:p w14:paraId="1216B9C0"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B14L</w:t>
            </w:r>
          </w:p>
        </w:tc>
        <w:tc>
          <w:tcPr>
            <w:tcW w:w="1720" w:type="dxa"/>
            <w:shd w:val="clear" w:color="auto" w:fill="C6EFCE"/>
          </w:tcPr>
          <w:p w14:paraId="1216B9C1"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B3.2 Sprijin pentru refacerea mediului și protecția împotriva substanțelor periculoase</w:t>
            </w:r>
          </w:p>
        </w:tc>
        <w:tc>
          <w:tcPr>
            <w:tcW w:w="1258" w:type="dxa"/>
            <w:shd w:val="clear" w:color="auto" w:fill="C6EFCE"/>
          </w:tcPr>
          <w:p w14:paraId="1216B9C2"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C3" w14:textId="1A2BD81B" w:rsidR="00A60DDE" w:rsidRDefault="00095506">
            <w:pPr>
              <w:pStyle w:val="P68B1DB1-Normal062"/>
              <w:pBdr>
                <w:top w:val="nil"/>
                <w:left w:val="nil"/>
                <w:bottom w:val="nil"/>
                <w:right w:val="nil"/>
                <w:between w:val="nil"/>
              </w:pBdr>
              <w:spacing w:after="0" w:line="240" w:lineRule="auto"/>
              <w:rPr>
                <w:noProof/>
              </w:rPr>
            </w:pPr>
            <w:r>
              <w:rPr>
                <w:noProof/>
              </w:rPr>
              <w:t>Intrarea în vigoare a unei legi care să faciliteze o eliminare cuprinzătoare a impactului negativ asupra mediului al zonelor postindustriale de mari dimensiuni</w:t>
            </w:r>
          </w:p>
        </w:tc>
        <w:tc>
          <w:tcPr>
            <w:tcW w:w="1545" w:type="dxa"/>
            <w:shd w:val="clear" w:color="auto" w:fill="C6EFCE"/>
          </w:tcPr>
          <w:p w14:paraId="1216B9C4"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legală care indică intrarea sa în vigoare</w:t>
            </w:r>
          </w:p>
        </w:tc>
        <w:tc>
          <w:tcPr>
            <w:tcW w:w="938" w:type="dxa"/>
            <w:shd w:val="clear" w:color="auto" w:fill="C6EFCE"/>
          </w:tcPr>
          <w:p w14:paraId="1216B9C5"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shd w:val="clear" w:color="auto" w:fill="C6EFCE"/>
          </w:tcPr>
          <w:p w14:paraId="1216B9C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867" w:type="dxa"/>
            <w:shd w:val="clear" w:color="auto" w:fill="C6EFCE"/>
          </w:tcPr>
          <w:p w14:paraId="1216B9C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shd w:val="clear" w:color="auto" w:fill="C6EFCE"/>
          </w:tcPr>
          <w:p w14:paraId="1216B9C8"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681" w:type="dxa"/>
            <w:shd w:val="clear" w:color="auto" w:fill="C6EFCE"/>
          </w:tcPr>
          <w:p w14:paraId="1216B9C9"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shd w:val="clear" w:color="auto" w:fill="C6EFCE"/>
          </w:tcPr>
          <w:p w14:paraId="1216B9CA" w14:textId="7D09BA37" w:rsidR="00A60DDE" w:rsidRDefault="00095506">
            <w:pPr>
              <w:pStyle w:val="P68B1DB1-Normal021"/>
              <w:pBdr>
                <w:top w:val="nil"/>
                <w:left w:val="nil"/>
                <w:bottom w:val="nil"/>
                <w:right w:val="nil"/>
                <w:between w:val="nil"/>
              </w:pBdr>
              <w:spacing w:after="0" w:line="240" w:lineRule="auto"/>
              <w:rPr>
                <w:noProof/>
                <w:color w:val="006100"/>
              </w:rPr>
            </w:pPr>
            <w:r>
              <w:rPr>
                <w:noProof/>
                <w:color w:val="000000" w:themeColor="text1"/>
              </w:rPr>
              <w:t>Intrarea în vigoare a unei legi care vizează creșterea siguranței pentru sănătatea umană și pentru starea mediului. Legea elimină barierele organizaționale și juridice care apar în calea eliminării cuprinzătoare a impactului negativ asupra mediului al zonelor postindustriale de mari dimensiuni.</w:t>
            </w:r>
            <w:r>
              <w:rPr>
                <w:noProof/>
              </w:rPr>
              <w:t xml:space="preserve"> </w:t>
            </w:r>
            <w:r>
              <w:rPr>
                <w:noProof/>
              </w:rPr>
              <w:br/>
            </w:r>
            <w:r>
              <w:rPr>
                <w:noProof/>
                <w:color w:val="000000" w:themeColor="text1"/>
              </w:rPr>
              <w:t xml:space="preserve">Este o formă de pilotaj pentru locații predefinite. </w:t>
            </w:r>
            <w:r>
              <w:rPr>
                <w:noProof/>
              </w:rPr>
              <w:br/>
            </w:r>
            <w:r>
              <w:rPr>
                <w:noProof/>
                <w:color w:val="000000" w:themeColor="text1"/>
              </w:rPr>
              <w:t>Legea prevede norme pentru patru componente independente ale câmpului (locații și domenii de aplicare diferite ale lucrărilor): 1) fosta uzină chimică "Tarnowskie Góry" din Tarnowskie Góry; 2) fosta uzină chimică "Zachem" din Bydgoszcz; 3) Fabrica "Organika-Azot" din Jaworzno; 4) fosta fabrică de vopsele "Boruta" din Zgierz.</w:t>
            </w:r>
            <w:r>
              <w:rPr>
                <w:noProof/>
              </w:rPr>
              <w:t xml:space="preserve"> </w:t>
            </w:r>
            <w:r>
              <w:rPr>
                <w:noProof/>
              </w:rPr>
              <w:br/>
            </w:r>
            <w:r>
              <w:rPr>
                <w:noProof/>
                <w:color w:val="000000" w:themeColor="text1"/>
              </w:rPr>
              <w:t>Domeniul de aplicare al proiectului include recunoașterea și inventarierea zonelor, pregătirea și evaluarea amplorii problemelor legate de reducerea impactului asupra mediului al siturilor mari dezafectate și elaborarea unei documentații cuprinzătoare privind investițiile pentru aceste zone.</w:t>
            </w:r>
          </w:p>
        </w:tc>
      </w:tr>
      <w:tr w:rsidR="00A60DDE" w14:paraId="1216B9D7" w14:textId="77777777">
        <w:trPr>
          <w:trHeight w:val="313"/>
          <w:jc w:val="center"/>
        </w:trPr>
        <w:tc>
          <w:tcPr>
            <w:tcW w:w="812" w:type="dxa"/>
            <w:shd w:val="clear" w:color="auto" w:fill="C6EFCE"/>
          </w:tcPr>
          <w:p w14:paraId="1216B9CC"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B15L</w:t>
            </w:r>
          </w:p>
        </w:tc>
        <w:tc>
          <w:tcPr>
            <w:tcW w:w="1720" w:type="dxa"/>
            <w:shd w:val="clear" w:color="auto" w:fill="C6EFCE"/>
          </w:tcPr>
          <w:p w14:paraId="1216B9CD"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B3.2 Sprijin pentru refacerea mediului și protecția împotriva substanțelor periculoase</w:t>
            </w:r>
          </w:p>
        </w:tc>
        <w:tc>
          <w:tcPr>
            <w:tcW w:w="1258" w:type="dxa"/>
            <w:shd w:val="clear" w:color="auto" w:fill="C6EFCE"/>
          </w:tcPr>
          <w:p w14:paraId="1216B9C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9CF" w14:textId="1F0E3796"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Intrarea în vigoare a actului (actelor) juridic(e) în domeniul materialelor periculoase care persistă în zonele marine ale Republicii Polone</w:t>
            </w:r>
          </w:p>
        </w:tc>
        <w:tc>
          <w:tcPr>
            <w:tcW w:w="1545" w:type="dxa"/>
            <w:shd w:val="clear" w:color="auto" w:fill="C6EFCE"/>
          </w:tcPr>
          <w:p w14:paraId="1216B9D0"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Dispoziție din actul (actele) juridic(e) care indică intrarea lor în vigoare</w:t>
            </w:r>
          </w:p>
        </w:tc>
        <w:tc>
          <w:tcPr>
            <w:tcW w:w="938" w:type="dxa"/>
            <w:shd w:val="clear" w:color="auto" w:fill="C6EFCE"/>
          </w:tcPr>
          <w:p w14:paraId="1216B9D1"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938" w:type="dxa"/>
            <w:shd w:val="clear" w:color="auto" w:fill="C6EFCE"/>
          </w:tcPr>
          <w:p w14:paraId="1216B9D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867" w:type="dxa"/>
            <w:shd w:val="clear" w:color="auto" w:fill="C6EFCE"/>
          </w:tcPr>
          <w:p w14:paraId="1216B9D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952" w:type="dxa"/>
            <w:shd w:val="clear" w:color="auto" w:fill="C6EFCE"/>
          </w:tcPr>
          <w:p w14:paraId="1216B9D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681" w:type="dxa"/>
            <w:shd w:val="clear" w:color="auto" w:fill="C6EFCE"/>
          </w:tcPr>
          <w:p w14:paraId="1216B9D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4081" w:type="dxa"/>
            <w:shd w:val="clear" w:color="auto" w:fill="C6EFCE"/>
          </w:tcPr>
          <w:p w14:paraId="1216B9D6" w14:textId="77777777" w:rsidR="00A60DDE" w:rsidRDefault="00095506">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Intrarea în vigoare a actului (actelor) juridic(e), care prevede (prevăd):</w:t>
            </w:r>
            <w:r>
              <w:rPr>
                <w:noProof/>
              </w:rPr>
              <w:t xml:space="preserve"> </w:t>
            </w:r>
            <w:r>
              <w:rPr>
                <w:noProof/>
              </w:rPr>
              <w:br/>
            </w:r>
            <w:r>
              <w:rPr>
                <w:noProof/>
                <w:color w:val="000000" w:themeColor="text1"/>
              </w:rPr>
              <w:t>- descrierea competențelor autorităților publice în chestiuni legate de eliminarea materialelor periculoase în zonele marine ale Republicii Polone;</w:t>
            </w:r>
            <w:r>
              <w:rPr>
                <w:noProof/>
              </w:rPr>
              <w:t xml:space="preserve"> </w:t>
            </w:r>
            <w:r>
              <w:rPr>
                <w:noProof/>
              </w:rPr>
              <w:br/>
            </w:r>
            <w:r>
              <w:rPr>
                <w:noProof/>
                <w:color w:val="000000" w:themeColor="text1"/>
              </w:rPr>
              <w:t>obligația de a elabora un plan anual privind materialele periculoase care persistă în zonele marine ale Republicii Polone;</w:t>
            </w:r>
            <w:r>
              <w:rPr>
                <w:noProof/>
              </w:rPr>
              <w:t xml:space="preserve"> </w:t>
            </w:r>
            <w:r>
              <w:rPr>
                <w:noProof/>
              </w:rPr>
              <w:br/>
            </w:r>
            <w:r>
              <w:rPr>
                <w:noProof/>
                <w:color w:val="000000" w:themeColor="text1"/>
              </w:rPr>
              <w:t>o definiție a materialelor periculoase scufundate, stabilirea unui registru al acestor materiale periculoase, obligația de a raporta materialele periculoase descoperite sau identificate.</w:t>
            </w:r>
          </w:p>
        </w:tc>
      </w:tr>
      <w:tr w:rsidR="00A60DDE" w14:paraId="1216B9E5" w14:textId="77777777">
        <w:trPr>
          <w:trHeight w:val="313"/>
          <w:jc w:val="center"/>
        </w:trPr>
        <w:tc>
          <w:tcPr>
            <w:tcW w:w="812" w:type="dxa"/>
            <w:shd w:val="clear" w:color="auto" w:fill="C6EFCE"/>
          </w:tcPr>
          <w:p w14:paraId="1216B9D8" w14:textId="36EB090B" w:rsidR="00A60DDE" w:rsidRDefault="00095506">
            <w:pPr>
              <w:pStyle w:val="P68B1DB1-Normal021"/>
              <w:pBdr>
                <w:top w:val="nil"/>
                <w:left w:val="nil"/>
                <w:bottom w:val="nil"/>
                <w:right w:val="nil"/>
                <w:between w:val="nil"/>
              </w:pBdr>
              <w:spacing w:after="0" w:line="240" w:lineRule="auto"/>
              <w:jc w:val="center"/>
              <w:rPr>
                <w:noProof/>
              </w:rPr>
            </w:pPr>
            <w:r>
              <w:rPr>
                <w:noProof/>
              </w:rPr>
              <w:t>B16L</w:t>
            </w:r>
          </w:p>
        </w:tc>
        <w:tc>
          <w:tcPr>
            <w:tcW w:w="1720" w:type="dxa"/>
            <w:shd w:val="clear" w:color="auto" w:fill="C6EFCE"/>
          </w:tcPr>
          <w:p w14:paraId="1216B9D9" w14:textId="77777777" w:rsidR="00A60DDE" w:rsidRDefault="00095506">
            <w:pPr>
              <w:pStyle w:val="P68B1DB1-Normal062"/>
              <w:pBdr>
                <w:top w:val="nil"/>
                <w:left w:val="nil"/>
                <w:bottom w:val="nil"/>
                <w:right w:val="nil"/>
                <w:between w:val="nil"/>
              </w:pBdr>
              <w:spacing w:after="0" w:line="240" w:lineRule="auto"/>
              <w:rPr>
                <w:noProof/>
              </w:rPr>
            </w:pPr>
            <w:r>
              <w:rPr>
                <w:noProof/>
              </w:rPr>
              <w:t>B3.2.1 Investiții în neutralizarea riscurilor și refacerea siturilor terestre și offshore</w:t>
            </w:r>
          </w:p>
        </w:tc>
        <w:tc>
          <w:tcPr>
            <w:tcW w:w="1258" w:type="dxa"/>
            <w:shd w:val="clear" w:color="auto" w:fill="C6EFCE"/>
          </w:tcPr>
          <w:p w14:paraId="1216B9DA"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Țintă</w:t>
            </w:r>
          </w:p>
        </w:tc>
        <w:tc>
          <w:tcPr>
            <w:tcW w:w="1848" w:type="dxa"/>
            <w:shd w:val="clear" w:color="auto" w:fill="C6EFCE"/>
          </w:tcPr>
          <w:p w14:paraId="1216B9DB" w14:textId="429DD208" w:rsidR="00A60DDE" w:rsidRDefault="00095506">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 xml:space="preserve">Documentația pentru investițiile legate de siturile terestre și offshore </w:t>
            </w:r>
            <w:r>
              <w:rPr>
                <w:noProof/>
              </w:rPr>
              <w:t>care sunt expuse la prezența poluanților sau a substanțelor periculoase</w:t>
            </w:r>
          </w:p>
        </w:tc>
        <w:tc>
          <w:tcPr>
            <w:tcW w:w="1545" w:type="dxa"/>
            <w:shd w:val="clear" w:color="auto" w:fill="C6EFCE"/>
          </w:tcPr>
          <w:p w14:paraId="1216B9DC"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shd w:val="clear" w:color="auto" w:fill="C6EFCE"/>
          </w:tcPr>
          <w:p w14:paraId="1216B9DD"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Număr</w:t>
            </w:r>
          </w:p>
        </w:tc>
        <w:tc>
          <w:tcPr>
            <w:tcW w:w="938" w:type="dxa"/>
            <w:shd w:val="clear" w:color="auto" w:fill="C6EFCE"/>
          </w:tcPr>
          <w:p w14:paraId="1216B9DE"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0</w:t>
            </w:r>
          </w:p>
        </w:tc>
        <w:tc>
          <w:tcPr>
            <w:tcW w:w="867" w:type="dxa"/>
            <w:shd w:val="clear" w:color="auto" w:fill="C6EFCE"/>
          </w:tcPr>
          <w:p w14:paraId="1216B9DF" w14:textId="4B5E26C8" w:rsidR="00A60DDE" w:rsidRDefault="00095506">
            <w:pPr>
              <w:pStyle w:val="P68B1DB1-Normal062"/>
              <w:pBdr>
                <w:top w:val="nil"/>
                <w:left w:val="nil"/>
                <w:bottom w:val="nil"/>
                <w:right w:val="nil"/>
                <w:between w:val="nil"/>
              </w:pBdr>
              <w:spacing w:after="0" w:line="240" w:lineRule="auto"/>
              <w:jc w:val="center"/>
              <w:rPr>
                <w:noProof/>
              </w:rPr>
            </w:pPr>
            <w:r>
              <w:rPr>
                <w:noProof/>
              </w:rPr>
              <w:t>8</w:t>
            </w:r>
          </w:p>
        </w:tc>
        <w:tc>
          <w:tcPr>
            <w:tcW w:w="952" w:type="dxa"/>
            <w:shd w:val="clear" w:color="auto" w:fill="C6EFCE"/>
          </w:tcPr>
          <w:p w14:paraId="1216B9E0"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T3</w:t>
            </w:r>
          </w:p>
        </w:tc>
        <w:tc>
          <w:tcPr>
            <w:tcW w:w="681" w:type="dxa"/>
            <w:shd w:val="clear" w:color="auto" w:fill="C6EFCE"/>
          </w:tcPr>
          <w:p w14:paraId="1216B9E1"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2026</w:t>
            </w:r>
          </w:p>
        </w:tc>
        <w:tc>
          <w:tcPr>
            <w:tcW w:w="4081" w:type="dxa"/>
            <w:shd w:val="clear" w:color="auto" w:fill="C6EFCE"/>
          </w:tcPr>
          <w:p w14:paraId="1216B9E2" w14:textId="7F773CAC" w:rsidR="00A60DDE" w:rsidRDefault="00095506">
            <w:pPr>
              <w:pStyle w:val="P68B1DB1-Normal021"/>
              <w:pBdr>
                <w:top w:val="nil"/>
                <w:left w:val="nil"/>
                <w:bottom w:val="nil"/>
                <w:right w:val="nil"/>
                <w:between w:val="nil"/>
              </w:pBdr>
              <w:spacing w:after="0" w:line="240" w:lineRule="auto"/>
              <w:rPr>
                <w:noProof/>
              </w:rPr>
            </w:pPr>
            <w:r>
              <w:rPr>
                <w:noProof/>
              </w:rPr>
              <w:t>Documentația publicată referitoare la investițiile în neutralizarea riscurilor și refacerea a cel puțin patru situri terestre predefinite și a patru situri offshore predefinite care sunt expuse la prezența poluanților sau a substanțelor periculoase:</w:t>
            </w:r>
          </w:p>
          <w:p w14:paraId="1216B9E3" w14:textId="77777777" w:rsidR="00A60DDE" w:rsidRDefault="00095506">
            <w:pPr>
              <w:pStyle w:val="P68B1DB1-Normal021"/>
              <w:pBdr>
                <w:top w:val="nil"/>
                <w:left w:val="nil"/>
                <w:bottom w:val="nil"/>
                <w:right w:val="nil"/>
                <w:between w:val="nil"/>
              </w:pBdr>
              <w:spacing w:after="0" w:line="240" w:lineRule="auto"/>
              <w:rPr>
                <w:noProof/>
              </w:rPr>
            </w:pPr>
            <w:r>
              <w:rPr>
                <w:noProof/>
              </w:rPr>
              <w:t xml:space="preserve">a) pentru fiecare amplasament terestru, o evaluare a stării mediului; și </w:t>
            </w:r>
          </w:p>
          <w:p w14:paraId="1216B9E4" w14:textId="77777777" w:rsidR="00A60DDE" w:rsidRDefault="00095506">
            <w:pPr>
              <w:pStyle w:val="P68B1DB1-Normal021"/>
              <w:pBdr>
                <w:top w:val="nil"/>
                <w:left w:val="nil"/>
                <w:bottom w:val="nil"/>
                <w:right w:val="nil"/>
                <w:between w:val="nil"/>
              </w:pBdr>
              <w:spacing w:after="0" w:line="240" w:lineRule="auto"/>
              <w:rPr>
                <w:noProof/>
                <w:color w:val="000000" w:themeColor="text1"/>
              </w:rPr>
            </w:pPr>
            <w:r>
              <w:rPr>
                <w:noProof/>
              </w:rPr>
              <w:t>pentru fiecare sit offshore, planuri de neutralizare care conțin metodele planificate pentru neutralizarea materialelor periculoase inundate, ținând seama de impactul activităților planificate și de efectele acestora asupra stării mediului marin.</w:t>
            </w:r>
          </w:p>
        </w:tc>
      </w:tr>
      <w:tr w:rsidR="00A60DDE" w14:paraId="1216B9F2" w14:textId="77777777">
        <w:trPr>
          <w:trHeight w:val="313"/>
          <w:jc w:val="center"/>
        </w:trPr>
        <w:tc>
          <w:tcPr>
            <w:tcW w:w="812" w:type="dxa"/>
            <w:tcBorders>
              <w:top w:val="single" w:sz="4" w:space="0" w:color="auto"/>
            </w:tcBorders>
            <w:shd w:val="clear" w:color="auto" w:fill="C6EFCE"/>
          </w:tcPr>
          <w:p w14:paraId="1216B9E6"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B21L</w:t>
            </w:r>
          </w:p>
        </w:tc>
        <w:tc>
          <w:tcPr>
            <w:tcW w:w="1720" w:type="dxa"/>
            <w:tcBorders>
              <w:top w:val="single" w:sz="4" w:space="0" w:color="auto"/>
            </w:tcBorders>
            <w:shd w:val="clear" w:color="auto" w:fill="C6EFCE"/>
          </w:tcPr>
          <w:p w14:paraId="1216B9E7"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B3.3 Sprijin pentru gestionarea durabilă a resurselor de apă în agricultură și în zonele rurale</w:t>
            </w:r>
          </w:p>
        </w:tc>
        <w:tc>
          <w:tcPr>
            <w:tcW w:w="1258" w:type="dxa"/>
            <w:tcBorders>
              <w:top w:val="single" w:sz="4" w:space="0" w:color="auto"/>
            </w:tcBorders>
            <w:shd w:val="clear" w:color="auto" w:fill="C6EFCE"/>
          </w:tcPr>
          <w:p w14:paraId="1216B9E8"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tcBorders>
              <w:top w:val="single" w:sz="4" w:space="0" w:color="auto"/>
            </w:tcBorders>
            <w:shd w:val="clear" w:color="auto" w:fill="C6EFCE"/>
          </w:tcPr>
          <w:p w14:paraId="1216B9E9" w14:textId="77777777" w:rsidR="00A60DDE" w:rsidRDefault="00095506">
            <w:pPr>
              <w:pStyle w:val="P68B1DB1-Normal021"/>
              <w:pBdr>
                <w:top w:val="nil"/>
                <w:left w:val="nil"/>
                <w:bottom w:val="nil"/>
                <w:right w:val="nil"/>
                <w:between w:val="nil"/>
              </w:pBdr>
              <w:spacing w:after="0" w:line="240" w:lineRule="auto"/>
              <w:rPr>
                <w:noProof/>
                <w:u w:val="single"/>
              </w:rPr>
            </w:pPr>
            <w:r>
              <w:rPr>
                <w:noProof/>
              </w:rPr>
              <w:t>Intrarea în vigoare a modificărilor legislației naționale necesare pentru îmbunătățirea condițiilor pentru o gestionare rezilientă a apei în agricultură și în zonele rurale</w:t>
            </w:r>
          </w:p>
        </w:tc>
        <w:tc>
          <w:tcPr>
            <w:tcW w:w="1545" w:type="dxa"/>
            <w:tcBorders>
              <w:top w:val="single" w:sz="4" w:space="0" w:color="auto"/>
            </w:tcBorders>
            <w:shd w:val="clear" w:color="auto" w:fill="C6EFCE"/>
          </w:tcPr>
          <w:p w14:paraId="1216B9EA"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amendamente care indică intrarea în vigoare</w:t>
            </w:r>
          </w:p>
        </w:tc>
        <w:tc>
          <w:tcPr>
            <w:tcW w:w="938" w:type="dxa"/>
            <w:tcBorders>
              <w:top w:val="single" w:sz="4" w:space="0" w:color="auto"/>
            </w:tcBorders>
            <w:shd w:val="clear" w:color="auto" w:fill="C6EFCE"/>
          </w:tcPr>
          <w:p w14:paraId="1216B9E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tcBorders>
              <w:top w:val="single" w:sz="4" w:space="0" w:color="auto"/>
            </w:tcBorders>
            <w:shd w:val="clear" w:color="auto" w:fill="C6EFCE"/>
          </w:tcPr>
          <w:p w14:paraId="1216B9E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tcBorders>
              <w:top w:val="single" w:sz="4" w:space="0" w:color="auto"/>
            </w:tcBorders>
            <w:shd w:val="clear" w:color="auto" w:fill="C6EFCE"/>
          </w:tcPr>
          <w:p w14:paraId="1216B9ED"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tcBorders>
              <w:top w:val="single" w:sz="4" w:space="0" w:color="auto"/>
            </w:tcBorders>
            <w:shd w:val="clear" w:color="auto" w:fill="C6EFCE"/>
          </w:tcPr>
          <w:p w14:paraId="1216B9EE"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tcBorders>
              <w:top w:val="single" w:sz="4" w:space="0" w:color="auto"/>
            </w:tcBorders>
            <w:shd w:val="clear" w:color="auto" w:fill="C6EFCE"/>
          </w:tcPr>
          <w:p w14:paraId="1216B9EF"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tcBorders>
              <w:top w:val="single" w:sz="4" w:space="0" w:color="auto"/>
            </w:tcBorders>
            <w:shd w:val="clear" w:color="auto" w:fill="C6EFCE"/>
          </w:tcPr>
          <w:p w14:paraId="1216B9F0" w14:textId="0575D9ED"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Intrarea în vigoare a modificărilor care contribuie la creșterea rezilienței agriculturii la secetă și la prevenirea inundațiilor în zonele agricole; îmbunătățirea eficienței utilizării apei prin reglementarea corespunzătoare a relațiilor cu apa în zonele agricole și reducerea scurgerilor de apă; și creșterea retenției de apă. Modificările respectă cerințele prevăzute în Orientările tehnice de „a nu prejudicia în mod semnificativ” (2021/C 58/01), în special, asigură conformitatea cu legislația UE în domeniul mediului, inclusiv cu Directiva EIM și cu Directiva-cadru privind apa. </w:t>
            </w:r>
          </w:p>
          <w:p w14:paraId="1216B9F1" w14:textId="77777777" w:rsidR="00A60DDE" w:rsidRDefault="00095506">
            <w:pPr>
              <w:pStyle w:val="P68B1DB1-Normal062"/>
              <w:pBdr>
                <w:top w:val="nil"/>
                <w:left w:val="nil"/>
                <w:bottom w:val="nil"/>
                <w:right w:val="nil"/>
                <w:between w:val="nil"/>
              </w:pBdr>
              <w:spacing w:after="0" w:line="240" w:lineRule="auto"/>
              <w:rPr>
                <w:noProof/>
              </w:rPr>
            </w:pPr>
            <w:r>
              <w:rPr>
                <w:noProof/>
              </w:rPr>
              <w:t>Modificările nu conduc la nicio deteriorare a nivelului de conformitate cu legislația UE în domeniul mediului în ceea ce privește investițiile care sunt considerate investiții semnificative sau potențial semnificative în temeiul regulamentului Consiliului de Miniștri privind proiectele care ar putea avea un impact semnificativ asupra mediului și investițiile în zonele Natura 2000 sau care afectează aceste zone. În plus, modificările nu modifică normele obligatorii în prezent privind aportul de apă.</w:t>
            </w:r>
          </w:p>
        </w:tc>
      </w:tr>
      <w:tr w:rsidR="00A60DDE" w14:paraId="1216BA00" w14:textId="77777777">
        <w:trPr>
          <w:trHeight w:val="313"/>
          <w:jc w:val="center"/>
        </w:trPr>
        <w:tc>
          <w:tcPr>
            <w:tcW w:w="812" w:type="dxa"/>
            <w:shd w:val="clear" w:color="auto" w:fill="C6EFCE"/>
          </w:tcPr>
          <w:p w14:paraId="1216B9F3"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B22L</w:t>
            </w:r>
          </w:p>
        </w:tc>
        <w:tc>
          <w:tcPr>
            <w:tcW w:w="1720" w:type="dxa"/>
            <w:shd w:val="clear" w:color="auto" w:fill="C6EFCE"/>
          </w:tcPr>
          <w:p w14:paraId="1216B9F4"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B3.3.1 Investiții în creșterea potențialului gestionării durabile a apei în zonele rurale</w:t>
            </w:r>
          </w:p>
        </w:tc>
        <w:tc>
          <w:tcPr>
            <w:tcW w:w="1258" w:type="dxa"/>
            <w:shd w:val="clear" w:color="auto" w:fill="C6EFCE"/>
          </w:tcPr>
          <w:p w14:paraId="1216B9F5"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F6"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Adoptarea criteriilor de selecție pentru cererile de propuneri </w:t>
            </w:r>
          </w:p>
        </w:tc>
        <w:tc>
          <w:tcPr>
            <w:tcW w:w="1545" w:type="dxa"/>
            <w:shd w:val="clear" w:color="auto" w:fill="C6EFCE"/>
          </w:tcPr>
          <w:p w14:paraId="1216B9F7"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Adoptarea criteriilor de către Ministerul Agriculturii și Dezvoltării Rurale</w:t>
            </w:r>
          </w:p>
        </w:tc>
        <w:tc>
          <w:tcPr>
            <w:tcW w:w="938" w:type="dxa"/>
            <w:shd w:val="clear" w:color="auto" w:fill="C6EFCE"/>
          </w:tcPr>
          <w:p w14:paraId="1216B9F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F9"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F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FB"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shd w:val="clear" w:color="auto" w:fill="C6EFCE"/>
          </w:tcPr>
          <w:p w14:paraId="1216B9FC"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shd w:val="clear" w:color="auto" w:fill="C6EFCE"/>
          </w:tcPr>
          <w:p w14:paraId="1216B9FD"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 xml:space="preserve">Investițiile sunt selectate prin intermediul unor cereri de propuneri specifice, pe baza unor criterii de mediu. </w:t>
            </w:r>
          </w:p>
          <w:p w14:paraId="1216B9FE"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Proiectul contribuie la creșterea rezistenței agriculturii la secetă și la prevenirea inundațiilor în zonele agricole; îmbunătățirea eficienței utilizării apei prin reglementarea corespunzătoare a relațiilor cu apa în zonele agricole și reducerea scurgerilor de apă; și creșterea retenției de apă, cu condiția ca nevoia și natura acestora să fie justificate în mod corespunzător.</w:t>
            </w:r>
          </w:p>
          <w:p w14:paraId="1216B9FF" w14:textId="1C5F81C1" w:rsidR="00A60DDE" w:rsidRDefault="00095506">
            <w:pPr>
              <w:pStyle w:val="P68B1DB1-Normal062"/>
              <w:pBdr>
                <w:top w:val="nil"/>
                <w:left w:val="nil"/>
                <w:bottom w:val="nil"/>
                <w:right w:val="nil"/>
                <w:between w:val="nil"/>
              </w:pBdr>
              <w:spacing w:after="0" w:line="240" w:lineRule="auto"/>
              <w:rPr>
                <w:noProof/>
              </w:rPr>
            </w:pPr>
            <w:r>
              <w:rPr>
                <w:noProof/>
              </w:rPr>
              <w:t>Se acordă prioritate soluțiilor bazate pe natură sau altor soluții reziliente la schimbările climatice. Se sprijină numai proiectele care nu conduc la o deteriorare a stării apelor de suprafață și a apelor subterane și care nu împiedică îmbunătățirea stării ecologice sau a potențialului ecologic al corpurilor de apă afectate.</w:t>
            </w:r>
          </w:p>
        </w:tc>
      </w:tr>
      <w:tr w:rsidR="00A60DDE" w14:paraId="1216BA0C" w14:textId="77777777">
        <w:trPr>
          <w:trHeight w:val="313"/>
          <w:jc w:val="center"/>
        </w:trPr>
        <w:tc>
          <w:tcPr>
            <w:tcW w:w="812" w:type="dxa"/>
            <w:shd w:val="clear" w:color="auto" w:fill="C6EFCE"/>
          </w:tcPr>
          <w:p w14:paraId="1216BA01"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B24L</w:t>
            </w:r>
          </w:p>
        </w:tc>
        <w:tc>
          <w:tcPr>
            <w:tcW w:w="1720" w:type="dxa"/>
            <w:shd w:val="clear" w:color="auto" w:fill="C6EFCE"/>
          </w:tcPr>
          <w:p w14:paraId="1216BA02"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B3.4 Cadrul favorabil pentru investițiile în tranziția verde în zonele urbane</w:t>
            </w:r>
          </w:p>
        </w:tc>
        <w:tc>
          <w:tcPr>
            <w:tcW w:w="1258" w:type="dxa"/>
            <w:shd w:val="clear" w:color="auto" w:fill="C6EFCE"/>
          </w:tcPr>
          <w:p w14:paraId="1216BA0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A04" w14:textId="170198EA"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Intrarea în vigoare a unei legi care vizează sprijinirea capacității zonelor urbane de a investi în tranziția verde</w:t>
            </w:r>
          </w:p>
        </w:tc>
        <w:tc>
          <w:tcPr>
            <w:tcW w:w="1545" w:type="dxa"/>
            <w:shd w:val="clear" w:color="auto" w:fill="C6EFCE"/>
          </w:tcPr>
          <w:p w14:paraId="1216BA05"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Dispoziție legală care indică intrarea sa în vigoare</w:t>
            </w:r>
          </w:p>
        </w:tc>
        <w:tc>
          <w:tcPr>
            <w:tcW w:w="938" w:type="dxa"/>
            <w:shd w:val="clear" w:color="auto" w:fill="C6EFCE"/>
          </w:tcPr>
          <w:p w14:paraId="1216BA0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38" w:type="dxa"/>
            <w:shd w:val="clear" w:color="auto" w:fill="C6EFCE"/>
          </w:tcPr>
          <w:p w14:paraId="1216BA0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67" w:type="dxa"/>
            <w:shd w:val="clear" w:color="auto" w:fill="C6EFCE"/>
          </w:tcPr>
          <w:p w14:paraId="1216BA0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52" w:type="dxa"/>
            <w:shd w:val="clear" w:color="auto" w:fill="C6EFCE"/>
          </w:tcPr>
          <w:p w14:paraId="1216BA0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681" w:type="dxa"/>
            <w:shd w:val="clear" w:color="auto" w:fill="C6EFCE"/>
          </w:tcPr>
          <w:p w14:paraId="1216BA0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4081" w:type="dxa"/>
            <w:shd w:val="clear" w:color="auto" w:fill="C6EFCE"/>
          </w:tcPr>
          <w:p w14:paraId="1216BA0B" w14:textId="77777777" w:rsidR="00A60DDE" w:rsidRDefault="00095506">
            <w:pPr>
              <w:pStyle w:val="P68B1DB1-Normal062"/>
              <w:spacing w:after="0" w:line="240" w:lineRule="auto"/>
              <w:rPr>
                <w:rFonts w:eastAsia="Times New Roman"/>
                <w:noProof/>
              </w:rPr>
            </w:pPr>
            <w:r>
              <w:rPr>
                <w:noProof/>
              </w:rPr>
              <w:t>Intrarea în vigoare a unei legi care vizează sprijinirea capacității zonelor urbane de a investi în tranziția verde. Acesta se asigură că aspectele legate de durabilitate sunt integrate în procedurile de planificare urbană. Comisia se asigură că părțile interesate sunt consultate în cadrul acestor proceduri. Acesta oferă sprijin în materie de capacitate administrațiilor locale pentru punerea în aplicare a unor astfel de proiecte. Legea poate prevedea o perioadă de tranziție rezonabilă pentru aplicarea efectivă a anumitor obligații de adaptare urbană.</w:t>
            </w:r>
          </w:p>
        </w:tc>
      </w:tr>
      <w:tr w:rsidR="00A60DDE" w14:paraId="1216BA1A" w14:textId="77777777">
        <w:trPr>
          <w:trHeight w:val="313"/>
          <w:jc w:val="center"/>
        </w:trPr>
        <w:tc>
          <w:tcPr>
            <w:tcW w:w="812" w:type="dxa"/>
            <w:shd w:val="clear" w:color="auto" w:fill="C6EFCE"/>
          </w:tcPr>
          <w:p w14:paraId="1216BA0D"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B25L</w:t>
            </w:r>
          </w:p>
        </w:tc>
        <w:tc>
          <w:tcPr>
            <w:tcW w:w="1720" w:type="dxa"/>
            <w:shd w:val="clear" w:color="auto" w:fill="C6EFCE"/>
          </w:tcPr>
          <w:p w14:paraId="1216BA0E"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B3.4 Cadrul favorabil pentru investițiile în tranziția verde în zonele urbane</w:t>
            </w:r>
          </w:p>
        </w:tc>
        <w:tc>
          <w:tcPr>
            <w:tcW w:w="1258" w:type="dxa"/>
            <w:shd w:val="clear" w:color="auto" w:fill="C6EFCE"/>
          </w:tcPr>
          <w:p w14:paraId="1216BA0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A10"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Instrumentul pentru transformarea urbană ecologică</w:t>
            </w:r>
          </w:p>
        </w:tc>
        <w:tc>
          <w:tcPr>
            <w:tcW w:w="1545" w:type="dxa"/>
            <w:shd w:val="clear" w:color="auto" w:fill="C6EFCE"/>
          </w:tcPr>
          <w:p w14:paraId="1216BA11" w14:textId="77777777" w:rsidR="00A60DDE" w:rsidRDefault="00095506">
            <w:pPr>
              <w:pStyle w:val="P68B1DB1-Normal021"/>
              <w:pBdr>
                <w:top w:val="nil"/>
                <w:left w:val="nil"/>
                <w:bottom w:val="nil"/>
                <w:right w:val="nil"/>
                <w:between w:val="nil"/>
              </w:pBdr>
              <w:spacing w:after="0" w:line="240" w:lineRule="auto"/>
              <w:rPr>
                <w:rFonts w:eastAsia="Times New Roman"/>
                <w:noProof/>
                <w:color w:val="006100"/>
              </w:rPr>
            </w:pPr>
            <w:r>
              <w:rPr>
                <w:noProof/>
                <w:color w:val="000000"/>
              </w:rPr>
              <w:t>Instituirea Instrumentului pentru transformarea urbană ecologică și adoptarea normelor și procedurilor sale detaliate în consultare cu toate părțile interesate</w:t>
            </w:r>
            <w:r>
              <w:rPr>
                <w:noProof/>
                <w:color w:val="FF0000"/>
              </w:rPr>
              <w:t xml:space="preserve"> </w:t>
            </w:r>
          </w:p>
        </w:tc>
        <w:tc>
          <w:tcPr>
            <w:tcW w:w="938" w:type="dxa"/>
            <w:shd w:val="clear" w:color="auto" w:fill="C6EFCE"/>
          </w:tcPr>
          <w:p w14:paraId="1216BA1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38" w:type="dxa"/>
            <w:shd w:val="clear" w:color="auto" w:fill="C6EFCE"/>
          </w:tcPr>
          <w:p w14:paraId="1216BA1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67" w:type="dxa"/>
            <w:shd w:val="clear" w:color="auto" w:fill="C6EFCE"/>
          </w:tcPr>
          <w:p w14:paraId="1216BA1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52" w:type="dxa"/>
            <w:shd w:val="clear" w:color="auto" w:fill="C6EFCE"/>
          </w:tcPr>
          <w:p w14:paraId="1216BA1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681" w:type="dxa"/>
            <w:shd w:val="clear" w:color="auto" w:fill="C6EFCE"/>
          </w:tcPr>
          <w:p w14:paraId="1216BA1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2022</w:t>
            </w:r>
          </w:p>
        </w:tc>
        <w:tc>
          <w:tcPr>
            <w:tcW w:w="4081" w:type="dxa"/>
            <w:shd w:val="clear" w:color="auto" w:fill="C6EFCE"/>
          </w:tcPr>
          <w:p w14:paraId="1216BA17" w14:textId="77777777" w:rsidR="00A60DDE" w:rsidRDefault="00095506">
            <w:pPr>
              <w:pStyle w:val="P68B1DB1-Normal34"/>
              <w:spacing w:after="0" w:line="257" w:lineRule="auto"/>
              <w:rPr>
                <w:rFonts w:eastAsia="Times New Roman"/>
                <w:noProof/>
                <w:color w:val="006100"/>
              </w:rPr>
            </w:pPr>
            <w:r>
              <w:rPr>
                <w:noProof/>
              </w:rPr>
              <w:t>Instituirea Instrumentului pentru tranziția urbană verde pentru a sprijini (a) transformarea verde a orașelor; și (b) investiții în digitalizarea verde a orașelor, cu proceduri adoptate. Instrumentul de tranziție urbană verde este în conformitate cu Orientările tehnice privind principiul de „a nu aduce prejudicii semnificative” (2021/C 58/01). Pentru a se asigura că măsura respectă Orientările tehnice de „a nu prejudicia în mod semnificativ” (2021/C 58/01), criteriile de eligibilitate pentru proiecte exclud următoarea listă de activități: (i) activitățile legate de combustibilii fosili, inclusiv utilizarea în aval; (ii) activitățile din cadrul schemei UE de comercializare a certificatelor de emisii (ETS) care generează emisii de gaze cu efect de seră preconizate care nu sunt mai mici decât valorile de referință relevante; (iii) activități legate de depozitele de deșeuri, incineratoare și stații de tratare mecano-biologică; și (iv) activități în care eliminarea pe termen lung a deșeurilor poate dăuna mediului. Mandatul prevede, de asemenea, că pot fi selectate numai activitățile care respectă legislația UE și națională relevantă în domeniul mediului.</w:t>
            </w:r>
          </w:p>
          <w:p w14:paraId="1216BA18" w14:textId="77777777" w:rsidR="00A60DDE" w:rsidRDefault="00A60DDE">
            <w:pPr>
              <w:spacing w:after="0" w:line="257" w:lineRule="auto"/>
              <w:rPr>
                <w:rFonts w:ascii="Times New Roman" w:eastAsia="Times New Roman" w:hAnsi="Times New Roman" w:cs="Times New Roman"/>
                <w:noProof/>
                <w:color w:val="000000" w:themeColor="text1"/>
                <w:sz w:val="18"/>
                <w:szCs w:val="18"/>
              </w:rPr>
            </w:pPr>
          </w:p>
          <w:p w14:paraId="1216BA19" w14:textId="77777777" w:rsidR="00A60DDE" w:rsidRDefault="00095506">
            <w:pPr>
              <w:pStyle w:val="P68B1DB1-Normal34"/>
              <w:spacing w:after="0" w:line="257" w:lineRule="auto"/>
              <w:rPr>
                <w:rFonts w:eastAsia="Times New Roman"/>
                <w:noProof/>
              </w:rPr>
            </w:pPr>
            <w:r>
              <w:rPr>
                <w:noProof/>
              </w:rPr>
              <w:t>Instrumentul de transformare urbană verde se asigură că toate restituirile (și anume dobânzile aferente împrumutului, randamentul capitalurilor proprii sau principalul rambursat, minus costurile asociate) legate de acest instrument sunt utilizate pentru aceleași obiective de politică, inclusiv după 2026, sau pentru rambursarea împrumutului MRR.</w:t>
            </w:r>
          </w:p>
        </w:tc>
      </w:tr>
      <w:tr w:rsidR="00A60DDE" w14:paraId="1216BA26" w14:textId="77777777">
        <w:trPr>
          <w:trHeight w:val="313"/>
          <w:jc w:val="center"/>
        </w:trPr>
        <w:tc>
          <w:tcPr>
            <w:tcW w:w="812" w:type="dxa"/>
            <w:shd w:val="clear" w:color="auto" w:fill="C6EFCE"/>
          </w:tcPr>
          <w:p w14:paraId="1216BA1B" w14:textId="77777777" w:rsidR="00A60DDE" w:rsidRDefault="00095506">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B26L</w:t>
            </w:r>
          </w:p>
        </w:tc>
        <w:tc>
          <w:tcPr>
            <w:tcW w:w="1720" w:type="dxa"/>
            <w:shd w:val="clear" w:color="auto" w:fill="C6EFCE"/>
          </w:tcPr>
          <w:p w14:paraId="1216BA1C" w14:textId="77777777"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B3.4.1 Investiții într-o transformare ecologică a orașelor</w:t>
            </w:r>
          </w:p>
        </w:tc>
        <w:tc>
          <w:tcPr>
            <w:tcW w:w="1258" w:type="dxa"/>
            <w:shd w:val="clear" w:color="auto" w:fill="C6EFCE"/>
          </w:tcPr>
          <w:p w14:paraId="1216BA1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1848" w:type="dxa"/>
            <w:shd w:val="clear" w:color="auto" w:fill="C6EFCE"/>
          </w:tcPr>
          <w:p w14:paraId="1216BA1E" w14:textId="33540DA5"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T1 - Semnarea contractelor de credit</w:t>
            </w:r>
          </w:p>
        </w:tc>
        <w:tc>
          <w:tcPr>
            <w:tcW w:w="1545" w:type="dxa"/>
            <w:shd w:val="clear" w:color="auto" w:fill="C6EFCE"/>
          </w:tcPr>
          <w:p w14:paraId="1216BA1F"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38" w:type="dxa"/>
            <w:shd w:val="clear" w:color="auto" w:fill="C6EFCE"/>
          </w:tcPr>
          <w:p w14:paraId="1216BA2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938" w:type="dxa"/>
            <w:shd w:val="clear" w:color="auto" w:fill="C6EFCE"/>
          </w:tcPr>
          <w:p w14:paraId="1216BA21"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867" w:type="dxa"/>
            <w:shd w:val="clear" w:color="auto" w:fill="C6EFCE"/>
          </w:tcPr>
          <w:p w14:paraId="1216BA22" w14:textId="77777777" w:rsidR="00A60DDE" w:rsidRDefault="00095506">
            <w:pPr>
              <w:pStyle w:val="P68B1DB1-Normal062"/>
              <w:spacing w:after="0" w:line="240" w:lineRule="auto"/>
              <w:jc w:val="center"/>
              <w:rPr>
                <w:rFonts w:eastAsia="Times New Roman"/>
                <w:noProof/>
                <w:color w:val="000000" w:themeColor="text1"/>
              </w:rPr>
            </w:pPr>
            <w:r>
              <w:rPr>
                <w:noProof/>
              </w:rPr>
              <w:t>201</w:t>
            </w:r>
          </w:p>
        </w:tc>
        <w:tc>
          <w:tcPr>
            <w:tcW w:w="952" w:type="dxa"/>
            <w:shd w:val="clear" w:color="auto" w:fill="C6EFCE"/>
          </w:tcPr>
          <w:p w14:paraId="1216BA2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T4</w:t>
            </w:r>
          </w:p>
        </w:tc>
        <w:tc>
          <w:tcPr>
            <w:tcW w:w="681" w:type="dxa"/>
            <w:shd w:val="clear" w:color="auto" w:fill="C6EFCE"/>
          </w:tcPr>
          <w:p w14:paraId="1216BA2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2024</w:t>
            </w:r>
          </w:p>
        </w:tc>
        <w:tc>
          <w:tcPr>
            <w:tcW w:w="4081" w:type="dxa"/>
            <w:shd w:val="clear" w:color="auto" w:fill="C6EFCE"/>
          </w:tcPr>
          <w:p w14:paraId="1216BA25" w14:textId="77777777" w:rsidR="00A60DDE" w:rsidRDefault="00095506">
            <w:pPr>
              <w:pStyle w:val="P68B1DB1-Normal34"/>
              <w:spacing w:after="0" w:line="257" w:lineRule="auto"/>
              <w:rPr>
                <w:noProof/>
              </w:rPr>
            </w:pPr>
            <w:r>
              <w:rPr>
                <w:noProof/>
              </w:rPr>
              <w:t>201 contracte de împrumut semnate în cadrul Instrumentului de transformare urbană verde.</w:t>
            </w:r>
          </w:p>
        </w:tc>
      </w:tr>
      <w:tr w:rsidR="00A60DDE" w14:paraId="1216BA32"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7"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B27aL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8" w14:textId="77777777"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B3.4.1 Investiții într-o transformare ecologică a orașelor</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A" w14:textId="3A9C351B" w:rsidR="00A60DDE" w:rsidRDefault="00095506">
            <w:pPr>
              <w:pStyle w:val="P68B1DB1-Normal062"/>
              <w:spacing w:line="240" w:lineRule="auto"/>
              <w:rPr>
                <w:noProof/>
                <w:color w:val="000000" w:themeColor="text1"/>
              </w:rPr>
            </w:pPr>
            <w:r>
              <w:rPr>
                <w:noProof/>
              </w:rPr>
              <w:t>T2 – Investiții în tranziția verde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B" w14:textId="77777777" w:rsidR="00A60DDE" w:rsidRDefault="00A60DDE">
            <w:pPr>
              <w:pStyle w:val="Normal0"/>
              <w:spacing w:line="240" w:lineRule="auto"/>
              <w:rPr>
                <w:rFonts w:ascii="Times New Roman" w:eastAsia="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C" w14:textId="77777777" w:rsidR="00A60DDE" w:rsidRDefault="00095506">
            <w:pPr>
              <w:pStyle w:val="P68B1DB1-Normal062"/>
              <w:spacing w:line="240" w:lineRule="auto"/>
              <w:jc w:val="center"/>
              <w:rPr>
                <w:rFonts w:eastAsia="Times New Roman"/>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D" w14:textId="77777777" w:rsidR="00A60DDE" w:rsidRDefault="00095506">
            <w:pPr>
              <w:pStyle w:val="P68B1DB1-Normal062"/>
              <w:spacing w:line="240" w:lineRule="auto"/>
              <w:jc w:val="center"/>
              <w:rPr>
                <w:rFonts w:eastAsia="Times New Roman"/>
                <w:noProof/>
                <w:color w:val="000000" w:themeColor="text1"/>
              </w:rPr>
            </w:pPr>
            <w:r>
              <w:rPr>
                <w:noProof/>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E" w14:textId="77777777" w:rsidR="00A60DDE" w:rsidRDefault="00095506">
            <w:pPr>
              <w:pStyle w:val="P68B1DB1-Normal062"/>
              <w:spacing w:line="240" w:lineRule="auto"/>
              <w:jc w:val="center"/>
              <w:rPr>
                <w:rFonts w:eastAsia="Times New Roman"/>
                <w:noProof/>
                <w:color w:val="000000" w:themeColor="text1"/>
              </w:rPr>
            </w:pPr>
            <w:r>
              <w:rPr>
                <w:noProof/>
              </w:rPr>
              <w:t>1 033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F" w14:textId="77777777" w:rsidR="00A60DDE" w:rsidRDefault="00095506">
            <w:pPr>
              <w:pStyle w:val="P68B1DB1-Normal062"/>
              <w:spacing w:line="240" w:lineRule="auto"/>
              <w:jc w:val="center"/>
              <w:rPr>
                <w:rFonts w:eastAsia="Times New Roman"/>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0" w14:textId="77777777" w:rsidR="00A60DDE" w:rsidRDefault="00095506">
            <w:pPr>
              <w:pStyle w:val="P68B1DB1-Normal062"/>
              <w:spacing w:line="240" w:lineRule="auto"/>
              <w:jc w:val="center"/>
              <w:rPr>
                <w:rFonts w:eastAsia="Times New Roman"/>
                <w:noProof/>
                <w:color w:val="000000" w:themeColor="text1"/>
              </w:rPr>
            </w:pPr>
            <w:r>
              <w:rPr>
                <w:noProof/>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1" w14:textId="41405DF0" w:rsidR="00A60DDE" w:rsidRDefault="00095506">
            <w:pPr>
              <w:pStyle w:val="P68B1DB1-Normal34"/>
              <w:spacing w:after="0" w:line="240" w:lineRule="auto"/>
              <w:rPr>
                <w:noProof/>
              </w:rPr>
            </w:pPr>
            <w:r>
              <w:rPr>
                <w:noProof/>
              </w:rPr>
              <w:t>Permisul de ocupare, notificarea finalizării, protocolul de recepție finală, raportul de livrare sau un document echivalent se eliberează pentru 1 033 de proiecte.</w:t>
            </w:r>
          </w:p>
        </w:tc>
      </w:tr>
      <w:tr w:rsidR="00A60DDE" w14:paraId="1216BA3E" w14:textId="77777777">
        <w:trPr>
          <w:trHeight w:val="313"/>
          <w:jc w:val="center"/>
        </w:trPr>
        <w:tc>
          <w:tcPr>
            <w:tcW w:w="812" w:type="dxa"/>
            <w:shd w:val="clear" w:color="auto" w:fill="C6EFCE"/>
          </w:tcPr>
          <w:p w14:paraId="1216BA33" w14:textId="77777777" w:rsidR="00A60DDE" w:rsidRDefault="00095506">
            <w:pPr>
              <w:pStyle w:val="P68B1DB1-Normal021"/>
              <w:pBdr>
                <w:top w:val="nil"/>
                <w:left w:val="nil"/>
                <w:bottom w:val="nil"/>
                <w:right w:val="nil"/>
                <w:between w:val="nil"/>
              </w:pBdr>
              <w:spacing w:after="0" w:line="240" w:lineRule="auto"/>
              <w:jc w:val="center"/>
              <w:rPr>
                <w:b/>
                <w:noProof/>
                <w:color w:val="000000"/>
              </w:rPr>
            </w:pPr>
            <w:r>
              <w:rPr>
                <w:noProof/>
              </w:rPr>
              <w:t>B28L</w:t>
            </w:r>
          </w:p>
        </w:tc>
        <w:tc>
          <w:tcPr>
            <w:tcW w:w="1720" w:type="dxa"/>
            <w:shd w:val="clear" w:color="auto" w:fill="C6EFCE"/>
          </w:tcPr>
          <w:p w14:paraId="1216BA34" w14:textId="77777777" w:rsidR="00A60DDE" w:rsidRDefault="00095506">
            <w:pPr>
              <w:pStyle w:val="P68B1DB1-Normal062"/>
              <w:pBdr>
                <w:top w:val="nil"/>
                <w:left w:val="nil"/>
                <w:bottom w:val="nil"/>
                <w:right w:val="nil"/>
                <w:between w:val="nil"/>
              </w:pBdr>
              <w:spacing w:after="0" w:line="240" w:lineRule="auto"/>
              <w:rPr>
                <w:noProof/>
              </w:rPr>
            </w:pPr>
            <w:r>
              <w:rPr>
                <w:noProof/>
              </w:rPr>
              <w:t>B3.5 Reforma construcției de locuințe pentru persoanele cu venituri mici și medii, ținând seama de creșterea eficienței energetice a clădirilor</w:t>
            </w:r>
          </w:p>
        </w:tc>
        <w:tc>
          <w:tcPr>
            <w:tcW w:w="1258" w:type="dxa"/>
            <w:shd w:val="clear" w:color="auto" w:fill="C6EFCE"/>
          </w:tcPr>
          <w:p w14:paraId="1216BA35"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Etapa de referință</w:t>
            </w:r>
          </w:p>
        </w:tc>
        <w:tc>
          <w:tcPr>
            <w:tcW w:w="1848" w:type="dxa"/>
            <w:shd w:val="clear" w:color="auto" w:fill="C6EFCE"/>
          </w:tcPr>
          <w:p w14:paraId="1216BA36" w14:textId="0448803F"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Intrarea în vigoare a unui act de modificare a Legii din 8 decembrie 2006 privind sprijinul financiar pentru crearea de spații rezidențiale pentru închiriere, locuințe protejate, adăposturi de noapte, adăposturi pentru persoanele fără adăpost, centrale termice și spații temporare și modificările rezultate în alte acte</w:t>
            </w:r>
          </w:p>
        </w:tc>
        <w:tc>
          <w:tcPr>
            <w:tcW w:w="1545" w:type="dxa"/>
            <w:shd w:val="clear" w:color="auto" w:fill="C6EFCE"/>
          </w:tcPr>
          <w:p w14:paraId="1216BA37" w14:textId="335A3B90" w:rsidR="00A60DDE" w:rsidRDefault="00095506">
            <w:pPr>
              <w:pStyle w:val="P68B1DB1-Normal024"/>
              <w:pBdr>
                <w:top w:val="nil"/>
                <w:left w:val="nil"/>
                <w:bottom w:val="nil"/>
                <w:right w:val="nil"/>
                <w:between w:val="nil"/>
              </w:pBdr>
              <w:spacing w:after="0" w:line="240" w:lineRule="auto"/>
              <w:rPr>
                <w:rFonts w:ascii="Times New Roman" w:hAnsi="Times New Roman" w:cs="Times New Roman"/>
                <w:noProof/>
                <w:color w:val="000000"/>
              </w:rPr>
            </w:pPr>
            <w:r>
              <w:rPr>
                <w:rFonts w:ascii="Times New Roman" w:hAnsi="Times New Roman" w:cs="Times New Roman"/>
                <w:noProof/>
                <w:color w:val="000000" w:themeColor="text1"/>
              </w:rPr>
              <w:t>Dispoziție din actul de modificare a Legii din 8</w:t>
            </w:r>
            <w:r>
              <w:rPr>
                <w:rFonts w:ascii="Times New Roman" w:hAnsi="Times New Roman"/>
                <w:noProof/>
              </w:rPr>
              <w:t> </w:t>
            </w:r>
            <w:r>
              <w:rPr>
                <w:rFonts w:ascii="Times New Roman" w:hAnsi="Times New Roman" w:cs="Times New Roman"/>
                <w:noProof/>
                <w:color w:val="000000" w:themeColor="text1"/>
              </w:rPr>
              <w:t>decembrie</w:t>
            </w:r>
            <w:r>
              <w:rPr>
                <w:rFonts w:ascii="Times New Roman" w:hAnsi="Times New Roman"/>
                <w:noProof/>
              </w:rPr>
              <w:t> </w:t>
            </w:r>
            <w:r>
              <w:rPr>
                <w:rFonts w:ascii="Times New Roman" w:hAnsi="Times New Roman" w:cs="Times New Roman"/>
                <w:noProof/>
                <w:color w:val="000000" w:themeColor="text1"/>
              </w:rPr>
              <w:t>2006 privind sprijinul financiar pentru crearea de spații rezidențiale pentru închiriere, locuințe protejate, adăposturi de noapte, adăposturi pentru persoanele fără adăpost, centrale termice și spații temporare și modificările rezultate în alte acte care indică intrarea sa în vigoare</w:t>
            </w:r>
          </w:p>
        </w:tc>
        <w:tc>
          <w:tcPr>
            <w:tcW w:w="938" w:type="dxa"/>
            <w:shd w:val="clear" w:color="auto" w:fill="C6EFCE"/>
          </w:tcPr>
          <w:p w14:paraId="1216BA3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38" w:type="dxa"/>
            <w:shd w:val="clear" w:color="auto" w:fill="C6EFCE"/>
          </w:tcPr>
          <w:p w14:paraId="1216BA39"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67" w:type="dxa"/>
            <w:shd w:val="clear" w:color="auto" w:fill="C6EFCE"/>
          </w:tcPr>
          <w:p w14:paraId="1216BA3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52" w:type="dxa"/>
            <w:shd w:val="clear" w:color="auto" w:fill="C6EFCE"/>
          </w:tcPr>
          <w:p w14:paraId="1216BA3B"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T2</w:t>
            </w:r>
          </w:p>
        </w:tc>
        <w:tc>
          <w:tcPr>
            <w:tcW w:w="681" w:type="dxa"/>
            <w:shd w:val="clear" w:color="auto" w:fill="C6EFCE"/>
          </w:tcPr>
          <w:p w14:paraId="1216BA3C"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2022</w:t>
            </w:r>
          </w:p>
        </w:tc>
        <w:tc>
          <w:tcPr>
            <w:tcW w:w="4081" w:type="dxa"/>
            <w:shd w:val="clear" w:color="auto" w:fill="C6EFCE"/>
          </w:tcPr>
          <w:p w14:paraId="1216BA3D"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Modificarea actului prevede creșterea sprijinului pentru investițiile în construcția de clădiri cu un standard energetic mai ridicat cu 20 % decât clădirile al căror consum de energie este aproape egal cu zero. Sprijinul se majorează în comparație cu locuințele standard de la 80 % la 95 % pentru clădirile destinate gospodăriilor cu venituri mici și de la 35 % la 60 % pentru gospodăriile cu venituri medii. Aceste dispoziții se aplică oricărei surse de sprijin public.</w:t>
            </w:r>
          </w:p>
        </w:tc>
      </w:tr>
      <w:tr w:rsidR="00A60DDE" w14:paraId="1216BA4C"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F"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0" w14:textId="610FD0AD" w:rsidR="00A60DDE" w:rsidRDefault="00095506">
            <w:pPr>
              <w:pStyle w:val="P68B1DB1-Normal062"/>
              <w:pBdr>
                <w:top w:val="nil"/>
                <w:left w:val="nil"/>
                <w:bottom w:val="nil"/>
                <w:right w:val="nil"/>
                <w:between w:val="nil"/>
              </w:pBdr>
              <w:spacing w:after="0" w:line="240" w:lineRule="auto"/>
              <w:rPr>
                <w:noProof/>
              </w:rPr>
            </w:pPr>
            <w:r>
              <w:rPr>
                <w:noProof/>
              </w:rPr>
              <w:t>B3.5.1 Investiții în proiecte locative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1"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2" w14:textId="77777777" w:rsidR="00A60DDE" w:rsidRDefault="00095506">
            <w:pPr>
              <w:pStyle w:val="P68B1DB1-Normal062"/>
              <w:pBdr>
                <w:top w:val="nil"/>
                <w:left w:val="nil"/>
                <w:bottom w:val="nil"/>
                <w:right w:val="nil"/>
                <w:between w:val="nil"/>
              </w:pBdr>
              <w:spacing w:after="0" w:line="240" w:lineRule="auto"/>
              <w:rPr>
                <w:noProof/>
              </w:rPr>
            </w:pPr>
            <w:r>
              <w:rPr>
                <w:noProof/>
              </w:rPr>
              <w:t>Construcția sau renovarea clădirilor</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3"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4"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5" w14:textId="77777777" w:rsidR="00A60DDE" w:rsidRDefault="00095506">
            <w:pPr>
              <w:pStyle w:val="P68B1DB1-Normal062"/>
              <w:spacing w:after="0" w:line="240" w:lineRule="auto"/>
              <w:jc w:val="center"/>
              <w:rPr>
                <w:noProof/>
                <w:color w:val="000000" w:themeColor="text1"/>
              </w:rPr>
            </w:pPr>
            <w:r>
              <w:rPr>
                <w:noProof/>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6" w14:textId="33645B7D" w:rsidR="00A60DDE" w:rsidRDefault="00095506">
            <w:pPr>
              <w:pStyle w:val="P68B1DB1-Normal062"/>
              <w:pBdr>
                <w:top w:val="nil"/>
                <w:left w:val="nil"/>
                <w:bottom w:val="nil"/>
                <w:right w:val="nil"/>
                <w:between w:val="nil"/>
              </w:pBdr>
              <w:spacing w:line="240" w:lineRule="auto"/>
              <w:jc w:val="center"/>
              <w:rPr>
                <w:rFonts w:eastAsia="Times New Roman"/>
                <w:noProof/>
                <w:color w:val="000000" w:themeColor="text1"/>
              </w:rPr>
            </w:pPr>
            <w:r>
              <w:rPr>
                <w:noProof/>
              </w:rPr>
              <w:t>120</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7"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8"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9" w14:textId="5D7B0278" w:rsidR="00A60DDE" w:rsidRDefault="00095506">
            <w:pPr>
              <w:pStyle w:val="P68B1DB1-Normal062"/>
              <w:spacing w:after="0" w:line="240" w:lineRule="auto"/>
              <w:rPr>
                <w:noProof/>
                <w:color w:val="000000" w:themeColor="text1"/>
              </w:rPr>
            </w:pPr>
            <w:r>
              <w:rPr>
                <w:noProof/>
              </w:rPr>
              <w:t>Numărul de clădiri construite sau renovate.</w:t>
            </w:r>
          </w:p>
          <w:p w14:paraId="1216BA4A" w14:textId="77777777" w:rsidR="00A60DDE" w:rsidRDefault="00A60DDE">
            <w:pPr>
              <w:pStyle w:val="Normal0"/>
              <w:spacing w:after="0" w:line="240" w:lineRule="auto"/>
              <w:rPr>
                <w:rFonts w:ascii="Times New Roman" w:hAnsi="Times New Roman" w:cs="Times New Roman"/>
                <w:noProof/>
                <w:color w:val="000000" w:themeColor="text1"/>
                <w:sz w:val="18"/>
                <w:szCs w:val="18"/>
              </w:rPr>
            </w:pPr>
          </w:p>
          <w:p w14:paraId="1216BA4B" w14:textId="77777777" w:rsidR="00A60DDE" w:rsidRDefault="00095506">
            <w:pPr>
              <w:pStyle w:val="P68B1DB1-Normal062"/>
              <w:spacing w:after="0" w:line="240" w:lineRule="auto"/>
              <w:rPr>
                <w:noProof/>
                <w:color w:val="000000" w:themeColor="text1"/>
              </w:rPr>
            </w:pPr>
            <w:r>
              <w:rPr>
                <w:noProof/>
              </w:rPr>
              <w:t>Cererea de propuneri precizează că sunt sprijinite următoarele tipuri de proiecte: locuințele care fac parte din fondul locativ al municipalității, locuințele protejate și apartamentele de închiriat create cu participarea unei municipalități sau a unei asociații intercomunale de către alți investitori decât municipalitatea.</w:t>
            </w:r>
          </w:p>
        </w:tc>
      </w:tr>
      <w:tr w:rsidR="00A60DDE" w14:paraId="1216BA5B"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D"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B32L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E"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F"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0"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Intrarea în vigoare a actelor de modificare a cadrului legislativ pentru comunitățile de energie din surse regenerabile și biometan: Modificări ale Legii privind energia din surse regenerabile, modificări ale legislației privind piața energiei și intrarea în vigoare a unui regulament la Legea privind energia din surse regenerabile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1" w14:textId="77777777" w:rsidR="00A60DDE" w:rsidRDefault="00095506">
            <w:pPr>
              <w:pStyle w:val="P68B1DB1-Normal062"/>
              <w:pBdr>
                <w:top w:val="nil"/>
                <w:left w:val="nil"/>
                <w:bottom w:val="nil"/>
                <w:right w:val="nil"/>
                <w:between w:val="nil"/>
              </w:pBdr>
              <w:spacing w:after="0" w:line="240" w:lineRule="auto"/>
              <w:rPr>
                <w:noProof/>
              </w:rPr>
            </w:pPr>
            <w:r>
              <w:rPr>
                <w:noProof/>
              </w:rPr>
              <w:t>Dispoziții din actele de modificare și din regulament care indică intrarea lor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3" w14:textId="77777777" w:rsidR="00A60DDE" w:rsidRDefault="00A60DDE">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5"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Q1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6"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7" w14:textId="77777777" w:rsidR="00A60DDE" w:rsidRDefault="00095506">
            <w:pPr>
              <w:pStyle w:val="P68B1DB1-Normal062"/>
              <w:spacing w:after="0" w:line="240" w:lineRule="auto"/>
              <w:rPr>
                <w:noProof/>
                <w:color w:val="000000" w:themeColor="text1"/>
              </w:rPr>
            </w:pPr>
            <w:r>
              <w:rPr>
                <w:noProof/>
              </w:rPr>
              <w:t>Adoptarea și intrarea în vigoare a actelor și a regulamentelor de modificare, inclusiv:</w:t>
            </w:r>
          </w:p>
          <w:p w14:paraId="1216BA58" w14:textId="7664745B" w:rsidR="00A60DDE" w:rsidRDefault="00095506">
            <w:pPr>
              <w:pStyle w:val="P68B1DB1-Normal062"/>
              <w:spacing w:after="0" w:line="240" w:lineRule="auto"/>
              <w:rPr>
                <w:noProof/>
                <w:color w:val="000000" w:themeColor="text1"/>
              </w:rPr>
            </w:pPr>
            <w:r>
              <w:rPr>
                <w:noProof/>
              </w:rPr>
              <w:t>1. Modificările aduse Legii din 20 februarie 2015 privind sursele regenerabile de energie (Legea privind sursele regenerabile de energie) reformulează principiile de funcționare a clusterelor energetice (condiții mai bune pentru înființarea unor astfel de entități), prevăzând: norme, definiții sau noțiuni privind: domeniul de aplicare, acordurile, obiectul clusterului energetic, registrul clusterului energetic sau cooperarea dintre membrii individuali ai clusterului energetic și operatorii de sistem.</w:t>
            </w:r>
          </w:p>
          <w:p w14:paraId="1216BA59" w14:textId="77777777" w:rsidR="00A60DDE" w:rsidRDefault="00095506">
            <w:pPr>
              <w:pStyle w:val="P68B1DB1-Normal021"/>
              <w:spacing w:after="0" w:line="240" w:lineRule="auto"/>
              <w:rPr>
                <w:noProof/>
                <w:color w:val="000000" w:themeColor="text1"/>
              </w:rPr>
            </w:pPr>
            <w:r>
              <w:rPr>
                <w:noProof/>
                <w:color w:val="000000" w:themeColor="text1"/>
              </w:rPr>
              <w:t>2. Modificările aduse Legii privind energia din surse regenerabile pun în aplicare modele colective de prosumatori de energie.</w:t>
            </w:r>
            <w:r>
              <w:rPr>
                <w:noProof/>
              </w:rPr>
              <w:t xml:space="preserve"> Dispozițiile privind modelele colective ale prosumatorilor de energie pot avea o intrare în vigoare întârziată.</w:t>
            </w:r>
            <w:r>
              <w:rPr>
                <w:noProof/>
              </w:rPr>
              <w:br/>
            </w:r>
            <w:r>
              <w:rPr>
                <w:noProof/>
                <w:color w:val="000000" w:themeColor="text1"/>
              </w:rPr>
              <w:t>3. Modificările actelor legislative privind piața energiei pun în aplicare dispoziții privind noile comunități de energie din surse regenerabile, care asigură faptul că clienții finali, în special clienții casnici, au dreptul de a participa la o comunitate de energie din surse regenerabile.</w:t>
            </w:r>
          </w:p>
          <w:p w14:paraId="1216BA5A" w14:textId="77777777" w:rsidR="00A60DDE" w:rsidRDefault="00095506">
            <w:pPr>
              <w:pStyle w:val="P68B1DB1-Normal021"/>
              <w:spacing w:after="0" w:line="240" w:lineRule="auto"/>
              <w:rPr>
                <w:noProof/>
                <w:color w:val="000000" w:themeColor="text1"/>
              </w:rPr>
            </w:pPr>
            <w:r>
              <w:rPr>
                <w:noProof/>
                <w:color w:val="000000" w:themeColor="text1"/>
              </w:rPr>
              <w:t>4. Regulamentul la Legea privind energia din surse regenerabile referitor la principiile de contabilizare a energiei pentru cooperativele energetice introduce dispoziții care specifică principiile de funcționare pentru unul dintre modelele comunității de energie din surse regenerabile.</w:t>
            </w:r>
            <w:r>
              <w:rPr>
                <w:noProof/>
              </w:rPr>
              <w:t xml:space="preserve"> </w:t>
            </w:r>
            <w:r>
              <w:rPr>
                <w:noProof/>
              </w:rPr>
              <w:br/>
            </w:r>
            <w:r>
              <w:rPr>
                <w:noProof/>
                <w:color w:val="000000" w:themeColor="text1"/>
              </w:rPr>
              <w:t>5. Modificări ale Legii privind energia din surse regenerabile, care stabilesc normele care reglementează desfășurarea unei activități în sectorul biometanului.</w:t>
            </w:r>
          </w:p>
        </w:tc>
      </w:tr>
      <w:tr w:rsidR="00A60DDE" w14:paraId="1216BA68"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C"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B33L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D"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E"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F"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Intrarea în vigoare a unui act de modificare a Legii privind investițiile în parcurile eoliene terestre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0" w14:textId="77777777" w:rsidR="00A60DDE" w:rsidRDefault="00095506">
            <w:pPr>
              <w:pStyle w:val="P68B1DB1-Normal062"/>
              <w:pBdr>
                <w:top w:val="nil"/>
                <w:left w:val="nil"/>
                <w:bottom w:val="nil"/>
                <w:right w:val="nil"/>
                <w:between w:val="nil"/>
              </w:pBdr>
              <w:spacing w:after="0" w:line="240" w:lineRule="auto"/>
              <w:rPr>
                <w:noProof/>
              </w:rPr>
            </w:pPr>
            <w:r>
              <w:rPr>
                <w:noProof/>
              </w:rPr>
              <w:t>Dispoziție din actul de modificare a Legii privind investițiile în parcuri eoliene terestre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2" w14:textId="77777777" w:rsidR="00A60DDE" w:rsidRDefault="00A60DDE">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4"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5"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6" w14:textId="77777777" w:rsidR="00A60DDE" w:rsidRDefault="00095506">
            <w:pPr>
              <w:pStyle w:val="P68B1DB1-Normal062"/>
              <w:spacing w:after="0" w:line="240" w:lineRule="auto"/>
              <w:rPr>
                <w:noProof/>
                <w:color w:val="000000" w:themeColor="text1"/>
              </w:rPr>
            </w:pPr>
            <w:r>
              <w:rPr>
                <w:noProof/>
              </w:rPr>
              <w:t>Intrarea în vigoare a unui act de modificare care elimină barierele formale din calea investițiilor în infrastructura terestră. Amendamentul va face mai flexibilă regula distanței (distanța minimă de la moară de vânt la clădirea rezidențială - de 10 ori înălțimea morii de vânt, 10H), conferind mai multă putere pentru a determina distanțele minime față de municipalități ca parte a procedurii spațiale/zoniere și față de birourile regionale de protecție a mediului ca parte a procedurii de emitere a deciziilor privind condițiile de mediu.</w:t>
            </w:r>
          </w:p>
          <w:p w14:paraId="1216BA67" w14:textId="15AE0F33" w:rsidR="00A60DDE" w:rsidRDefault="00095506">
            <w:pPr>
              <w:pStyle w:val="P68B1DB1-Normal062"/>
              <w:spacing w:after="0" w:line="240" w:lineRule="auto"/>
              <w:rPr>
                <w:noProof/>
                <w:color w:val="000000" w:themeColor="text1"/>
              </w:rPr>
            </w:pPr>
            <w:r>
              <w:rPr>
                <w:noProof/>
              </w:rPr>
              <w:t>Regula generală privind distanța de 10 ore trebuie menținută, dar trebuie să se permită posibilitatea unor abateri de la aceasta și să se acorde mai multă putere municipalităților individuale pentru a determina amplasarea parcurilor eoliene, ca parte a procedurii de planificare locală (procedura de zonare/spațială). Planul local trebuie să fie în măsură să definească o distanță mai mică a parcului eolian față de clădirea rezidențială, ținând seama de gama de impacturi ale parcurilor eoliene pe baza previziunilor privind impactul asupra mediului realizate în cadrul unui astfel de plan.</w:t>
            </w:r>
          </w:p>
        </w:tc>
      </w:tr>
      <w:tr w:rsidR="00A60DDE" w14:paraId="1216BA74"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9"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B34L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A"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B"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C"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Intrarea în vigoare a unui regulament de stabilire a unui plan de licitații pentru energia din surse regenerabile pentru perioada 2022-2027</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D" w14:textId="77777777" w:rsidR="00A60DDE" w:rsidRDefault="00095506">
            <w:pPr>
              <w:pStyle w:val="P68B1DB1-Normal062"/>
              <w:pBdr>
                <w:top w:val="nil"/>
                <w:left w:val="nil"/>
                <w:bottom w:val="nil"/>
                <w:right w:val="nil"/>
                <w:between w:val="nil"/>
              </w:pBdr>
              <w:spacing w:after="0" w:line="240" w:lineRule="auto"/>
              <w:rPr>
                <w:noProof/>
              </w:rPr>
            </w:pPr>
            <w:r>
              <w:rPr>
                <w:noProof/>
              </w:rPr>
              <w:t>Dispoziție din regulament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E"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F" w14:textId="77777777" w:rsidR="00A60DDE" w:rsidRDefault="00A60DDE">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0"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1"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2"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3" w14:textId="77777777" w:rsidR="00A60DDE" w:rsidRDefault="00095506">
            <w:pPr>
              <w:pStyle w:val="P68B1DB1-Normal062"/>
              <w:spacing w:after="0" w:line="240" w:lineRule="auto"/>
              <w:rPr>
                <w:noProof/>
                <w:color w:val="000000" w:themeColor="text1"/>
              </w:rPr>
            </w:pPr>
            <w:r>
              <w:rPr>
                <w:noProof/>
              </w:rPr>
              <w:t>Intrarea în vigoare a unui regulament de stabilire a unui plan de licitații pentru energia din surse regenerabile per tehnologie (inclusiv pentru noile parcuri eoliene terestre). Planul stabilește un buget și un volum de energie electrică care sunt disponibile prin licitații competitive pentru perioada 2022-2027.</w:t>
            </w:r>
          </w:p>
        </w:tc>
      </w:tr>
      <w:tr w:rsidR="00A60DDE" w14:paraId="1216BA81"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5"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B35L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6"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7"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8"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T1 -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9"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A"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B" w14:textId="77777777" w:rsidR="00A60DDE" w:rsidRDefault="00095506">
            <w:pPr>
              <w:pStyle w:val="P68B1DB1-Normal062"/>
              <w:spacing w:after="0" w:line="240" w:lineRule="auto"/>
              <w:jc w:val="center"/>
              <w:rPr>
                <w:noProof/>
                <w:color w:val="000000" w:themeColor="text1"/>
              </w:rPr>
            </w:pPr>
            <w:r>
              <w:rPr>
                <w:noProof/>
              </w:rPr>
              <w:t>11,2</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C"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18</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D"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E"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0" w14:textId="27ABBF2F" w:rsidR="00A60DDE" w:rsidRDefault="00095506">
            <w:pPr>
              <w:pStyle w:val="P68B1DB1-Normal062"/>
              <w:spacing w:after="0" w:line="240" w:lineRule="auto"/>
              <w:rPr>
                <w:noProof/>
                <w:color w:val="000000" w:themeColor="text1"/>
              </w:rPr>
            </w:pPr>
            <w:r>
              <w:rPr>
                <w:noProof/>
              </w:rPr>
              <w:t>Capacitatea instalată totală (în GW) a instalațiilor eoliene și fotovoltaice terestre.</w:t>
            </w:r>
          </w:p>
        </w:tc>
      </w:tr>
      <w:tr w:rsidR="00A60DDE" w14:paraId="1216BA8D"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2"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B36L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3"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4"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5"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T2 -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6"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7"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8" w14:textId="77777777" w:rsidR="00A60DDE" w:rsidRDefault="00095506">
            <w:pPr>
              <w:pStyle w:val="P68B1DB1-Normal062"/>
              <w:spacing w:after="0" w:line="240" w:lineRule="auto"/>
              <w:jc w:val="center"/>
              <w:rPr>
                <w:noProof/>
                <w:color w:val="000000" w:themeColor="text1"/>
              </w:rPr>
            </w:pPr>
            <w:r>
              <w:rPr>
                <w:noProof/>
              </w:rPr>
              <w:t>18</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9"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A"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B"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C" w14:textId="77777777" w:rsidR="00A60DDE" w:rsidRDefault="00095506">
            <w:pPr>
              <w:pStyle w:val="P68B1DB1-Normal062"/>
              <w:spacing w:after="0" w:line="240" w:lineRule="auto"/>
              <w:rPr>
                <w:noProof/>
                <w:color w:val="000000" w:themeColor="text1"/>
              </w:rPr>
            </w:pPr>
            <w:r>
              <w:rPr>
                <w:noProof/>
              </w:rPr>
              <w:t>Capacitatea instalată totală (în GW) a instalațiilor eoliene și fotovoltaice terestre.</w:t>
            </w:r>
          </w:p>
        </w:tc>
      </w:tr>
      <w:tr w:rsidR="00A60DDE" w14:paraId="1216BA99"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E"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B37L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F"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0"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1"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T3 -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2"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3"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4" w14:textId="77777777" w:rsidR="00A60DDE" w:rsidRDefault="00095506">
            <w:pPr>
              <w:pStyle w:val="P68B1DB1-Normal062"/>
              <w:spacing w:after="0" w:line="240" w:lineRule="auto"/>
              <w:jc w:val="center"/>
              <w:rPr>
                <w:noProof/>
                <w:color w:val="000000" w:themeColor="text1"/>
              </w:rPr>
            </w:pPr>
            <w:r>
              <w:rPr>
                <w:noProof/>
              </w:rPr>
              <w:t>20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5"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6"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Q1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7"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8" w14:textId="77777777" w:rsidR="00A60DDE" w:rsidRDefault="00095506">
            <w:pPr>
              <w:pStyle w:val="P68B1DB1-Normal062"/>
              <w:spacing w:after="0" w:line="240" w:lineRule="auto"/>
              <w:rPr>
                <w:noProof/>
                <w:color w:val="000000" w:themeColor="text1"/>
              </w:rPr>
            </w:pPr>
            <w:r>
              <w:rPr>
                <w:noProof/>
              </w:rPr>
              <w:t>Capacitatea instalată totală (în GW) a instalațiilor eoliene și fotovoltaice terestre.</w:t>
            </w:r>
          </w:p>
        </w:tc>
      </w:tr>
      <w:tr w:rsidR="00A60DDE" w14:paraId="1216BAA5"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A"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B38L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B"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C"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D"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T4 -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E"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F"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0" w14:textId="77777777" w:rsidR="00A60DDE" w:rsidRDefault="00095506">
            <w:pPr>
              <w:pStyle w:val="P68B1DB1-Normal062"/>
              <w:spacing w:after="0" w:line="240" w:lineRule="auto"/>
              <w:jc w:val="center"/>
              <w:rPr>
                <w:noProof/>
                <w:color w:val="000000" w:themeColor="text1"/>
              </w:rPr>
            </w:pPr>
            <w:r>
              <w:rPr>
                <w:noProof/>
              </w:rPr>
              <w:t>23</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1"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23,5</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2"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3"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4" w14:textId="77777777" w:rsidR="00A60DDE" w:rsidRDefault="00095506">
            <w:pPr>
              <w:pStyle w:val="P68B1DB1-Normal062"/>
              <w:spacing w:after="0" w:line="240" w:lineRule="auto"/>
              <w:rPr>
                <w:noProof/>
                <w:color w:val="000000" w:themeColor="text1"/>
              </w:rPr>
            </w:pPr>
            <w:r>
              <w:rPr>
                <w:noProof/>
              </w:rPr>
              <w:t>Capacitatea instalată totală (în GW) a instalațiilor eoliene și fotovoltaice terestre.</w:t>
            </w:r>
          </w:p>
        </w:tc>
      </w:tr>
      <w:tr w:rsidR="00A60DDE" w14:paraId="1216BAB1"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6"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B39L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7"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8"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9" w14:textId="155C2363"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Intrarea în vigoare a regulamentului de punere în aplicare care decurge din Legea din 17 decembrie 2020 privind promovarea generării de energie electrică în parcurile eoliene offshore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A" w14:textId="77777777" w:rsidR="00A60DDE" w:rsidRDefault="00095506">
            <w:pPr>
              <w:pStyle w:val="P68B1DB1-Normal062"/>
              <w:pBdr>
                <w:top w:val="nil"/>
                <w:left w:val="nil"/>
                <w:bottom w:val="nil"/>
                <w:right w:val="nil"/>
                <w:between w:val="nil"/>
              </w:pBdr>
              <w:spacing w:after="0" w:line="240" w:lineRule="auto"/>
              <w:rPr>
                <w:noProof/>
              </w:rPr>
            </w:pPr>
            <w:r>
              <w:rPr>
                <w:noProof/>
              </w:rPr>
              <w:t>Dispoziție din regulament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C" w14:textId="77777777" w:rsidR="00A60DDE" w:rsidRDefault="00A60DDE">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D"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E"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F"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0" w14:textId="05CC76D6" w:rsidR="00A60DDE" w:rsidRDefault="00095506">
            <w:pPr>
              <w:pStyle w:val="P68B1DB1-Normal021"/>
              <w:spacing w:after="0" w:line="240" w:lineRule="auto"/>
              <w:rPr>
                <w:noProof/>
                <w:color w:val="000000" w:themeColor="text1"/>
              </w:rPr>
            </w:pPr>
            <w:r>
              <w:rPr>
                <w:noProof/>
                <w:color w:val="000000" w:themeColor="text1"/>
              </w:rPr>
              <w:t>Următorul regulament de punere în aplicare intră în vigoare:</w:t>
            </w:r>
            <w:r>
              <w:rPr>
                <w:noProof/>
              </w:rPr>
              <w:br/>
            </w:r>
            <w:r>
              <w:rPr>
                <w:noProof/>
                <w:color w:val="000000" w:themeColor="text1"/>
              </w:rPr>
              <w:t>Regulamentul Consiliului de Miniștri privind taxa de concesiune – În temeiul articolului 34 alineatul (2a) din Legea energiei, obligația de a plăti taxa de concesiune președintelui Biroului de reglementare în domeniul energiei s-a extins și la întreprinderile energetice care desfășoară activități economice în domeniul generării de energie electrică în parcurile eoliene offshore, menționată în Legea din 17 decembrie 2020 privind promovarea generării de energie electrică în parcurile eoliene offshore. În plus, în legătură cu modificarea Legii energiei din 15 aprilie 2021, o activitate care va fi acoperită și de taxa de concesiune este stocarea energiei electrice.</w:t>
            </w:r>
          </w:p>
        </w:tc>
      </w:tr>
      <w:tr w:rsidR="00A60DDE" w14:paraId="1216BABD" w14:textId="77777777">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2"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B40L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3"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4"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5" w14:textId="08B15024"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Intrarea în vigoare a regulamentului de punere în aplicare care decurge din Legea din 17 decembrie 2020 privind promovarea generării de energie electrică în parcurile eoliene offshore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6" w14:textId="77777777" w:rsidR="00A60DDE" w:rsidRDefault="00095506">
            <w:pPr>
              <w:pStyle w:val="P68B1DB1-Normal062"/>
              <w:pBdr>
                <w:top w:val="nil"/>
                <w:left w:val="nil"/>
                <w:bottom w:val="nil"/>
                <w:right w:val="nil"/>
                <w:between w:val="nil"/>
              </w:pBdr>
              <w:spacing w:after="0" w:line="240" w:lineRule="auto"/>
              <w:rPr>
                <w:noProof/>
              </w:rPr>
            </w:pPr>
            <w:r>
              <w:rPr>
                <w:noProof/>
              </w:rPr>
              <w:t>Dispoziție din regulament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8" w14:textId="77777777" w:rsidR="00A60DDE" w:rsidRDefault="00A60DDE">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9"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A"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B"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C" w14:textId="77777777" w:rsidR="00A60DDE" w:rsidRDefault="00095506">
            <w:pPr>
              <w:pStyle w:val="P68B1DB1-Normal062"/>
              <w:spacing w:after="0" w:line="240" w:lineRule="auto"/>
              <w:rPr>
                <w:noProof/>
                <w:color w:val="000000" w:themeColor="text1"/>
              </w:rPr>
            </w:pPr>
            <w:r>
              <w:rPr>
                <w:noProof/>
              </w:rPr>
              <w:t>Regulamentul ministrului climei și mediului privind tipurile de fluxuri de numerar care trebuie luate în considerare la calcularea prețului ajustat și metoda detaliată de calculare a prețului ajustat. Regulamentul precizează tipurile de fluxuri de trezorerie care trebuie luate în considerare la calcularea prețului ajustat și metoda detaliată de calculare a prețului ajustat. Pe parcursul procesului, se iau în considerare factori precum ajutoarele pentru investiții, data acordării ajutoarelor pentru investiții și normele de acordare a ajutoarelor publice în domeniul protecției mediului și al energiei. Scopul este de a facilita procedura de mai sus pentru investitorii în parcuri eoliene offshore.</w:t>
            </w:r>
          </w:p>
        </w:tc>
      </w:tr>
    </w:tbl>
    <w:p w14:paraId="1216BABE" w14:textId="77777777" w:rsidR="00A60DDE" w:rsidRDefault="00A60DDE">
      <w:pPr>
        <w:rPr>
          <w:b/>
          <w:noProof/>
        </w:rPr>
      </w:pPr>
    </w:p>
    <w:p w14:paraId="1216BABF" w14:textId="77777777" w:rsidR="00A60DDE" w:rsidRDefault="00A60DDE">
      <w:pPr>
        <w:rPr>
          <w:b/>
          <w:noProof/>
        </w:rPr>
        <w:sectPr w:rsidR="00A60DDE" w:rsidSect="006C5441">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299"/>
        </w:sectPr>
      </w:pPr>
    </w:p>
    <w:p w14:paraId="1216BAC0" w14:textId="77777777" w:rsidR="00A60DDE" w:rsidRDefault="00095506">
      <w:pPr>
        <w:pStyle w:val="P68B1DB1-Normal046"/>
        <w:keepNext/>
        <w:pBdr>
          <w:top w:val="nil"/>
          <w:left w:val="nil"/>
          <w:bottom w:val="nil"/>
          <w:right w:val="nil"/>
          <w:between w:val="nil"/>
        </w:pBdr>
        <w:tabs>
          <w:tab w:val="left" w:pos="850"/>
        </w:tabs>
        <w:spacing w:before="360" w:after="120" w:line="240" w:lineRule="auto"/>
        <w:jc w:val="both"/>
        <w:rPr>
          <w:noProof/>
          <w:color w:val="000000"/>
        </w:rPr>
      </w:pPr>
      <w:r>
        <w:rPr>
          <w:noProof/>
        </w:rPr>
        <w:t>C. COMPONENTA C: „Transformarea digitală”</w:t>
      </w:r>
    </w:p>
    <w:p w14:paraId="1216BAC1" w14:textId="77777777" w:rsidR="00A60DDE" w:rsidRDefault="00095506">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Componenta C a Planului de redresare și reziliență al Poloniei abordează o serie de provocări. În primul rând, disparitățile dintre zonele urbane și cele rurale în ceea ce privește conectivitatea și accesul la o conexiune la internet rapidă și fiabilă, atât fixă, cât și mobilă; în al doilea rând, necesitatea unei utilizări mai rapide și mai sigure a serviciilor digitale în sectorul public; în al treilea rând, lipsa generală a unei strategii specifice în materie de educație și formare digitală, care a fost evidențiată în mod clar de competențele digitale și de echipamentele TIC insuficiente în rândul studenților și al cadrelor didactice în timpul pandemiei de COVID-19. În cele din urmă, necesitatea de a spori securitatea cibernetică a sistemului de informații publice pentru a răspunde prompt la atacurile cibernetice și la incidentele de securitate.</w:t>
      </w:r>
    </w:p>
    <w:p w14:paraId="1216BAC2" w14:textId="77777777"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Componenta vizează accelerarea procesului de digitalizare a țării prin transformarea digitală a sectorului public, a economiei și a societății. Aceasta constă în măsuri care vizează: îmbunătățirea accesului la internetul de mare viteză; dezvoltarea serviciilor electronice și a disponibilității acestora în aplicația mobilă mObywatel și îmbunătățirea comunicării dintre instituțiile publice, cetățeni și întreprinderi; creșterea securității în spațiul cibernetic, securizarea infrastructurii de prelucrare a datelor și digitalizarea infrastructurii serviciilor de securitate; sprijinirea transformării digitale a întreprinderilor prin utilizarea cloud computingului.</w:t>
      </w:r>
    </w:p>
    <w:p w14:paraId="1216BAC3" w14:textId="6FC95B45" w:rsidR="00A60DDE" w:rsidRDefault="00095506">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Reformele și investițiile elaborate în cadrul componentei contribuie la abordarea a trei recomandări specifice fiecărei țări identificate pentru Polonia în ultimii doi ani, cu privire la necesitatea de a concentra politica economică legată de investiții asupra infrastructurii digitale (recomandarea specifică fiecărei țări 3, 2019) și asupra tranziției digitale (recomandarea specifică fiecărei țări 3, 2020); precum și cu privire la necesitatea de a îmbunătăți competențele digitale și de a promova transformarea digitală atât a întreprinderilor, cât și a administrației publice (Recomandarea specifică fiecărei țări 2, 2020).</w:t>
      </w:r>
    </w:p>
    <w:p w14:paraId="1216BAC4" w14:textId="77777777" w:rsidR="00A60DDE" w:rsidRDefault="00095506">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w:t>
      </w:r>
    </w:p>
    <w:p w14:paraId="1216BAC5" w14:textId="77777777" w:rsidR="00A60DDE" w:rsidRDefault="00095506">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Se preconizează că această componentă va promova tranziția digitală prin dezvoltarea infrastructurii de bandă largă de acces de nouă generație, prin îmbunătățirea utilizării instrumentelor digitale în sectorul public și prin stimularea competențelor electronice în societate (întreprinderi, administrație publică, profesori și studenți). Aceasta contribuie la optimizarea securității cibernetice, la îmbunătățirea eficienței prelucrării datelor și la modernizarea infrastructurii serviciilor de stat responsabile cu securitatea. În cele din urmă, implementarea potențială a unor soluții inovatoare de cloud de nouă generație creează infrastructuri de cloud stabile și durabile.</w:t>
      </w:r>
    </w:p>
    <w:p w14:paraId="1216BAC6"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AC7"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4F81BD"/>
          <w:sz w:val="24"/>
          <w:szCs w:val="24"/>
        </w:rPr>
      </w:pPr>
      <w:r>
        <w:rPr>
          <w:rFonts w:ascii="Times New Roman" w:hAnsi="Times New Roman"/>
          <w:b/>
          <w:noProof/>
          <w:color w:val="000000" w:themeColor="text1"/>
          <w:sz w:val="24"/>
          <w:szCs w:val="24"/>
        </w:rPr>
        <w:t>C.1.</w:t>
      </w:r>
      <w:r>
        <w:rPr>
          <w:noProof/>
        </w:rPr>
        <w:tab/>
      </w:r>
      <w:r>
        <w:rPr>
          <w:rFonts w:ascii="Times New Roman" w:hAnsi="Times New Roman"/>
          <w:b/>
          <w:noProof/>
          <w:color w:val="000000" w:themeColor="text1"/>
          <w:sz w:val="24"/>
          <w:szCs w:val="24"/>
        </w:rPr>
        <w:t>Descrierea reformelor și a investițiilor pentru sprijinul financiar nerambursabil</w:t>
      </w:r>
    </w:p>
    <w:p w14:paraId="1216BAC8"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u w:val="single"/>
        </w:rPr>
      </w:pPr>
    </w:p>
    <w:p w14:paraId="1216BAC9" w14:textId="77777777" w:rsidR="00A60DDE" w:rsidRDefault="00095506">
      <w:pPr>
        <w:pStyle w:val="P68B1DB1-Normal036"/>
        <w:pBdr>
          <w:top w:val="nil"/>
          <w:left w:val="nil"/>
          <w:bottom w:val="nil"/>
          <w:right w:val="nil"/>
          <w:between w:val="nil"/>
        </w:pBdr>
        <w:spacing w:before="120" w:after="120" w:line="240" w:lineRule="auto"/>
        <w:jc w:val="both"/>
        <w:rPr>
          <w:noProof/>
          <w:color w:val="000000"/>
        </w:rPr>
      </w:pPr>
      <w:r>
        <w:rPr>
          <w:noProof/>
        </w:rPr>
        <w:t>C1.1 Facilitarea dezvoltării infrastructurii de rețea pentru a asigura accesul universal la internetul de mare viteză</w:t>
      </w:r>
    </w:p>
    <w:p w14:paraId="1216BACA" w14:textId="77777777" w:rsidR="00A60DDE" w:rsidRDefault="00095506">
      <w:pPr>
        <w:pStyle w:val="P68B1DB1-Normal063"/>
        <w:pBdr>
          <w:top w:val="nil"/>
          <w:left w:val="nil"/>
          <w:bottom w:val="nil"/>
          <w:right w:val="nil"/>
          <w:between w:val="nil"/>
        </w:pBdr>
        <w:spacing w:after="0" w:line="240" w:lineRule="auto"/>
        <w:jc w:val="both"/>
        <w:rPr>
          <w:noProof/>
          <w:color w:val="000000"/>
          <w:sz w:val="24"/>
          <w:szCs w:val="24"/>
        </w:rPr>
      </w:pPr>
      <w:r>
        <w:rPr>
          <w:noProof/>
          <w:sz w:val="24"/>
          <w:szCs w:val="24"/>
        </w:rPr>
        <w:t>Această reformă vizează garantarea accesului universal la internet de mare viteză și la servicii digitale pe întreg teritoriul Poloniei, inclusiv la așa-numitele „zone albe”</w:t>
      </w:r>
      <w:r>
        <w:rPr>
          <w:noProof/>
          <w:sz w:val="18"/>
          <w:szCs w:val="18"/>
        </w:rPr>
        <w:t xml:space="preserve"> </w:t>
      </w:r>
      <w:r>
        <w:rPr>
          <w:noProof/>
          <w:sz w:val="24"/>
          <w:szCs w:val="24"/>
        </w:rPr>
        <w:t>în care nu există infrastructură de bandă largă de mare capacitate.</w:t>
      </w:r>
    </w:p>
    <w:p w14:paraId="1216BACB" w14:textId="56F407C2" w:rsidR="00A60DDE" w:rsidRDefault="00095506">
      <w:pPr>
        <w:pStyle w:val="P68B1DB1-Normal037"/>
        <w:pBdr>
          <w:top w:val="nil"/>
          <w:left w:val="nil"/>
          <w:bottom w:val="nil"/>
          <w:right w:val="nil"/>
          <w:between w:val="nil"/>
        </w:pBdr>
        <w:spacing w:before="120" w:after="120" w:line="240" w:lineRule="auto"/>
        <w:jc w:val="both"/>
        <w:rPr>
          <w:noProof/>
          <w:color w:val="000000"/>
        </w:rPr>
      </w:pPr>
      <w:r>
        <w:rPr>
          <w:noProof/>
        </w:rPr>
        <w:t>Acest lucru se va realiza în primul rând prin eliminarea barierelor legislative din calea investițiilor în banda largă și, în al doilea rând, prin alinierea legislației naționale la setul de instrumente pentru conectivitate la nivelul UE din 25 martie 2021. Modificările legislative prevăd, printre altele, modificări ale Regulamentului privind inventarul infrastructurii de telecomunicații și ale Regulamentului privind sistemul punctelor unice de informare (SIP).</w:t>
      </w:r>
    </w:p>
    <w:p w14:paraId="1216BACC" w14:textId="77777777" w:rsidR="00A60DDE" w:rsidRDefault="00095506">
      <w:pPr>
        <w:pStyle w:val="P68B1DB1-Normal037"/>
        <w:pBdr>
          <w:top w:val="nil"/>
          <w:left w:val="nil"/>
          <w:bottom w:val="nil"/>
          <w:right w:val="nil"/>
          <w:between w:val="nil"/>
        </w:pBdr>
        <w:spacing w:after="0" w:line="240" w:lineRule="auto"/>
        <w:jc w:val="both"/>
        <w:rPr>
          <w:noProof/>
        </w:rPr>
      </w:pPr>
      <w:r>
        <w:rPr>
          <w:noProof/>
        </w:rPr>
        <w:t>Punerea în aplicare a reformei se finalizează până la 31 martie 2023.</w:t>
      </w:r>
    </w:p>
    <w:p w14:paraId="1216BACD" w14:textId="77777777" w:rsidR="00A60DDE" w:rsidRDefault="00A60DDE">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p w14:paraId="1216BACE" w14:textId="77777777" w:rsidR="00A60DDE" w:rsidRDefault="00095506">
      <w:pPr>
        <w:pStyle w:val="P68B1DB1-Normal40"/>
        <w:spacing w:after="160" w:line="257" w:lineRule="auto"/>
        <w:rPr>
          <w:noProof/>
        </w:rPr>
      </w:pPr>
      <w:r>
        <w:rPr>
          <w:noProof/>
        </w:rPr>
        <w:t>C1.1.1 Accesul la rețeaua în bandă largă</w:t>
      </w:r>
    </w:p>
    <w:p w14:paraId="1216BACF" w14:textId="33D317D2" w:rsidR="00A60DDE" w:rsidRDefault="00095506">
      <w:pPr>
        <w:pStyle w:val="P68B1DB1-Normal15"/>
        <w:spacing w:before="120" w:after="160" w:line="257" w:lineRule="auto"/>
        <w:jc w:val="both"/>
        <w:rPr>
          <w:noProof/>
        </w:rPr>
      </w:pPr>
      <w:r>
        <w:rPr>
          <w:noProof/>
        </w:rPr>
        <w:t>Obiectivul acestei investiții este de a spori acoperirea rețelei în bandă largă de mare viteză în Polonia. Această măsură constă în punerea la dispoziția unităților rezidențiale a accesului la internet în bandă largă.</w:t>
      </w:r>
    </w:p>
    <w:p w14:paraId="1216BAD0" w14:textId="77777777" w:rsidR="00A60DDE" w:rsidRDefault="00095506">
      <w:pPr>
        <w:pStyle w:val="P68B1DB1-Normal036"/>
        <w:spacing w:before="120" w:after="160" w:line="257" w:lineRule="auto"/>
        <w:jc w:val="both"/>
        <w:rPr>
          <w:rFonts w:eastAsia="Times New Roman" w:cs="Times New Roman"/>
          <w:noProof/>
          <w:color w:val="000000"/>
        </w:rPr>
      </w:pPr>
      <w:r>
        <w:rPr>
          <w:noProof/>
        </w:rPr>
        <w:t>C2.1 Extinderea aplicațiilor digitale în sfera publică, în economie și în societate</w:t>
      </w:r>
    </w:p>
    <w:p w14:paraId="1216BAD1" w14:textId="77777777" w:rsidR="00A60DDE" w:rsidRDefault="00095506">
      <w:pPr>
        <w:pStyle w:val="P68B1DB1-Normal15"/>
        <w:spacing w:before="120" w:after="160" w:line="257" w:lineRule="auto"/>
        <w:jc w:val="both"/>
        <w:rPr>
          <w:noProof/>
        </w:rPr>
      </w:pPr>
      <w:r>
        <w:rPr>
          <w:noProof/>
        </w:rPr>
        <w:t>Obiectivul acestei reforme este de a sprijini digitalizarea în Polonia. Această măsură constă în (i) modificarea Legii privind informatizarea activităților desfășurate de entitățile publice, (ii) modificarea Legii privind taxa pe bunuri și servicii în ceea ce privește utilizarea facturilor structurate, (iii) definirea unor standarde obligatorii pentru dotarea școlilor cu infrastructură digitală și (iv) crearea Programului de dezvoltare a competențelor digitale.</w:t>
      </w:r>
    </w:p>
    <w:p w14:paraId="1216BAD2"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C2.1.1 Servicii electronice publice și soluții informatice pentru administrația publică</w:t>
      </w:r>
    </w:p>
    <w:p w14:paraId="1216BAD3" w14:textId="3CD294A3"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Obiectivul acestei investiții este de a extinde serviciile publice electronice. Această măsură constă în următoarele proiecte:</w:t>
      </w:r>
    </w:p>
    <w:p w14:paraId="1216BAD4" w14:textId="64005B82" w:rsidR="00A60DDE" w:rsidRDefault="00095506">
      <w:pPr>
        <w:pStyle w:val="P68B1DB1-Normal037"/>
        <w:numPr>
          <w:ilvl w:val="0"/>
          <w:numId w:val="17"/>
        </w:numPr>
        <w:pBdr>
          <w:top w:val="nil"/>
          <w:left w:val="nil"/>
          <w:bottom w:val="nil"/>
          <w:right w:val="nil"/>
          <w:between w:val="nil"/>
        </w:pBdr>
        <w:spacing w:before="120" w:after="120" w:line="240" w:lineRule="auto"/>
        <w:jc w:val="both"/>
        <w:rPr>
          <w:rFonts w:eastAsia="Times New Roman" w:cs="Times New Roman"/>
          <w:noProof/>
        </w:rPr>
      </w:pPr>
      <w:r>
        <w:rPr>
          <w:noProof/>
        </w:rPr>
        <w:t>servicii electronice publice noi sau modernizate puse la dispoziție online sau servicii electronice integrate în aplicația mObywatel;</w:t>
      </w:r>
    </w:p>
    <w:p w14:paraId="1216BAD5" w14:textId="77777777" w:rsidR="00A60DDE" w:rsidRDefault="00095506">
      <w:pPr>
        <w:pStyle w:val="P68B1DB1-Normal037"/>
        <w:numPr>
          <w:ilvl w:val="0"/>
          <w:numId w:val="17"/>
        </w:numPr>
        <w:spacing w:before="120" w:after="120" w:line="240" w:lineRule="auto"/>
        <w:jc w:val="both"/>
        <w:rPr>
          <w:rFonts w:eastAsia="Times New Roman" w:cs="Times New Roman"/>
          <w:noProof/>
        </w:rPr>
      </w:pPr>
      <w:r>
        <w:rPr>
          <w:noProof/>
        </w:rPr>
        <w:t>lansarea sau extinderea sistemelor informatice publice;</w:t>
      </w:r>
    </w:p>
    <w:p w14:paraId="1216BAD6" w14:textId="77777777" w:rsidR="00A60DDE" w:rsidRDefault="00095506">
      <w:pPr>
        <w:pStyle w:val="P68B1DB1-Normal064"/>
        <w:numPr>
          <w:ilvl w:val="0"/>
          <w:numId w:val="17"/>
        </w:numPr>
        <w:spacing w:before="120" w:after="120" w:line="240" w:lineRule="auto"/>
        <w:jc w:val="both"/>
        <w:rPr>
          <w:noProof/>
        </w:rPr>
      </w:pPr>
      <w:r>
        <w:rPr>
          <w:noProof/>
        </w:rPr>
        <w:t>punerea la dispoziția beneficiarilor a unor sisteme electronice de gestionare a documentelor pentru utilizarea în producție și lansarea serviciului de cloud SaaS2 EZD RP;</w:t>
      </w:r>
    </w:p>
    <w:p w14:paraId="1216BAD7" w14:textId="77777777" w:rsidR="00A60DDE" w:rsidRDefault="00095506">
      <w:pPr>
        <w:pStyle w:val="P68B1DB1-Normal064"/>
        <w:numPr>
          <w:ilvl w:val="0"/>
          <w:numId w:val="17"/>
        </w:numPr>
        <w:spacing w:before="120" w:after="120" w:line="240" w:lineRule="auto"/>
        <w:jc w:val="both"/>
        <w:rPr>
          <w:noProof/>
        </w:rPr>
      </w:pPr>
      <w:r>
        <w:rPr>
          <w:noProof/>
        </w:rPr>
        <w:t>lansarea sistemului național de facturi electronice;</w:t>
      </w:r>
    </w:p>
    <w:p w14:paraId="1216BAD8" w14:textId="77777777" w:rsidR="00A60DDE" w:rsidRDefault="00095506">
      <w:pPr>
        <w:pStyle w:val="P68B1DB1-Normal064"/>
        <w:numPr>
          <w:ilvl w:val="0"/>
          <w:numId w:val="17"/>
        </w:numPr>
        <w:spacing w:before="120" w:after="120" w:line="240" w:lineRule="auto"/>
        <w:jc w:val="both"/>
        <w:rPr>
          <w:noProof/>
        </w:rPr>
      </w:pPr>
      <w:r>
        <w:rPr>
          <w:noProof/>
        </w:rPr>
        <w:t>lansarea de servicii electronice noi sau modernizate în cadrul serviciului e-Tax Office.</w:t>
      </w:r>
    </w:p>
    <w:p w14:paraId="1216BAD9"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rPr>
      </w:pPr>
    </w:p>
    <w:p w14:paraId="1216BADA" w14:textId="77777777" w:rsidR="00A60DDE" w:rsidRDefault="00095506">
      <w:pPr>
        <w:pStyle w:val="P68B1DB1-Normal036"/>
        <w:pBdr>
          <w:top w:val="nil"/>
          <w:left w:val="nil"/>
          <w:bottom w:val="nil"/>
          <w:right w:val="nil"/>
          <w:between w:val="nil"/>
        </w:pBdr>
        <w:spacing w:before="120" w:after="120" w:line="240" w:lineRule="auto"/>
        <w:jc w:val="both"/>
        <w:rPr>
          <w:bCs/>
          <w:noProof/>
          <w:color w:val="000000"/>
        </w:rPr>
      </w:pPr>
      <w:r>
        <w:rPr>
          <w:noProof/>
        </w:rPr>
        <w:t>C2.1.2 Tehnologiile digitale în învățământul școlar – dispozitive portabile</w:t>
      </w:r>
    </w:p>
    <w:p w14:paraId="1216BADB"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Obiectivul acestei investiții este de a furniza școlilor din Polonia echipamente TIC pentru a extinde utilizarea tehnologiilor digitale în învățământul școlar. Această măsură constă în furnizarea de dispozitive portabile școlilor sau prin intermediul autorităților de gestionare a școlilor și de vouchere pentru computere portabile.</w:t>
      </w:r>
    </w:p>
    <w:p w14:paraId="1216BADC" w14:textId="77777777" w:rsidR="00A60DDE" w:rsidRDefault="00095506">
      <w:pPr>
        <w:pStyle w:val="P68B1DB1-Normal036"/>
        <w:pBdr>
          <w:top w:val="nil"/>
          <w:left w:val="nil"/>
          <w:bottom w:val="nil"/>
          <w:right w:val="nil"/>
          <w:between w:val="nil"/>
        </w:pBdr>
        <w:spacing w:before="120" w:after="120" w:line="240" w:lineRule="auto"/>
        <w:jc w:val="both"/>
        <w:rPr>
          <w:bCs/>
          <w:noProof/>
          <w:color w:val="000000"/>
        </w:rPr>
      </w:pPr>
      <w:r>
        <w:rPr>
          <w:noProof/>
        </w:rPr>
        <w:t>C2.1.3 Competențe electronice</w:t>
      </w:r>
    </w:p>
    <w:p w14:paraId="1216BADD" w14:textId="77777777" w:rsidR="00A60DDE" w:rsidRDefault="00095506">
      <w:pPr>
        <w:pStyle w:val="P68B1DB1-Normal050"/>
        <w:pBdr>
          <w:top w:val="nil"/>
          <w:left w:val="nil"/>
          <w:bottom w:val="nil"/>
          <w:right w:val="nil"/>
          <w:between w:val="nil"/>
        </w:pBdr>
        <w:spacing w:before="120" w:after="120" w:line="240" w:lineRule="auto"/>
        <w:jc w:val="both"/>
        <w:rPr>
          <w:noProof/>
          <w:color w:val="000000"/>
        </w:rPr>
      </w:pPr>
      <w:r>
        <w:rPr>
          <w:noProof/>
          <w:color w:val="000000" w:themeColor="text1"/>
        </w:rPr>
        <w:t>Obiectivul acestei investiții este de a crește nivelul competențelor digitale în societate.</w:t>
      </w:r>
      <w:r>
        <w:rPr>
          <w:noProof/>
        </w:rPr>
        <w:t xml:space="preserve"> Această măsură constă în furnizarea de cursuri de formare în domeniul competențelor digitale și în înființarea unui Centru de dezvoltare a competențelor digitale.</w:t>
      </w:r>
    </w:p>
    <w:p w14:paraId="1216BADE" w14:textId="77777777" w:rsidR="00A60DDE" w:rsidRDefault="00A60DDE">
      <w:pPr>
        <w:pStyle w:val="Normal0"/>
        <w:pBdr>
          <w:top w:val="nil"/>
          <w:left w:val="nil"/>
          <w:bottom w:val="nil"/>
          <w:right w:val="nil"/>
          <w:between w:val="nil"/>
        </w:pBdr>
        <w:spacing w:before="120" w:after="120" w:line="240" w:lineRule="auto"/>
        <w:jc w:val="both"/>
        <w:rPr>
          <w:noProof/>
        </w:rPr>
      </w:pPr>
    </w:p>
    <w:p w14:paraId="1216BADF"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C3.1 Consolidarea securității cibernetice</w:t>
      </w:r>
    </w:p>
    <w:p w14:paraId="1216BAE0" w14:textId="77777777" w:rsidR="00A60DDE" w:rsidRDefault="00095506">
      <w:pPr>
        <w:pStyle w:val="P68B1DB1-Normal037"/>
        <w:pBdr>
          <w:top w:val="nil"/>
          <w:left w:val="nil"/>
          <w:bottom w:val="nil"/>
          <w:right w:val="nil"/>
          <w:between w:val="nil"/>
        </w:pBdr>
        <w:spacing w:before="120" w:after="120" w:line="240" w:lineRule="auto"/>
        <w:jc w:val="both"/>
        <w:rPr>
          <w:noProof/>
          <w:color w:val="000000"/>
        </w:rPr>
      </w:pPr>
      <w:r>
        <w:rPr>
          <w:noProof/>
        </w:rPr>
        <w:t>Obiectivul acestei reforme este de a spori capacitatea sistemului național de securitate cibernetică. Această măsură constă în adoptarea modificării legii privind securitatea cibernetică.</w:t>
      </w:r>
    </w:p>
    <w:p w14:paraId="1216BAE1" w14:textId="78EF60B0" w:rsidR="00A60DDE" w:rsidRDefault="00095506">
      <w:pPr>
        <w:pStyle w:val="P68B1DB1-Normal38"/>
        <w:rPr>
          <w:noProof/>
        </w:rPr>
      </w:pPr>
      <w:r>
        <w:rPr>
          <w:noProof/>
        </w:rPr>
        <w:br w:type="page"/>
      </w:r>
    </w:p>
    <w:p w14:paraId="125D3E45"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AE2"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C3.1.1 Securitate cibernetică – CyberPL, infrastructura de prelucrare a datelor și optimizarea infrastructurii serviciilor de aplicare a legii</w:t>
      </w:r>
    </w:p>
    <w:p w14:paraId="1216BAE3" w14:textId="6ADA949C"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Obiectivul acestei investiții este de a extinde soluțiile de securitate cibernetică în Polonia. Această măsură constă în: (i) acțiuni în domeniul securității cibernetice; (ii) construirea unei clădiri a centrului de date; (iii) furnizarea de echipamente pentru serviciile de aplicare a legii și (iv) lansarea de soluții de prelucrare a datelor privind infrastructura sau serviciile.</w:t>
      </w:r>
    </w:p>
    <w:p w14:paraId="1216BAE4"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A60DDE" w:rsidSect="006C5441">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299"/>
        </w:sectPr>
      </w:pPr>
    </w:p>
    <w:p w14:paraId="1216BAE5"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C.2. </w:t>
      </w:r>
      <w:r>
        <w:rPr>
          <w:noProof/>
        </w:rPr>
        <w:t xml:space="preserve"> </w:t>
      </w:r>
      <w:r>
        <w:rPr>
          <w:rFonts w:ascii="Times New Roman" w:hAnsi="Times New Roman"/>
          <w:b/>
          <w:noProof/>
          <w:color w:val="000000" w:themeColor="text1"/>
          <w:sz w:val="24"/>
          <w:szCs w:val="24"/>
        </w:rPr>
        <w:t>Jaloane, ținte, indicatori și calendar pentru monitorizarea și punerea în aplicare a sprijinului financiar nerambursabil</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992"/>
        <w:gridCol w:w="2268"/>
        <w:gridCol w:w="1361"/>
        <w:gridCol w:w="992"/>
        <w:gridCol w:w="1191"/>
        <w:gridCol w:w="992"/>
        <w:gridCol w:w="993"/>
        <w:gridCol w:w="840"/>
        <w:gridCol w:w="2992"/>
      </w:tblGrid>
      <w:tr w:rsidR="00A60DDE" w14:paraId="1216BAEF" w14:textId="77777777">
        <w:trPr>
          <w:trHeight w:val="731"/>
          <w:tblHeader/>
          <w:jc w:val="center"/>
        </w:trPr>
        <w:tc>
          <w:tcPr>
            <w:tcW w:w="846" w:type="dxa"/>
            <w:vMerge w:val="restart"/>
            <w:shd w:val="clear" w:color="auto" w:fill="BDD7EE"/>
            <w:vAlign w:val="center"/>
          </w:tcPr>
          <w:p w14:paraId="1216BAE6" w14:textId="58D924D0" w:rsidR="00A60DDE" w:rsidRDefault="005631E2">
            <w:pPr>
              <w:pStyle w:val="P68B1DB1-Normal061"/>
              <w:pBdr>
                <w:top w:val="nil"/>
                <w:left w:val="nil"/>
                <w:bottom w:val="nil"/>
                <w:right w:val="nil"/>
                <w:between w:val="nil"/>
              </w:pBdr>
              <w:spacing w:after="0" w:line="240" w:lineRule="auto"/>
              <w:jc w:val="center"/>
              <w:rPr>
                <w:rFonts w:eastAsia="Times New Roman"/>
                <w:noProof/>
              </w:rPr>
            </w:pPr>
            <w:r>
              <w:rPr>
                <w:noProof/>
              </w:rPr>
              <w:t>Nr. secv</w:t>
            </w:r>
          </w:p>
        </w:tc>
        <w:tc>
          <w:tcPr>
            <w:tcW w:w="2126" w:type="dxa"/>
            <w:vMerge w:val="restart"/>
            <w:shd w:val="clear" w:color="auto" w:fill="BDD7EE"/>
            <w:vAlign w:val="center"/>
          </w:tcPr>
          <w:p w14:paraId="1216BAE7"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992" w:type="dxa"/>
            <w:vMerge w:val="restart"/>
            <w:shd w:val="clear" w:color="auto" w:fill="BDD7EE"/>
            <w:vAlign w:val="center"/>
          </w:tcPr>
          <w:p w14:paraId="1216BAE8"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Etapa/ținta</w:t>
            </w:r>
          </w:p>
        </w:tc>
        <w:tc>
          <w:tcPr>
            <w:tcW w:w="2268" w:type="dxa"/>
            <w:vMerge w:val="restart"/>
            <w:shd w:val="clear" w:color="auto" w:fill="BDD7EE"/>
            <w:vAlign w:val="center"/>
          </w:tcPr>
          <w:p w14:paraId="1216BAE9"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361" w:type="dxa"/>
            <w:vMerge w:val="restart"/>
            <w:shd w:val="clear" w:color="auto" w:fill="BDD7EE"/>
            <w:vAlign w:val="center"/>
          </w:tcPr>
          <w:p w14:paraId="1216BAEA" w14:textId="19C15DCC"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Indicatori calitativi (pentru obiectivele de etapă)</w:t>
            </w:r>
          </w:p>
        </w:tc>
        <w:tc>
          <w:tcPr>
            <w:tcW w:w="3175" w:type="dxa"/>
            <w:gridSpan w:val="3"/>
            <w:shd w:val="clear" w:color="auto" w:fill="BDD7EE"/>
            <w:vAlign w:val="center"/>
          </w:tcPr>
          <w:p w14:paraId="1216BAEB" w14:textId="77777777" w:rsidR="00A60DDE" w:rsidRDefault="00095506">
            <w:pPr>
              <w:pStyle w:val="P68B1DB1-Normal061"/>
              <w:pBdr>
                <w:top w:val="nil"/>
                <w:left w:val="nil"/>
                <w:bottom w:val="nil"/>
                <w:right w:val="nil"/>
                <w:between w:val="nil"/>
              </w:pBdr>
              <w:spacing w:after="0" w:line="240" w:lineRule="auto"/>
              <w:jc w:val="center"/>
              <w:rPr>
                <w:noProof/>
              </w:rPr>
            </w:pPr>
            <w:r>
              <w:rPr>
                <w:noProof/>
              </w:rPr>
              <w:t>Indicatori cantitativi</w:t>
            </w:r>
          </w:p>
          <w:p w14:paraId="1216BAEC"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(pentru obiective)</w:t>
            </w:r>
          </w:p>
        </w:tc>
        <w:tc>
          <w:tcPr>
            <w:tcW w:w="1833" w:type="dxa"/>
            <w:gridSpan w:val="2"/>
            <w:shd w:val="clear" w:color="auto" w:fill="BDD7EE"/>
            <w:vAlign w:val="center"/>
          </w:tcPr>
          <w:p w14:paraId="1216BAED"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2992" w:type="dxa"/>
            <w:vMerge w:val="restart"/>
            <w:shd w:val="clear" w:color="auto" w:fill="BDD7EE"/>
            <w:vAlign w:val="center"/>
          </w:tcPr>
          <w:p w14:paraId="1216BAEE"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A60DDE" w14:paraId="1216BAFB" w14:textId="77777777">
        <w:trPr>
          <w:trHeight w:val="558"/>
          <w:jc w:val="center"/>
        </w:trPr>
        <w:tc>
          <w:tcPr>
            <w:tcW w:w="846" w:type="dxa"/>
            <w:vMerge/>
            <w:vAlign w:val="center"/>
          </w:tcPr>
          <w:p w14:paraId="1216BAF0"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AF1"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vMerge/>
            <w:vAlign w:val="center"/>
          </w:tcPr>
          <w:p w14:paraId="1216BAF2"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268" w:type="dxa"/>
            <w:vMerge/>
            <w:vAlign w:val="center"/>
          </w:tcPr>
          <w:p w14:paraId="1216BAF3"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361" w:type="dxa"/>
            <w:vMerge/>
            <w:vAlign w:val="center"/>
          </w:tcPr>
          <w:p w14:paraId="1216BAF4"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5"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6"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7"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8"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9"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2992" w:type="dxa"/>
            <w:vMerge/>
            <w:vAlign w:val="center"/>
          </w:tcPr>
          <w:p w14:paraId="1216BAFA"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B08"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C"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C1G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D"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C1.1 Facilitarea dezvoltării infrastructurii de rețea pentru a asigura accesul universal la internetul de mare viteză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E"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F"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Cadrul pregătit de Cancelaria Prim-ministrului pentru cofinanțarea proiectelor de bandă largă în zonele albe de acces de generație următoare (NGA), în care nu există în prezent nicio rețea NGA</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0" w14:textId="5E841D88" w:rsidR="00A60DDE" w:rsidRDefault="00095506">
            <w:pPr>
              <w:pStyle w:val="P68B1DB1-Normal062"/>
              <w:pBdr>
                <w:top w:val="nil"/>
                <w:left w:val="nil"/>
                <w:bottom w:val="nil"/>
                <w:right w:val="nil"/>
                <w:between w:val="nil"/>
              </w:pBdr>
              <w:spacing w:after="0" w:line="240" w:lineRule="auto"/>
              <w:rPr>
                <w:noProof/>
                <w:color w:val="006100"/>
              </w:rPr>
            </w:pPr>
            <w:r>
              <w:rPr>
                <w:noProof/>
              </w:rPr>
              <w:t>Publicarea cadrului pe site-urile Cancelariei Prim-ministrului și ale Centrului de proiect Polonia digitală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4"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5"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6" w14:textId="77777777" w:rsidR="00A60DDE" w:rsidRDefault="00095506">
            <w:pPr>
              <w:pStyle w:val="P68B1DB1-Normal062"/>
              <w:pBdr>
                <w:top w:val="nil"/>
                <w:left w:val="nil"/>
                <w:bottom w:val="nil"/>
                <w:right w:val="nil"/>
                <w:between w:val="nil"/>
              </w:pBdr>
              <w:spacing w:after="0" w:line="240" w:lineRule="auto"/>
              <w:rPr>
                <w:noProof/>
              </w:rPr>
            </w:pPr>
            <w:r>
              <w:rPr>
                <w:noProof/>
              </w:rPr>
              <w:t>Instituirea cadrului ca bază pentru următoarea cerere de propuneri.</w:t>
            </w:r>
          </w:p>
          <w:p w14:paraId="1216BB07"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Cadrul include dispoziții pentru a asigura conformitatea deplină cu Orientările tehnice de „a nu prejudicia în mod semnificativ” (2021/C58/01) a proiectelor sprijinite în cadrul acestei măsuri prin utilizarea evaluării durabilității, a unei liste de excludere și a cerinței de conformitate cu legislația UE și națională relevantă în domeniul mediului.</w:t>
            </w:r>
          </w:p>
        </w:tc>
      </w:tr>
      <w:tr w:rsidR="00A60DDE" w14:paraId="1216BB14" w14:textId="77777777">
        <w:trPr>
          <w:trHeight w:val="136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9"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C2G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A"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C1.1 Facilitarea dezvoltării infrastructurii de rețea pentru a asigura accesul universal la internetul de mare viteză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B"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C"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Modificarea Regulamentului ministrului digitalizării privind inventarul anual al infrastructurii și amperilor de telecomunicații; servicii</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D"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modificarea regulamentului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E"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F"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0"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1"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2"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3" w14:textId="77777777" w:rsidR="00A60DDE" w:rsidRDefault="00095506">
            <w:pPr>
              <w:pStyle w:val="P68B1DB1-Normal062"/>
              <w:pBdr>
                <w:top w:val="nil"/>
                <w:left w:val="nil"/>
                <w:bottom w:val="nil"/>
                <w:right w:val="nil"/>
                <w:between w:val="nil"/>
              </w:pBdr>
              <w:spacing w:after="0" w:line="240" w:lineRule="auto"/>
              <w:rPr>
                <w:noProof/>
              </w:rPr>
            </w:pPr>
            <w:r>
              <w:rPr>
                <w:noProof/>
              </w:rPr>
              <w:t>Intrarea în vigoare a modificării Regulamentului privind inventarul național al infrastructurii și serviciilor de telecomunicații, pentru a identifica mai bine domeniile care necesită sprijin suplimentar din partea intervențiilor publice.</w:t>
            </w:r>
          </w:p>
        </w:tc>
      </w:tr>
      <w:tr w:rsidR="00A60DDE" w14:paraId="1216BB20"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5" w14:textId="77777777" w:rsidR="00A60DDE" w:rsidRDefault="00095506">
            <w:pPr>
              <w:pStyle w:val="P68B1DB1-Normal021"/>
              <w:spacing w:after="0" w:line="240" w:lineRule="auto"/>
              <w:jc w:val="center"/>
              <w:rPr>
                <w:noProof/>
                <w:color w:val="006100"/>
              </w:rPr>
            </w:pPr>
            <w:r>
              <w:rPr>
                <w:noProof/>
              </w:rPr>
              <w:t>C3G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6"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C1.1 Facilitarea dezvoltării infrastructurii de rețea pentru a asigura accesul universal la internetul de mare viteză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7"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8" w14:textId="1ABF6991" w:rsidR="00A60DDE" w:rsidRDefault="00095506">
            <w:pPr>
              <w:pStyle w:val="P68B1DB1-Normal062"/>
              <w:spacing w:after="0" w:line="240" w:lineRule="auto"/>
              <w:rPr>
                <w:noProof/>
                <w:color w:val="006100"/>
              </w:rPr>
            </w:pPr>
            <w:r>
              <w:rPr>
                <w:noProof/>
              </w:rPr>
              <w:t>Modificarea Regulamentului privind punctul unic de informare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9"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modificarea regulamentului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A"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D"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E"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F" w14:textId="77777777" w:rsidR="00A60DDE" w:rsidRDefault="00095506">
            <w:pPr>
              <w:pStyle w:val="P68B1DB1-Normal062"/>
              <w:spacing w:after="0" w:line="240" w:lineRule="auto"/>
              <w:rPr>
                <w:noProof/>
              </w:rPr>
            </w:pPr>
            <w:r>
              <w:rPr>
                <w:noProof/>
              </w:rPr>
              <w:t>Intrarea în vigoare a modificării Regulamentului privind punctul unic de informare pentru a oferi operatorilor informații privind infrastructura pentru investiții în telecomunicații și instrumentul de planificare.</w:t>
            </w:r>
          </w:p>
        </w:tc>
      </w:tr>
      <w:tr w:rsidR="00A60DDE" w14:paraId="1216BB2C" w14:textId="77777777">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1"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C5aG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2"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Accesul la rețeaua în bandă largă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4" w14:textId="77777777" w:rsidR="00A60DDE" w:rsidRDefault="00095506">
            <w:pPr>
              <w:pStyle w:val="P68B1DB1-Normal062"/>
              <w:spacing w:after="0" w:line="240" w:lineRule="auto"/>
              <w:rPr>
                <w:rFonts w:eastAsia="Times New Roman"/>
                <w:noProof/>
                <w:color w:val="006100"/>
              </w:rPr>
            </w:pPr>
            <w:r>
              <w:rPr>
                <w:noProof/>
              </w:rPr>
              <w:t>Contracte semnate cu furnizorii de servicii în bandă largă</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5"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Contracte semnate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7" w14:textId="77777777" w:rsidR="00A60DDE" w:rsidRDefault="00A60DDE">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8" w14:textId="77777777" w:rsidR="00A60DDE" w:rsidRDefault="00A60DDE">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B" w14:textId="3F34DD1C" w:rsidR="00A60DDE" w:rsidRDefault="00095506">
            <w:pPr>
              <w:pStyle w:val="P68B1DB1-NoSpacing65"/>
              <w:rPr>
                <w:rFonts w:ascii="Times New Roman" w:hAnsi="Times New Roman" w:cs="Times New Roman"/>
                <w:noProof/>
                <w:color w:val="000000"/>
              </w:rPr>
            </w:pPr>
            <w:r>
              <w:rPr>
                <w:rFonts w:ascii="Times New Roman" w:hAnsi="Times New Roman" w:cs="Times New Roman"/>
                <w:noProof/>
                <w:color w:val="000000" w:themeColor="text1"/>
              </w:rPr>
              <w:t xml:space="preserve">Contractele se semnează cu </w:t>
            </w:r>
            <w:r>
              <w:rPr>
                <w:rFonts w:ascii="Times New Roman" w:eastAsia="Times New Roman" w:hAnsi="Times New Roman" w:cs="Times New Roman"/>
                <w:noProof/>
              </w:rPr>
              <w:t>furnizorii de servicii în bandă largă</w:t>
            </w:r>
            <w:r>
              <w:rPr>
                <w:rFonts w:ascii="Times New Roman" w:hAnsi="Times New Roman" w:cs="Times New Roman"/>
                <w:noProof/>
                <w:color w:val="000000" w:themeColor="text1"/>
              </w:rPr>
              <w:t xml:space="preserve"> pentru a pune banda largă la dispoziția a 521</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 de unități rezidențiale.</w:t>
            </w:r>
          </w:p>
        </w:tc>
      </w:tr>
      <w:tr w:rsidR="00A60DDE" w14:paraId="1216BB38"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D"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E"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Accesul la rețeaua în bandă largă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F"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0" w14:textId="6358CCCF" w:rsidR="00A60DDE" w:rsidRDefault="00095506">
            <w:pPr>
              <w:pStyle w:val="P68B1DB1-Normal062"/>
              <w:spacing w:after="0" w:line="240" w:lineRule="auto"/>
              <w:rPr>
                <w:rFonts w:eastAsia="Times New Roman"/>
                <w:noProof/>
                <w:color w:val="006100"/>
              </w:rPr>
            </w:pPr>
            <w:r>
              <w:rPr>
                <w:noProof/>
              </w:rPr>
              <w:t>Unități rezidențiale cu acces la bandă largă de 100 Mb/s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1" w14:textId="60B6163C"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Creșterea ponderii unităților rezidențiale cu acces la banda largă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3" w14:textId="77777777" w:rsidR="00A60DDE" w:rsidRDefault="00A60DDE">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4" w14:textId="77777777" w:rsidR="00A60DDE" w:rsidRDefault="00A60DDE">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7" w14:textId="5C5F8164" w:rsidR="00A60DDE" w:rsidRDefault="00095506">
            <w:pPr>
              <w:pStyle w:val="P68B1DB1-Normal062"/>
              <w:spacing w:after="0" w:line="240" w:lineRule="auto"/>
              <w:rPr>
                <w:noProof/>
              </w:rPr>
            </w:pPr>
            <w:r>
              <w:rPr>
                <w:noProof/>
              </w:rPr>
              <w:t>O creștere a ponderii unităților rezidențiale din Polonia cu acces la bandă largă de cel puțin 100 Mb/s cu cel puțin 3,9 puncte procentuale în comparație cu valoarea de referință de 79,6 % din 2023.</w:t>
            </w:r>
          </w:p>
        </w:tc>
      </w:tr>
      <w:tr w:rsidR="00A60DDE" w14:paraId="1216BB50"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5"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6"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8" w14:textId="7B40A9FE" w:rsidR="00A60DDE" w:rsidRDefault="00095506">
            <w:pPr>
              <w:pStyle w:val="P68B1DB1-Normal062"/>
              <w:spacing w:after="0" w:line="240" w:lineRule="auto"/>
              <w:rPr>
                <w:rFonts w:eastAsia="Times New Roman"/>
                <w:noProof/>
                <w:color w:val="006100"/>
              </w:rPr>
            </w:pPr>
            <w:r>
              <w:rPr>
                <w:noProof/>
              </w:rPr>
              <w:t>Informatizarea activităților entităților care îndeplinesc sarcini publice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9"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Dispoziție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E" w14:textId="77777777" w:rsidR="00A60DDE" w:rsidRDefault="00095506">
            <w:pPr>
              <w:pStyle w:val="P68B1DB1-Normal062"/>
              <w:spacing w:after="0" w:line="240" w:lineRule="auto"/>
              <w:jc w:val="center"/>
              <w:rPr>
                <w:rFonts w:eastAsia="Times New Roman"/>
                <w:noProof/>
                <w:color w:val="006100"/>
              </w:rPr>
            </w:pPr>
            <w:r>
              <w:rPr>
                <w:noProof/>
              </w:rPr>
              <w:t>2024</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F" w14:textId="77777777" w:rsidR="00A60DDE" w:rsidRDefault="00095506">
            <w:pPr>
              <w:pStyle w:val="P68B1DB1-Normal062"/>
              <w:spacing w:after="0" w:line="240" w:lineRule="auto"/>
              <w:rPr>
                <w:noProof/>
              </w:rPr>
            </w:pPr>
            <w:r>
              <w:rPr>
                <w:noProof/>
              </w:rPr>
              <w:t>Intrarea în vigoare a modificării actului privind informatizarea activităților entităților care îndeplinesc sarcini publice în ceea ce privește: (i) permiterea creării arhitecturii informaționale de stat, (ii) introducerea Comisiei pentru afaceri digitale, (iii) furnizarea temeiului juridic pentru adoptarea unei strategii de informatizare de stat și (iv) introducerea unui sistem de inventariere a sistemelor TIC.</w:t>
            </w:r>
          </w:p>
        </w:tc>
      </w:tr>
      <w:tr w:rsidR="00A60DDE" w14:paraId="1216BB5E"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1"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2"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4" w14:textId="77777777" w:rsidR="00A60DDE" w:rsidRDefault="00095506">
            <w:pPr>
              <w:pStyle w:val="P68B1DB1-Normal062"/>
              <w:spacing w:after="0" w:line="240" w:lineRule="auto"/>
              <w:rPr>
                <w:rFonts w:eastAsia="Times New Roman"/>
                <w:noProof/>
                <w:color w:val="006100"/>
              </w:rPr>
            </w:pPr>
            <w:r>
              <w:rPr>
                <w:noProof/>
              </w:rPr>
              <w:t>Utilizarea facturilor structurate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5"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Dispoziție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6"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9" w14:textId="77777777" w:rsidR="00A60DDE" w:rsidRDefault="00095506">
            <w:pPr>
              <w:pStyle w:val="P68B1DB1-Normal062"/>
              <w:spacing w:after="0" w:line="240" w:lineRule="auto"/>
              <w:jc w:val="center"/>
              <w:rPr>
                <w:rFonts w:eastAsia="Times New Roman"/>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A" w14:textId="77777777" w:rsidR="00A60DDE" w:rsidRDefault="00095506">
            <w:pPr>
              <w:pStyle w:val="P68B1DB1-Normal062"/>
              <w:spacing w:after="0" w:line="240" w:lineRule="auto"/>
              <w:jc w:val="center"/>
              <w:rPr>
                <w:rFonts w:eastAsia="Times New Roman"/>
                <w:noProof/>
                <w:color w:val="006100"/>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B" w14:textId="77777777" w:rsidR="00A60DDE" w:rsidRDefault="00095506">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Intrarea în vigoare a modificării (modificărilor) Legii privind taxa pe bunuri și servicii în ceea ce privește utilizarea facturilor structurate pentru contribuabilii a căror valoare totală a vânzărilor, inclusiv valoarea taxei, documentată prin facturile respective emise într-o anumită lună, depășește 10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PLN.</w:t>
            </w:r>
          </w:p>
          <w:p w14:paraId="1216BB5C" w14:textId="77777777" w:rsidR="00A60DDE" w:rsidRDefault="00A60DDE">
            <w:pPr>
              <w:pStyle w:val="Normal0"/>
              <w:spacing w:after="0" w:line="240" w:lineRule="auto"/>
              <w:rPr>
                <w:rFonts w:ascii="Times New Roman" w:hAnsi="Times New Roman" w:cs="Times New Roman"/>
                <w:noProof/>
                <w:color w:val="000000" w:themeColor="text1"/>
                <w:sz w:val="18"/>
                <w:szCs w:val="18"/>
              </w:rPr>
            </w:pPr>
          </w:p>
          <w:p w14:paraId="1216BB5D" w14:textId="4DCC951F" w:rsidR="00A60DDE" w:rsidRDefault="00095506">
            <w:pPr>
              <w:pStyle w:val="P68B1DB1-Normal062"/>
              <w:spacing w:after="0" w:line="240" w:lineRule="auto"/>
              <w:rPr>
                <w:noProof/>
              </w:rPr>
            </w:pPr>
            <w:r>
              <w:rPr>
                <w:noProof/>
              </w:rPr>
              <w:t>Se poate aplica o perioadă de tranziție, astfel încât utilizarea facturilor structurate pentru acești contribuabili să fie obligatorie începând cu 1 aprilie 2026.</w:t>
            </w:r>
          </w:p>
        </w:tc>
      </w:tr>
      <w:tr w:rsidR="00A60DDE" w14:paraId="1216BB6C"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F" w14:textId="77777777" w:rsidR="00A60DDE" w:rsidRDefault="00095506">
            <w:pPr>
              <w:pStyle w:val="P68B1DB1-Normal021"/>
              <w:spacing w:after="0" w:line="240" w:lineRule="auto"/>
              <w:jc w:val="center"/>
              <w:rPr>
                <w:noProof/>
                <w:color w:val="006100"/>
              </w:rPr>
            </w:pPr>
            <w:r>
              <w:rPr>
                <w:noProof/>
              </w:rPr>
              <w:t>C9G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0"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1"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2"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Standarde minime obligatorii pentru dotarea tuturor școlilor cu infrastructură digitală pentru a permite utilizarea tehnologiilor digitale în procesul de învățare la un nivel egal în fiecare școală</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3" w14:textId="77777777" w:rsidR="00A60DDE" w:rsidRDefault="00095506">
            <w:pPr>
              <w:pStyle w:val="P68B1DB1-Normal062"/>
              <w:spacing w:after="0" w:line="240" w:lineRule="auto"/>
              <w:rPr>
                <w:noProof/>
                <w:color w:val="006100"/>
              </w:rPr>
            </w:pPr>
            <w:r>
              <w:rPr>
                <w:noProof/>
              </w:rPr>
              <w:t xml:space="preserve">Adoptarea standardelor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5"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7"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8"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9" w14:textId="77777777" w:rsidR="00A60DDE" w:rsidRDefault="00095506">
            <w:pPr>
              <w:pStyle w:val="P68B1DB1-Normal062"/>
              <w:spacing w:after="0" w:line="240" w:lineRule="auto"/>
              <w:rPr>
                <w:noProof/>
                <w:color w:val="000000" w:themeColor="text1"/>
              </w:rPr>
            </w:pPr>
            <w:r>
              <w:rPr>
                <w:noProof/>
              </w:rPr>
              <w:t xml:space="preserve">Adoptarea unor standarde obligatorii pentru dotarea școlilor cu infrastructură digitală, care sunt obligatorii pentru școli pentru a atinge același nivel de infrastructură digitală. Elaborarea standardelor este consultată cu părțile interesate și cu administrația locală. </w:t>
            </w:r>
          </w:p>
          <w:p w14:paraId="1216BB6A" w14:textId="77777777" w:rsidR="00A60DDE" w:rsidRDefault="00A60DDE">
            <w:pPr>
              <w:pStyle w:val="Normal0"/>
              <w:spacing w:after="0" w:line="240" w:lineRule="auto"/>
              <w:rPr>
                <w:rFonts w:ascii="Times New Roman" w:hAnsi="Times New Roman" w:cs="Times New Roman"/>
                <w:noProof/>
                <w:color w:val="000000" w:themeColor="text1"/>
                <w:sz w:val="18"/>
                <w:szCs w:val="18"/>
              </w:rPr>
            </w:pPr>
          </w:p>
          <w:p w14:paraId="1216BB6B" w14:textId="759D177D" w:rsidR="00A60DDE" w:rsidRDefault="00095506">
            <w:pPr>
              <w:pStyle w:val="P68B1DB1-Normal062"/>
              <w:spacing w:after="0" w:line="240" w:lineRule="auto"/>
              <w:rPr>
                <w:noProof/>
              </w:rPr>
            </w:pPr>
            <w:r>
              <w:rPr>
                <w:noProof/>
              </w:rPr>
              <w:t>În domeniul educației, se definesc standarde minime obligatorii pentru dotarea școlilor cu infrastructuri digitale. Orientările obligatorii sunt elaborate în cooperare cu administrațiile locale și în consultare cu un grup larg de părți interesate și asigură un nivel minim de echipamente pentru tehnologia informației și a calculatoarelor (TIC) pentru fiecare școală din Polonia.</w:t>
            </w:r>
          </w:p>
        </w:tc>
      </w:tr>
      <w:tr w:rsidR="00A60DDE" w14:paraId="1216BB7A"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D"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C10G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E"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F"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0" w14:textId="56F3CC0B" w:rsidR="00A60DDE" w:rsidRDefault="00095506">
            <w:pPr>
              <w:pStyle w:val="P68B1DB1-Normal062"/>
              <w:spacing w:after="0" w:line="240" w:lineRule="auto"/>
              <w:rPr>
                <w:noProof/>
                <w:color w:val="006100"/>
              </w:rPr>
            </w:pPr>
            <w:r>
              <w:rPr>
                <w:noProof/>
              </w:rPr>
              <w:t>Intrarea în vigoare a rezoluției Consiliului de Miniștri privind Programul de dezvoltare a competențelor digitale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1" w14:textId="61E79F5B"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rezoluția Consiliului de Miniștri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2"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5"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6"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7" w14:textId="77777777" w:rsidR="00A60DDE" w:rsidRDefault="00095506">
            <w:pPr>
              <w:pStyle w:val="P68B1DB1-Normal062"/>
              <w:spacing w:after="0" w:line="240" w:lineRule="auto"/>
              <w:rPr>
                <w:noProof/>
                <w:color w:val="000000" w:themeColor="text1"/>
              </w:rPr>
            </w:pPr>
            <w:r>
              <w:rPr>
                <w:noProof/>
              </w:rPr>
              <w:t>Intrarea în vigoare a rezoluției Consiliului de Miniștri privind Programul de dezvoltare a competențelor digitale (care este un program multianual până în 2030), inclusiv planul de punere în aplicare, măsurile de evaluare și monitorizare în conformitate cu „Actul privind principiile politicii de dezvoltare”. Programul va fi elaborat adoptând o abordare multipartită. Programul instituie, printre altele, Centrul de dezvoltare a competențelor digitale (DCDC) și politica de dezvoltare a competențelor digitale.</w:t>
            </w:r>
          </w:p>
          <w:p w14:paraId="1216BB78" w14:textId="77777777" w:rsidR="00A60DDE" w:rsidRDefault="00A60DDE">
            <w:pPr>
              <w:pStyle w:val="Normal0"/>
              <w:spacing w:after="0" w:line="240" w:lineRule="auto"/>
              <w:rPr>
                <w:rFonts w:ascii="Times New Roman" w:hAnsi="Times New Roman" w:cs="Times New Roman"/>
                <w:noProof/>
                <w:color w:val="000000" w:themeColor="text1"/>
                <w:sz w:val="18"/>
                <w:szCs w:val="18"/>
              </w:rPr>
            </w:pPr>
          </w:p>
          <w:p w14:paraId="1216BB79" w14:textId="0DD94C57" w:rsidR="00A60DDE" w:rsidRDefault="00095506">
            <w:pPr>
              <w:pStyle w:val="P68B1DB1-Normal062"/>
              <w:spacing w:after="0" w:line="240" w:lineRule="auto"/>
              <w:rPr>
                <w:noProof/>
              </w:rPr>
            </w:pPr>
            <w:r>
              <w:rPr>
                <w:noProof/>
              </w:rPr>
              <w:t>În ceea ce privește competențele digitale, se creează și se pune în aplicare Programul de dezvoltare a competențelor digitale. Programul definește un set cuprinzător de cerințe pe termen lung pentru a sprijini dezvoltarea și monitorizarea competențelor digitale în educația formală, non-formală și informală. Înființarea și funcționarea Centrului de dezvoltare a competențelor digitale sunt formulate în mod clar în program. Documentul este elaborat utilizând o abordare multipartită.</w:t>
            </w:r>
          </w:p>
        </w:tc>
      </w:tr>
      <w:tr w:rsidR="00A60DDE" w14:paraId="1216BB86"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B"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C12G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C" w14:textId="77777777" w:rsidR="00A60DDE" w:rsidRDefault="00095506">
            <w:pPr>
              <w:pStyle w:val="P68B1DB1-Normal021"/>
              <w:spacing w:after="0" w:line="240" w:lineRule="auto"/>
              <w:rPr>
                <w:rFonts w:eastAsia="Times New Roman"/>
                <w:noProof/>
                <w:color w:val="006100"/>
              </w:rPr>
            </w:pPr>
            <w:r>
              <w:rPr>
                <w:noProof/>
              </w:rPr>
              <w:t>C2.1.1 Servicii electronice publice și soluții informatice pentru administrația publică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E"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Servicii electronice publice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F"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1"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2" w14:textId="3F6A08DE"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80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5" w14:textId="0B6046F6"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Noile servicii electronice publice sunt puse la dispoziție online, serviciile electronice publice existente sunt modernizate sau serviciile electronice sunt integrate în aplicația mObywatel.</w:t>
            </w:r>
          </w:p>
        </w:tc>
      </w:tr>
      <w:tr w:rsidR="00A60DDE" w14:paraId="1216BB92"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7"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C13aG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8" w14:textId="45D7304F" w:rsidR="00A60DDE" w:rsidRDefault="00095506">
            <w:pPr>
              <w:pStyle w:val="P68B1DB1-Normal021"/>
              <w:spacing w:after="0" w:line="240" w:lineRule="auto"/>
              <w:rPr>
                <w:rFonts w:eastAsia="Times New Roman"/>
                <w:noProof/>
                <w:color w:val="000000"/>
              </w:rPr>
            </w:pPr>
            <w:r>
              <w:rPr>
                <w:noProof/>
              </w:rPr>
              <w:t>C2.1.1 Servicii electronice publice și soluții informatice pentru administrația publică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A" w14:textId="77777777" w:rsidR="00A60DDE" w:rsidRDefault="00095506">
            <w:pPr>
              <w:pStyle w:val="P68B1DB1-Normal062"/>
              <w:pBdr>
                <w:top w:val="nil"/>
                <w:left w:val="nil"/>
                <w:bottom w:val="nil"/>
                <w:right w:val="nil"/>
                <w:between w:val="nil"/>
              </w:pBdr>
              <w:spacing w:after="0" w:line="240" w:lineRule="auto"/>
              <w:rPr>
                <w:noProof/>
              </w:rPr>
            </w:pPr>
            <w:r>
              <w:rPr>
                <w:noProof/>
              </w:rPr>
              <w:t xml:space="preserve">Sisteme informatice publice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B"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C"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E" w14:textId="61E31074"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7</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F" w14:textId="4CD62E0A"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1" w14:textId="645256C2"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Se lansează sau se extind cel puțin 7 sisteme informatice publice.</w:t>
            </w:r>
          </w:p>
        </w:tc>
      </w:tr>
      <w:tr w:rsidR="00A60DDE" w14:paraId="1216BB9F"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3" w14:textId="77777777" w:rsidR="00A60DDE" w:rsidRDefault="00095506">
            <w:pPr>
              <w:pStyle w:val="P68B1DB1-Normal021"/>
              <w:spacing w:after="0" w:line="240" w:lineRule="auto"/>
              <w:jc w:val="center"/>
              <w:rPr>
                <w:noProof/>
              </w:rPr>
            </w:pPr>
            <w:r>
              <w:rPr>
                <w:noProof/>
              </w:rPr>
              <w:t>C13bG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4" w14:textId="77777777" w:rsidR="00A60DDE" w:rsidRDefault="00095506">
            <w:pPr>
              <w:pStyle w:val="P68B1DB1-Normal021"/>
              <w:spacing w:line="240" w:lineRule="auto"/>
              <w:rPr>
                <w:noProof/>
              </w:rPr>
            </w:pPr>
            <w:r>
              <w:rPr>
                <w:noProof/>
              </w:rPr>
              <w:t xml:space="preserve">C2.1.1 Servicii electronice publice și soluții informatice pentru administrația publică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5" w14:textId="77777777" w:rsidR="00A60DDE" w:rsidRDefault="00095506">
            <w:pPr>
              <w:pStyle w:val="P68B1DB1-Normal021"/>
              <w:spacing w:line="240" w:lineRule="auto"/>
              <w:jc w:val="center"/>
              <w:rPr>
                <w:noProof/>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6" w14:textId="77777777" w:rsidR="00A60DDE" w:rsidRDefault="00095506">
            <w:pPr>
              <w:pStyle w:val="P68B1DB1-Normal021"/>
              <w:spacing w:line="240" w:lineRule="auto"/>
              <w:rPr>
                <w:noProof/>
              </w:rPr>
            </w:pPr>
            <w:r>
              <w:rPr>
                <w:noProof/>
              </w:rPr>
              <w:t>Digitalizarea administrației publice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7" w14:textId="77777777" w:rsidR="00A60DDE" w:rsidRDefault="00095506">
            <w:pPr>
              <w:pStyle w:val="P68B1DB1-Normal021"/>
              <w:spacing w:line="240" w:lineRule="auto"/>
              <w:rPr>
                <w:noProof/>
              </w:rPr>
            </w:pPr>
            <w:r>
              <w:rPr>
                <w:noProof/>
              </w:rPr>
              <w:t>Sunt disponibile sisteme electronice de gestionare a documentelor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8" w14:textId="77777777" w:rsidR="00A60DDE" w:rsidRDefault="00A60DDE">
            <w:pPr>
              <w:pStyle w:val="Normal0"/>
              <w:spacing w:line="240" w:lineRule="auto"/>
              <w:jc w:val="center"/>
              <w:rPr>
                <w:rFonts w:ascii="Times New Roman" w:hAnsi="Times New Roman" w:cs="Times New Roman"/>
                <w:noProof/>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9" w14:textId="77777777" w:rsidR="00A60DDE" w:rsidRDefault="00A60DDE">
            <w:pPr>
              <w:pStyle w:val="Normal0"/>
              <w:spacing w:line="240" w:lineRule="auto"/>
              <w:jc w:val="center"/>
              <w:rPr>
                <w:rFonts w:ascii="Times New Roman" w:hAnsi="Times New Roman" w:cs="Times New Roman"/>
                <w:noProof/>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A" w14:textId="77777777" w:rsidR="00A60DDE" w:rsidRDefault="00A60DDE">
            <w:pPr>
              <w:pStyle w:val="Normal0"/>
              <w:spacing w:line="240" w:lineRule="auto"/>
              <w:jc w:val="center"/>
              <w:rPr>
                <w:rFonts w:ascii="Times New Roman" w:hAnsi="Times New Roman" w:cs="Times New Roman"/>
                <w:noProof/>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B" w14:textId="55219858" w:rsidR="00A60DDE" w:rsidRDefault="00095506">
            <w:pPr>
              <w:pStyle w:val="P68B1DB1-Normal021"/>
              <w:spacing w:line="240" w:lineRule="auto"/>
              <w:jc w:val="center"/>
              <w:rPr>
                <w:noProof/>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C" w14:textId="77777777" w:rsidR="00A60DDE" w:rsidRDefault="00095506">
            <w:pPr>
              <w:pStyle w:val="P68B1DB1-Normal021"/>
              <w:spacing w:line="240" w:lineRule="auto"/>
              <w:jc w:val="center"/>
              <w:rPr>
                <w:noProof/>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D" w14:textId="78638548" w:rsidR="00A60DDE" w:rsidRDefault="00095506">
            <w:pPr>
              <w:pStyle w:val="P68B1DB1-Normal021"/>
              <w:spacing w:line="240" w:lineRule="auto"/>
              <w:rPr>
                <w:noProof/>
              </w:rPr>
            </w:pPr>
            <w:r>
              <w:rPr>
                <w:noProof/>
              </w:rPr>
              <w:t>Sistemele electronice de gestionare a documentelor sunt puse la dispoziție pentru utilizare în producție la 3 050 de beneficiari.</w:t>
            </w:r>
          </w:p>
          <w:p w14:paraId="1216BB9E" w14:textId="77777777" w:rsidR="00A60DDE" w:rsidRDefault="00095506">
            <w:pPr>
              <w:pStyle w:val="P68B1DB1-Normal024"/>
              <w:spacing w:after="0" w:line="240" w:lineRule="auto"/>
              <w:rPr>
                <w:rFonts w:ascii="Times New Roman" w:hAnsi="Times New Roman" w:cs="Times New Roman"/>
                <w:noProof/>
              </w:rPr>
            </w:pPr>
            <w:r>
              <w:rPr>
                <w:rFonts w:ascii="Times New Roman" w:hAnsi="Times New Roman" w:cs="Times New Roman"/>
                <w:noProof/>
              </w:rPr>
              <w:t>Va fi lansat serviciul de cloud SaaS2 EZD RP, cu o capacitate de conectare de aproximativ 300</w:t>
            </w:r>
            <w:r>
              <w:rPr>
                <w:rFonts w:ascii="Times New Roman" w:eastAsia="Times New Roman" w:hAnsi="Times New Roman" w:cs="Times New Roman"/>
                <w:noProof/>
                <w:color w:val="006100"/>
              </w:rPr>
              <w:t> </w:t>
            </w:r>
            <w:r>
              <w:rPr>
                <w:rFonts w:ascii="Times New Roman" w:hAnsi="Times New Roman" w:cs="Times New Roman"/>
                <w:noProof/>
              </w:rPr>
              <w:t>000 de utilizatori.</w:t>
            </w:r>
          </w:p>
        </w:tc>
      </w:tr>
      <w:tr w:rsidR="00A60DDE" w14:paraId="1216BBAB" w14:textId="77777777">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0" w14:textId="77777777" w:rsidR="00A60DDE" w:rsidRDefault="00095506">
            <w:pPr>
              <w:pStyle w:val="P68B1DB1-Normal021"/>
              <w:spacing w:line="240" w:lineRule="auto"/>
              <w:jc w:val="center"/>
              <w:rPr>
                <w:noProof/>
              </w:rPr>
            </w:pPr>
            <w:r>
              <w:rPr>
                <w:noProof/>
              </w:rPr>
              <w:t>C13cG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1" w14:textId="3AE76489" w:rsidR="00A60DDE" w:rsidRDefault="00095506">
            <w:pPr>
              <w:pStyle w:val="P68B1DB1-Normal021"/>
              <w:spacing w:after="0" w:line="240" w:lineRule="auto"/>
              <w:rPr>
                <w:noProof/>
                <w:color w:val="000000" w:themeColor="text1"/>
              </w:rPr>
            </w:pPr>
            <w:r>
              <w:rPr>
                <w:noProof/>
              </w:rPr>
              <w:t>C2.1.1 Servicii electronice publice și soluții informatice pentru administrația publică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2" w14:textId="77777777" w:rsidR="00A60DDE" w:rsidRDefault="00095506">
            <w:pPr>
              <w:pStyle w:val="P68B1DB1-Normal062"/>
              <w:spacing w:line="240" w:lineRule="auto"/>
              <w:jc w:val="center"/>
              <w:rPr>
                <w:noProof/>
                <w:color w:val="000000" w:themeColor="text1"/>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3" w14:textId="77777777" w:rsidR="00A60DDE" w:rsidRDefault="00095506">
            <w:pPr>
              <w:pStyle w:val="P68B1DB1-Normal062"/>
              <w:spacing w:line="240" w:lineRule="auto"/>
              <w:rPr>
                <w:noProof/>
                <w:color w:val="000000" w:themeColor="text1"/>
              </w:rPr>
            </w:pPr>
            <w:r>
              <w:rPr>
                <w:noProof/>
              </w:rPr>
              <w:t>Lansarea sistemului național de facturi electronice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4" w14:textId="77777777" w:rsidR="00A60DDE" w:rsidRDefault="00095506">
            <w:pPr>
              <w:pStyle w:val="P68B1DB1-Normal062"/>
              <w:spacing w:line="240" w:lineRule="auto"/>
              <w:rPr>
                <w:noProof/>
                <w:color w:val="000000" w:themeColor="text1"/>
              </w:rPr>
            </w:pPr>
            <w:r>
              <w:rPr>
                <w:noProof/>
              </w:rPr>
              <w:t>Lansarea sistemului național de facturi electronice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5"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6"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7"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8" w14:textId="77777777" w:rsidR="00A60DDE" w:rsidRDefault="00095506">
            <w:pPr>
              <w:pStyle w:val="P68B1DB1-Normal062"/>
              <w:spacing w:line="240" w:lineRule="auto"/>
              <w:jc w:val="center"/>
              <w:rPr>
                <w:noProof/>
                <w:color w:val="000000" w:themeColor="text1"/>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9" w14:textId="77777777" w:rsidR="00A60DDE" w:rsidRDefault="00095506">
            <w:pPr>
              <w:pStyle w:val="P68B1DB1-Normal062"/>
              <w:spacing w:line="240" w:lineRule="auto"/>
              <w:jc w:val="center"/>
              <w:rPr>
                <w:noProof/>
                <w:color w:val="000000" w:themeColor="text1"/>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A" w14:textId="77777777" w:rsidR="00A60DDE" w:rsidRDefault="00095506">
            <w:pPr>
              <w:pStyle w:val="P68B1DB1-Normal062"/>
              <w:spacing w:line="240" w:lineRule="auto"/>
              <w:rPr>
                <w:noProof/>
                <w:color w:val="000000" w:themeColor="text1"/>
              </w:rPr>
            </w:pPr>
            <w:r>
              <w:rPr>
                <w:noProof/>
              </w:rPr>
              <w:t>Se lansează sistemul național de facturi electronice.</w:t>
            </w:r>
          </w:p>
        </w:tc>
      </w:tr>
      <w:tr w:rsidR="00A60DDE" w14:paraId="1216BBB7" w14:textId="77777777">
        <w:trPr>
          <w:trHeight w:val="67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C" w14:textId="77777777" w:rsidR="00A60DDE" w:rsidRDefault="00095506">
            <w:pPr>
              <w:pStyle w:val="P68B1DB1-Normal021"/>
              <w:spacing w:line="240" w:lineRule="auto"/>
              <w:jc w:val="center"/>
              <w:rPr>
                <w:noProof/>
              </w:rPr>
            </w:pPr>
            <w:r>
              <w:rPr>
                <w:noProof/>
              </w:rPr>
              <w:t>C13dG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D" w14:textId="77777777" w:rsidR="00A60DDE" w:rsidRDefault="00095506">
            <w:pPr>
              <w:pStyle w:val="P68B1DB1-Normal021"/>
              <w:spacing w:after="0" w:line="240" w:lineRule="auto"/>
              <w:rPr>
                <w:noProof/>
                <w:color w:val="000000" w:themeColor="text1"/>
              </w:rPr>
            </w:pPr>
            <w:r>
              <w:rPr>
                <w:noProof/>
              </w:rPr>
              <w:t>C2.1.1 Servicii electronice publice și soluții informatice pentru administrația publică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E" w14:textId="77777777" w:rsidR="00A60DDE" w:rsidRDefault="00095506">
            <w:pPr>
              <w:pStyle w:val="P68B1DB1-Normal062"/>
              <w:spacing w:line="240" w:lineRule="auto"/>
              <w:jc w:val="center"/>
              <w:rPr>
                <w:noProof/>
                <w:color w:val="000000" w:themeColor="text1"/>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F" w14:textId="77777777" w:rsidR="00A60DDE" w:rsidRDefault="00095506">
            <w:pPr>
              <w:pStyle w:val="P68B1DB1-Normal062"/>
              <w:spacing w:after="0" w:line="240" w:lineRule="auto"/>
              <w:rPr>
                <w:rFonts w:eastAsia="Times New Roman"/>
                <w:noProof/>
                <w:color w:val="006100"/>
              </w:rPr>
            </w:pPr>
            <w:r>
              <w:rPr>
                <w:noProof/>
              </w:rPr>
              <w:t>Lansarea de servicii electronice noi sau modernizate în cadrul e-Tax Office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0" w14:textId="77777777" w:rsidR="00A60DDE" w:rsidRDefault="00A60DDE">
            <w:pPr>
              <w:pStyle w:val="Normal0"/>
              <w:spacing w:line="240" w:lineRule="auto"/>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1" w14:textId="77777777" w:rsidR="00A60DDE" w:rsidRDefault="00095506">
            <w:pPr>
              <w:pStyle w:val="P68B1DB1-Normal062"/>
              <w:spacing w:line="240" w:lineRule="auto"/>
              <w:jc w:val="center"/>
              <w:rPr>
                <w:noProof/>
                <w:color w:val="000000" w:themeColor="text1"/>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2" w14:textId="77777777" w:rsidR="00A60DDE" w:rsidRDefault="00095506">
            <w:pPr>
              <w:pStyle w:val="P68B1DB1-Normal062"/>
              <w:spacing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3" w14:textId="77777777" w:rsidR="00A60DDE" w:rsidRDefault="00095506">
            <w:pPr>
              <w:pStyle w:val="P68B1DB1-Normal062"/>
              <w:spacing w:line="240" w:lineRule="auto"/>
              <w:jc w:val="center"/>
              <w:rPr>
                <w:noProof/>
                <w:color w:val="000000" w:themeColor="text1"/>
              </w:rPr>
            </w:pPr>
            <w:r>
              <w:rPr>
                <w:noProof/>
              </w:rPr>
              <w:t>33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4" w14:textId="77777777" w:rsidR="00A60DDE" w:rsidRDefault="00095506">
            <w:pPr>
              <w:pStyle w:val="P68B1DB1-Normal062"/>
              <w:spacing w:line="240" w:lineRule="auto"/>
              <w:jc w:val="center"/>
              <w:rPr>
                <w:noProof/>
                <w:color w:val="000000" w:themeColor="text1"/>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5" w14:textId="77777777" w:rsidR="00A60DDE" w:rsidRDefault="00095506">
            <w:pPr>
              <w:pStyle w:val="P68B1DB1-Normal062"/>
              <w:spacing w:line="240" w:lineRule="auto"/>
              <w:jc w:val="center"/>
              <w:rPr>
                <w:noProof/>
                <w:color w:val="000000" w:themeColor="text1"/>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6" w14:textId="77777777" w:rsidR="00A60DDE" w:rsidRDefault="00095506">
            <w:pPr>
              <w:pStyle w:val="P68B1DB1-Normal062"/>
              <w:spacing w:line="240" w:lineRule="auto"/>
              <w:rPr>
                <w:noProof/>
                <w:color w:val="000000" w:themeColor="text1"/>
              </w:rPr>
            </w:pPr>
            <w:r>
              <w:rPr>
                <w:noProof/>
              </w:rPr>
              <w:t>33 de servicii electronice noi sau modernizate sunt lansate în cadrul e-Tax Office.</w:t>
            </w:r>
          </w:p>
        </w:tc>
      </w:tr>
      <w:tr w:rsidR="00A60DDE" w14:paraId="1216BBC3"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8"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C14G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9"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C2.1.2 Tehnologiile digitale în învățământul școlar – dispozitive portabile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B"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Voucher pentru computere portabile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C"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F" w14:textId="77777777" w:rsidR="00A60DDE" w:rsidRDefault="00095506">
            <w:pPr>
              <w:pStyle w:val="P68B1DB1-Normal024"/>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533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658</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1"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2" w14:textId="52786E0D" w:rsidR="00A60DDE" w:rsidRDefault="00095506">
            <w:pPr>
              <w:pStyle w:val="P68B1DB1-Normal062"/>
              <w:spacing w:after="0" w:line="240" w:lineRule="auto"/>
              <w:rPr>
                <w:noProof/>
                <w:color w:val="000000" w:themeColor="text1"/>
              </w:rPr>
            </w:pPr>
            <w:r>
              <w:rPr>
                <w:noProof/>
              </w:rPr>
              <w:t>Cel puțin 533 658 de vouchere (coduri de reducere) pentru calculatoare portabile trebuie înregistrate în baza de date a sistemului Laptop pentru profesori („Laptop dla nauczyciela”).</w:t>
            </w:r>
          </w:p>
        </w:tc>
      </w:tr>
      <w:tr w:rsidR="00A60DDE" w14:paraId="1216BBCF" w14:textId="77777777">
        <w:trPr>
          <w:trHeight w:val="1098"/>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4"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C15G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5"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C2.1.2 Tehnologiile digitale în învățământul școlar – dispozitive portabile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7"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Dispozitive portabile livrate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8"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B" w14:textId="77777777" w:rsidR="00A60DDE" w:rsidRDefault="00095506">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16</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500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C"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D"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E" w14:textId="77777777" w:rsidR="00A60DDE" w:rsidRDefault="00095506">
            <w:pPr>
              <w:pStyle w:val="P68B1DB1-Normal66"/>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Livrarea de dispozitive portabile (laptopuri, laptopuri de browser sau tablete) către 16</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500 de școli, direct sau prin intermediul autorităților de gestionare a școlilor, astfel cum se arată în protocoalele de acceptare.</w:t>
            </w:r>
          </w:p>
        </w:tc>
      </w:tr>
      <w:tr w:rsidR="00A60DDE" w14:paraId="1216BBDD" w14:textId="77777777">
        <w:trPr>
          <w:trHeight w:val="124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0"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C16G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1"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C2.1.3 Competențe electronice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2"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3"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Crearea unui Centru de Dezvoltare a Competențelor Digitale (DCDC)</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4"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Raport privind structura organizatorică și funcționarea DCDC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5"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8"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9"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A"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 xml:space="preserve">Centrul de dezvoltare a competențelor digitale (DCDC) se înființează în cadrul biroului ministrului responsabil cu digitalizarea. </w:t>
            </w:r>
          </w:p>
          <w:p w14:paraId="1216BBDB"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BDC" w14:textId="60D3BB87" w:rsidR="00A60DDE" w:rsidRDefault="00095506">
            <w:pPr>
              <w:pStyle w:val="P68B1DB1-Normal021"/>
              <w:pBdr>
                <w:top w:val="nil"/>
                <w:left w:val="nil"/>
                <w:bottom w:val="nil"/>
                <w:right w:val="nil"/>
                <w:between w:val="nil"/>
              </w:pBdr>
              <w:spacing w:after="0" w:line="240" w:lineRule="auto"/>
              <w:rPr>
                <w:noProof/>
                <w:color w:val="000000"/>
              </w:rPr>
            </w:pPr>
            <w:r>
              <w:rPr>
                <w:noProof/>
                <w:color w:val="000000" w:themeColor="text1"/>
              </w:rPr>
              <w:t>Obiectivul principal al DCDC este de a consolida și de a îmbunătăți sistemul de coordonare a dezvoltării competențelor digitale în Polonia prin realizarea următoarelor subfuncții:</w:t>
            </w:r>
            <w:r>
              <w:rPr>
                <w:noProof/>
              </w:rPr>
              <w:t xml:space="preserve"> </w:t>
            </w:r>
            <w:r>
              <w:rPr>
                <w:noProof/>
              </w:rPr>
              <w:br/>
            </w:r>
            <w:r>
              <w:rPr>
                <w:noProof/>
                <w:color w:val="000000" w:themeColor="text1"/>
              </w:rPr>
              <w:t xml:space="preserve">Funcția de cercetare și analiză </w:t>
            </w:r>
            <w:r>
              <w:rPr>
                <w:noProof/>
              </w:rPr>
              <w:br/>
              <w:t xml:space="preserve"> </w:t>
            </w:r>
            <w:r>
              <w:rPr>
                <w:noProof/>
                <w:color w:val="000000" w:themeColor="text1"/>
              </w:rPr>
              <w:t>Această funcție implică acțiuni de cercetare și monitorizare privind competențele digitale, combinate cu funcția de observator, care colectează și structurează cunoștințele în acest sens. Acest lucru conduce la formularea de recomandări și propuneri de activități relevante.</w:t>
            </w:r>
            <w:r>
              <w:rPr>
                <w:noProof/>
              </w:rPr>
              <w:t xml:space="preserve"> </w:t>
            </w:r>
            <w:r>
              <w:rPr>
                <w:noProof/>
              </w:rPr>
              <w:br/>
            </w:r>
            <w:r>
              <w:rPr>
                <w:noProof/>
                <w:color w:val="000000" w:themeColor="text1"/>
              </w:rPr>
              <w:t xml:space="preserve">- Funcția de testare și punere în aplicare </w:t>
            </w:r>
            <w:r>
              <w:rPr>
                <w:noProof/>
              </w:rPr>
              <w:br/>
              <w:t xml:space="preserve"> </w:t>
            </w:r>
            <w:r>
              <w:rPr>
                <w:noProof/>
                <w:color w:val="000000" w:themeColor="text1"/>
              </w:rPr>
              <w:t xml:space="preserve">Această funcție implică teste sub formă de acțiuni-pilot și punerea în aplicare a celor mai valoroase și promițătoare soluții, recomandări și propuneri care rezultă din acțiunile-pilot și realizarea funcției de cercetare și analiză. </w:t>
            </w:r>
            <w:r>
              <w:rPr>
                <w:noProof/>
              </w:rPr>
              <w:br/>
            </w:r>
            <w:r>
              <w:rPr>
                <w:noProof/>
                <w:color w:val="000000" w:themeColor="text1"/>
              </w:rPr>
              <w:t xml:space="preserve">- Funcția de educație și popularizare. </w:t>
            </w:r>
            <w:r>
              <w:rPr>
                <w:noProof/>
              </w:rPr>
              <w:br/>
            </w:r>
            <w:r>
              <w:rPr>
                <w:noProof/>
                <w:color w:val="000000" w:themeColor="text1"/>
              </w:rPr>
              <w:t>Această funcție implică acțiuni precum consultanță, mentorat, seminare, formare și cursuri, precum și diseminarea rezultatelor acțiunilor Centrului prin intermediul unui portal de informare.</w:t>
            </w:r>
          </w:p>
        </w:tc>
      </w:tr>
      <w:tr w:rsidR="00A60DDE" w14:paraId="1216BBE9"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E"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C20G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F"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C2.1.3 Competențe electronice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1"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Cursuri de formare privind competențele digitale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2"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4"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250 000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8" w14:textId="77777777" w:rsidR="00A60DDE" w:rsidRDefault="00095506">
            <w:pPr>
              <w:pStyle w:val="P68B1DB1-Normal024"/>
              <w:pBdr>
                <w:top w:val="nil"/>
                <w:left w:val="nil"/>
                <w:bottom w:val="nil"/>
                <w:right w:val="nil"/>
                <w:between w:val="nil"/>
              </w:pBdr>
              <w:spacing w:after="0" w:line="240" w:lineRule="auto"/>
              <w:rPr>
                <w:rFonts w:ascii="Times New Roman" w:hAnsi="Times New Roman" w:cs="Times New Roman"/>
                <w:noProof/>
                <w:color w:val="000000"/>
              </w:rPr>
            </w:pPr>
            <w:r>
              <w:rPr>
                <w:rFonts w:ascii="Times New Roman" w:hAnsi="Times New Roman" w:cs="Times New Roman"/>
                <w:noProof/>
                <w:color w:val="000000" w:themeColor="text1"/>
              </w:rPr>
              <w:t>250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000 de certificate eliberate pentru cursuri de formare privind competențele digitale. </w:t>
            </w:r>
          </w:p>
        </w:tc>
      </w:tr>
      <w:tr w:rsidR="00A60DDE" w14:paraId="1216BBF6" w14:textId="77777777">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A"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C21G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C" w14:textId="203C8A5A"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C3.1 Consolidarea securității cibernetice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E" w14:textId="77777777" w:rsidR="00A60DDE" w:rsidRDefault="00095506">
            <w:pPr>
              <w:pStyle w:val="P68B1DB1-Normal062"/>
              <w:spacing w:after="0" w:line="240" w:lineRule="auto"/>
              <w:rPr>
                <w:noProof/>
                <w:color w:val="000000" w:themeColor="text1"/>
              </w:rPr>
            </w:pPr>
            <w:r>
              <w:rPr>
                <w:noProof/>
              </w:rPr>
              <w:t>Modificarea legii privind securitatea cibernetică</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F" w14:textId="77777777"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Dispoziție din modificarea legii care indică intrarea în vigoare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1"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3"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4" w14:textId="77777777" w:rsidR="00A60DDE" w:rsidRDefault="00095506">
            <w:pPr>
              <w:pStyle w:val="P68B1DB1-Normal062"/>
              <w:spacing w:after="0" w:line="240" w:lineRule="auto"/>
              <w:jc w:val="center"/>
              <w:rPr>
                <w:noProof/>
                <w:color w:val="006100"/>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5" w14:textId="68389AC2" w:rsidR="00A60DDE" w:rsidRDefault="00095506">
            <w:pPr>
              <w:pStyle w:val="P68B1DB1-Normal062"/>
              <w:spacing w:after="0" w:line="240" w:lineRule="auto"/>
              <w:rPr>
                <w:noProof/>
                <w:color w:val="000000" w:themeColor="text1"/>
              </w:rPr>
            </w:pPr>
            <w:r>
              <w:rPr>
                <w:noProof/>
              </w:rPr>
              <w:t>Intrarea în vigoare a unei modificări a legii privind securitatea cibernetică, care introduce echipe sectoriale de intervenție în caz de incidente de securitate informatică și extinde grupul de entități incluse în „sistemul TIC care sprijină cooperarea în cadrul sistemului național de securitate cibernetică”.</w:t>
            </w:r>
          </w:p>
        </w:tc>
      </w:tr>
      <w:tr w:rsidR="00A60DDE" w14:paraId="1216BC05"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7" w14:textId="77777777" w:rsidR="00A60DDE" w:rsidRDefault="00095506">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8"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A" w14:textId="5E95E37C"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Acțiuni în domeniul securității cibernetice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B"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Acțiuni în domeniul securității cibernetice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1" w14:textId="77777777"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Se înființează din punct de vedere administrativ patru echipe sectoriale de intervenție în caz de incidente de securitate informatică.</w:t>
            </w:r>
          </w:p>
          <w:p w14:paraId="1216BC02"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C03" w14:textId="180973E5" w:rsidR="00A60DDE" w:rsidRDefault="00095506">
            <w:pPr>
              <w:pStyle w:val="P68B1DB1-Normal062"/>
              <w:pBdr>
                <w:top w:val="nil"/>
                <w:left w:val="nil"/>
                <w:bottom w:val="nil"/>
                <w:right w:val="nil"/>
                <w:between w:val="nil"/>
              </w:pBdr>
              <w:spacing w:after="120" w:line="240" w:lineRule="auto"/>
              <w:rPr>
                <w:noProof/>
                <w:color w:val="000000" w:themeColor="text1"/>
              </w:rPr>
            </w:pPr>
            <w:r>
              <w:rPr>
                <w:noProof/>
              </w:rPr>
              <w:t>- Sistemul TIC care sprijină cooperarea în cadrul sistemului național de securitate cibernetică este pus la dispoziția a 385 de beneficiari.</w:t>
            </w:r>
          </w:p>
          <w:p w14:paraId="1216BC04" w14:textId="10E89E37" w:rsidR="00A60DDE" w:rsidRDefault="00095506">
            <w:pPr>
              <w:pStyle w:val="P68B1DB1-Normal024"/>
              <w:pBdr>
                <w:top w:val="nil"/>
                <w:left w:val="nil"/>
                <w:bottom w:val="nil"/>
                <w:right w:val="nil"/>
                <w:between w:val="nil"/>
              </w:pBdr>
              <w:spacing w:after="120" w:line="240" w:lineRule="auto"/>
              <w:rPr>
                <w:rFonts w:ascii="Times New Roman" w:eastAsia="Times New Roman" w:hAnsi="Times New Roman" w:cs="Times New Roman"/>
                <w:noProof/>
                <w:color w:val="000000"/>
              </w:rPr>
            </w:pPr>
            <w:r>
              <w:rPr>
                <w:rFonts w:ascii="Times New Roman" w:hAnsi="Times New Roman" w:cs="Times New Roman"/>
                <w:noProof/>
                <w:color w:val="000000" w:themeColor="text1"/>
              </w:rPr>
              <w:t>-</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197</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214</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464 EUR se plătesc unui număr de cel puțin 608 entități pentru investiții în securitatea cibernetică.</w:t>
            </w:r>
          </w:p>
        </w:tc>
      </w:tr>
      <w:tr w:rsidR="00A60DDE" w14:paraId="1216BC11" w14:textId="77777777">
        <w:trPr>
          <w:trHeight w:val="59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6" w14:textId="77777777" w:rsidR="00A60DDE" w:rsidRDefault="00095506">
            <w:pPr>
              <w:pStyle w:val="P68B1DB1-Normal021"/>
              <w:spacing w:after="0" w:line="240" w:lineRule="auto"/>
              <w:jc w:val="center"/>
              <w:rPr>
                <w:rFonts w:eastAsia="Times New Roman"/>
                <w:b/>
                <w:noProof/>
                <w:color w:val="000000"/>
              </w:rPr>
            </w:pPr>
            <w:r>
              <w:rPr>
                <w:noProof/>
              </w:rPr>
              <w:t>C25G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7"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bookmarkStart w:id="13" w:name="_Hlk200549994"/>
            <w:r>
              <w:rPr>
                <w:noProof/>
              </w:rPr>
              <w:t>C3.1.1 Securitate cibernetică – CyberPL, infrastructura de prelucrare a datelor și optimizarea infrastructurii serviciilor de aplicare a legii</w:t>
            </w:r>
            <w:bookmarkEnd w:id="13"/>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8"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9" w14:textId="77777777" w:rsidR="00A60DDE" w:rsidRDefault="00095506">
            <w:pPr>
              <w:pStyle w:val="P68B1DB1-Normal062"/>
              <w:spacing w:after="0" w:line="240" w:lineRule="auto"/>
              <w:rPr>
                <w:rFonts w:eastAsia="Times New Roman"/>
                <w:noProof/>
                <w:color w:val="006100"/>
              </w:rPr>
            </w:pPr>
            <w:r>
              <w:rPr>
                <w:noProof/>
              </w:rPr>
              <w:t>Construirea unei clădiri a unui centru de date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A"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C"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1</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0" w14:textId="77777777" w:rsidR="00A60DDE" w:rsidRDefault="00095506">
            <w:pPr>
              <w:pStyle w:val="P68B1DB1-Normal062"/>
              <w:spacing w:after="0" w:line="240" w:lineRule="auto"/>
              <w:rPr>
                <w:rFonts w:eastAsia="Times New Roman"/>
                <w:noProof/>
              </w:rPr>
            </w:pPr>
            <w:r>
              <w:rPr>
                <w:noProof/>
              </w:rPr>
              <w:t>Se construiește o clădire a centrului de date. Contractul (contractele) se semnează pentru ca această clădire a centrului de date să fie alimentată cu energie din surse regenerabile.</w:t>
            </w:r>
          </w:p>
        </w:tc>
      </w:tr>
      <w:tr w:rsidR="00A60DDE" w14:paraId="1216BC1E"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2" w14:textId="77777777" w:rsidR="00A60DDE" w:rsidRDefault="00095506">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3"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4"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5"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Livrarea de echipamente pentru serviciile de aplicare a legii</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6"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 xml:space="preserve">Protocoale de livrare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9" w14:textId="77777777" w:rsidR="00A60DDE" w:rsidRDefault="00A60DDE">
            <w:pPr>
              <w:pStyle w:val="Normal0"/>
              <w:spacing w:after="0" w:line="240" w:lineRule="auto"/>
              <w:jc w:val="center"/>
              <w:rPr>
                <w:rFonts w:ascii="Times New Roman" w:hAnsi="Times New Roman" w:cs="Times New Roman"/>
                <w:noProof/>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C" w14:textId="77777777" w:rsidR="00A60DDE" w:rsidRDefault="00095506">
            <w:pPr>
              <w:pStyle w:val="P68B1DB1-Normal024"/>
              <w:pBdr>
                <w:top w:val="nil"/>
                <w:left w:val="nil"/>
                <w:bottom w:val="nil"/>
                <w:right w:val="nil"/>
                <w:between w:val="nil"/>
              </w:pBdr>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Se livrează următoarele echipamente:</w:t>
            </w:r>
            <w:r>
              <w:rPr>
                <w:rFonts w:ascii="Times New Roman" w:hAnsi="Times New Roman" w:cs="Times New Roman"/>
                <w:noProof/>
              </w:rPr>
              <w:br/>
            </w:r>
            <w:r>
              <w:rPr>
                <w:rFonts w:ascii="Times New Roman" w:hAnsi="Times New Roman" w:cs="Times New Roman"/>
                <w:noProof/>
                <w:color w:val="000000" w:themeColor="text1"/>
              </w:rPr>
              <w:t>- 13</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630 de terminale mobile de date (MDT) cu software pentru poliție; </w:t>
            </w:r>
            <w:r>
              <w:rPr>
                <w:rFonts w:ascii="Times New Roman" w:hAnsi="Times New Roman" w:cs="Times New Roman"/>
                <w:noProof/>
              </w:rPr>
              <w:br/>
            </w:r>
            <w:r>
              <w:rPr>
                <w:rFonts w:ascii="Times New Roman" w:hAnsi="Times New Roman" w:cs="Times New Roman"/>
                <w:noProof/>
                <w:color w:val="000000" w:themeColor="text1"/>
              </w:rPr>
              <w:t>- 30 de puncte mobile pentru Poliția de Frontieră;</w:t>
            </w:r>
          </w:p>
          <w:p w14:paraId="1216BC1D" w14:textId="77777777"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 un punct medical mobil autonom pentru riscurile de dezastre medicale, biochimice, radiologice sau naturale.</w:t>
            </w:r>
          </w:p>
        </w:tc>
      </w:tr>
      <w:tr w:rsidR="00A60DDE" w14:paraId="1216BC2A"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F" w14:textId="77777777" w:rsidR="00A60DDE" w:rsidRDefault="00095506">
            <w:pPr>
              <w:pStyle w:val="P68B1DB1-Normal021"/>
              <w:pBdr>
                <w:top w:val="nil"/>
                <w:left w:val="nil"/>
                <w:bottom w:val="nil"/>
                <w:right w:val="nil"/>
                <w:between w:val="nil"/>
              </w:pBdr>
              <w:spacing w:after="0" w:line="240" w:lineRule="auto"/>
              <w:jc w:val="center"/>
              <w:rPr>
                <w:b/>
                <w:noProof/>
                <w:color w:val="000000"/>
              </w:rPr>
            </w:pPr>
            <w:r>
              <w:rPr>
                <w:noProof/>
              </w:rPr>
              <w:t>C27G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0"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1"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2"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Proiect important de interes european comun (PIIEC): Selectarea proiectelor de cloud de nouă generație și semnarea contractelor</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3" w14:textId="77777777" w:rsidR="00A60DDE" w:rsidRDefault="00095506">
            <w:pPr>
              <w:pStyle w:val="P68B1DB1-Normal062"/>
              <w:pBdr>
                <w:top w:val="nil"/>
                <w:left w:val="nil"/>
                <w:bottom w:val="nil"/>
                <w:right w:val="nil"/>
                <w:between w:val="nil"/>
              </w:pBdr>
              <w:spacing w:after="0" w:line="240" w:lineRule="auto"/>
              <w:rPr>
                <w:noProof/>
              </w:rPr>
            </w:pPr>
            <w:r>
              <w:rPr>
                <w:noProof/>
              </w:rPr>
              <w:t>Semnarea contractelor cu entitățile selectate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5"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7"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8"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9" w14:textId="77777777" w:rsidR="00A60DDE" w:rsidRDefault="00095506">
            <w:pPr>
              <w:pStyle w:val="P68B1DB1-Normal062"/>
              <w:pBdr>
                <w:top w:val="nil"/>
                <w:left w:val="nil"/>
                <w:bottom w:val="nil"/>
                <w:right w:val="nil"/>
                <w:between w:val="nil"/>
              </w:pBdr>
              <w:spacing w:after="0" w:line="240" w:lineRule="auto"/>
              <w:rPr>
                <w:noProof/>
              </w:rPr>
            </w:pPr>
            <w:r>
              <w:rPr>
                <w:noProof/>
              </w:rPr>
              <w:t>Selectarea proiectelor și semnarea contractelor în urma publicării cererii de propuneri de proiecte pentru a sprijini dezvoltarea soluțiilor cloud de nouă generație în Polonia.</w:t>
            </w:r>
          </w:p>
        </w:tc>
      </w:tr>
      <w:tr w:rsidR="00A60DDE" w14:paraId="1216BC36"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B"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C28G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C"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E"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Proiect important de interes european comun (PIIEC): Soluții de prelucrare a datelor privind infrastructura sau serviciile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F"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1"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5" w14:textId="77777777"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Se lansează cel puțin cinci soluții de prelucrare a datelor privind infrastructura sau serviciile.</w:t>
            </w:r>
          </w:p>
        </w:tc>
      </w:tr>
    </w:tbl>
    <w:p w14:paraId="1216BC37" w14:textId="77777777" w:rsidR="00A60DDE" w:rsidRDefault="00A60DDE">
      <w:pPr>
        <w:rPr>
          <w:noProof/>
        </w:rPr>
      </w:pPr>
    </w:p>
    <w:p w14:paraId="1216BC38" w14:textId="77777777" w:rsidR="00A60DDE" w:rsidRDefault="00A60DDE">
      <w:pPr>
        <w:pStyle w:val="Normal0"/>
        <w:pBdr>
          <w:top w:val="nil"/>
          <w:left w:val="nil"/>
          <w:bottom w:val="nil"/>
          <w:right w:val="nil"/>
          <w:between w:val="nil"/>
        </w:pBdr>
        <w:spacing w:before="120" w:after="120" w:line="240" w:lineRule="auto"/>
        <w:ind w:left="709"/>
        <w:jc w:val="both"/>
        <w:rPr>
          <w:rFonts w:ascii="Times New Roman" w:eastAsia="Times New Roman" w:hAnsi="Times New Roman" w:cs="Times New Roman"/>
          <w:i/>
          <w:noProof/>
          <w:color w:val="4F81BD"/>
          <w:sz w:val="24"/>
          <w:szCs w:val="24"/>
        </w:rPr>
        <w:sectPr w:rsidR="00A60DDE" w:rsidSect="006C5441">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299"/>
        </w:sectPr>
      </w:pPr>
    </w:p>
    <w:p w14:paraId="1216BC39"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i/>
          <w:iCs/>
          <w:noProof/>
          <w:sz w:val="24"/>
          <w:szCs w:val="24"/>
        </w:rPr>
      </w:pPr>
      <w:r>
        <w:rPr>
          <w:rFonts w:ascii="Times New Roman" w:hAnsi="Times New Roman"/>
          <w:b/>
          <w:noProof/>
          <w:color w:val="000000" w:themeColor="text1"/>
          <w:sz w:val="24"/>
          <w:szCs w:val="24"/>
        </w:rPr>
        <w:t xml:space="preserve">C.3. </w:t>
      </w:r>
      <w:r>
        <w:rPr>
          <w:noProof/>
        </w:rPr>
        <w:t xml:space="preserve"> </w:t>
      </w:r>
      <w:r>
        <w:rPr>
          <w:rFonts w:ascii="Times New Roman" w:hAnsi="Times New Roman"/>
          <w:b/>
          <w:noProof/>
          <w:color w:val="000000" w:themeColor="text1"/>
          <w:sz w:val="24"/>
          <w:szCs w:val="24"/>
        </w:rPr>
        <w:t>Descrierea reformelor și a investițiilor pentru sprijinul sub formă de împrumut</w:t>
      </w:r>
    </w:p>
    <w:p w14:paraId="1216BC3A"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C3B" w14:textId="77777777" w:rsidR="00A60DDE" w:rsidRDefault="00095506">
      <w:pPr>
        <w:pStyle w:val="P68B1DB1-Normal036"/>
        <w:pBdr>
          <w:top w:val="nil"/>
          <w:left w:val="nil"/>
          <w:bottom w:val="nil"/>
          <w:right w:val="nil"/>
          <w:between w:val="nil"/>
        </w:pBdr>
        <w:spacing w:before="120" w:after="120" w:line="240" w:lineRule="auto"/>
        <w:jc w:val="both"/>
        <w:rPr>
          <w:noProof/>
          <w:color w:val="000000"/>
        </w:rPr>
      </w:pPr>
      <w:r>
        <w:rPr>
          <w:noProof/>
        </w:rPr>
        <w:t>C1.2 Creșterea nivelului de accesibilitate și utilizare a comunicațiilor moderne prin cablu și fără fir pentru nevoile sociale și economice</w:t>
      </w:r>
    </w:p>
    <w:p w14:paraId="1216BC3C" w14:textId="77777777" w:rsidR="00A60DDE" w:rsidRDefault="00095506">
      <w:pPr>
        <w:pStyle w:val="P68B1DB1-Normal037"/>
        <w:pBdr>
          <w:top w:val="nil"/>
          <w:left w:val="nil"/>
          <w:bottom w:val="nil"/>
          <w:right w:val="nil"/>
          <w:between w:val="nil"/>
        </w:pBdr>
        <w:spacing w:before="120" w:after="120" w:line="240" w:lineRule="auto"/>
        <w:jc w:val="both"/>
        <w:rPr>
          <w:noProof/>
          <w:color w:val="000000"/>
        </w:rPr>
      </w:pPr>
      <w:r>
        <w:rPr>
          <w:noProof/>
        </w:rPr>
        <w:t>Reforma va îmbunătăți mediul legislativ pentru dezvoltarea rețelelor mobile prin eliminarea principalelor bariere din calea implementării tehnologiei 5G, ținând seama de setul de instrumente al UE pentru conectivitate.</w:t>
      </w:r>
    </w:p>
    <w:p w14:paraId="1216BC3D" w14:textId="77777777" w:rsidR="00A60DDE" w:rsidRDefault="00095506">
      <w:pPr>
        <w:pStyle w:val="P68B1DB1-Normal037"/>
        <w:pBdr>
          <w:top w:val="nil"/>
          <w:left w:val="nil"/>
          <w:bottom w:val="nil"/>
          <w:right w:val="nil"/>
          <w:between w:val="nil"/>
        </w:pBdr>
        <w:spacing w:before="120" w:after="120" w:line="240" w:lineRule="auto"/>
        <w:jc w:val="both"/>
        <w:rPr>
          <w:noProof/>
          <w:color w:val="000000"/>
        </w:rPr>
      </w:pPr>
      <w:r>
        <w:rPr>
          <w:noProof/>
        </w:rPr>
        <w:t>Punerea în aplicare a reformei se finalizează până la 31 decembrie 2023.</w:t>
      </w:r>
    </w:p>
    <w:p w14:paraId="1216BC3E"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3F" w14:textId="77777777" w:rsidR="00A60DDE" w:rsidRDefault="00095506">
      <w:pPr>
        <w:pStyle w:val="P68B1DB1-Normal036"/>
        <w:pBdr>
          <w:top w:val="nil"/>
          <w:left w:val="nil"/>
          <w:bottom w:val="nil"/>
          <w:right w:val="nil"/>
          <w:between w:val="nil"/>
        </w:pBdr>
        <w:spacing w:before="120" w:after="120" w:line="240" w:lineRule="auto"/>
        <w:jc w:val="both"/>
        <w:rPr>
          <w:noProof/>
          <w:color w:val="000000"/>
        </w:rPr>
      </w:pPr>
      <w:r>
        <w:rPr>
          <w:noProof/>
        </w:rPr>
        <w:t>C2.2 Reforma fundamentelor digitalizării sistemului educațional</w:t>
      </w:r>
    </w:p>
    <w:p w14:paraId="1216BC40" w14:textId="77777777" w:rsidR="00A60DDE" w:rsidRDefault="00095506">
      <w:pPr>
        <w:pStyle w:val="P68B1DB1-Normal037"/>
        <w:pBdr>
          <w:top w:val="nil"/>
          <w:left w:val="nil"/>
          <w:bottom w:val="nil"/>
          <w:right w:val="nil"/>
          <w:between w:val="nil"/>
        </w:pBdr>
        <w:spacing w:before="120" w:after="120" w:line="240" w:lineRule="auto"/>
        <w:jc w:val="both"/>
        <w:rPr>
          <w:noProof/>
          <w:color w:val="000000"/>
        </w:rPr>
      </w:pPr>
      <w:r>
        <w:rPr>
          <w:noProof/>
        </w:rPr>
        <w:t>Reforma pune bazele digitalizării sistemului de învățământ prin adoptarea politicii de digitalizare pentru educație, pentru a pregăti copiii și tinerii pentru societatea informațională. Obiectivele prezentului document strategic se axează pe integrarea eficientă și semnificativă a noilor tehnologii în procesul de predare, învățare și evaluare și sunt elaborate aplicând o abordare participativă.</w:t>
      </w:r>
    </w:p>
    <w:p w14:paraId="1216BC41" w14:textId="77777777"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Punerea în aplicare a reformei se finalizează până la 30 septembrie 2022. </w:t>
      </w:r>
    </w:p>
    <w:p w14:paraId="1216BC42"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p>
    <w:p w14:paraId="1216BC43" w14:textId="77777777" w:rsidR="00A60DDE" w:rsidRDefault="00095506">
      <w:pPr>
        <w:pStyle w:val="P68B1DB1-Normal036"/>
        <w:pBdr>
          <w:top w:val="nil"/>
          <w:left w:val="nil"/>
          <w:bottom w:val="nil"/>
          <w:right w:val="nil"/>
          <w:between w:val="nil"/>
        </w:pBdr>
        <w:spacing w:before="120" w:after="120" w:line="240" w:lineRule="auto"/>
        <w:jc w:val="both"/>
        <w:rPr>
          <w:bCs/>
          <w:noProof/>
          <w:color w:val="000000"/>
        </w:rPr>
      </w:pPr>
      <w:r>
        <w:rPr>
          <w:noProof/>
        </w:rPr>
        <w:t>C2.2.1 Tehnologiile digitale în predare</w:t>
      </w:r>
    </w:p>
    <w:p w14:paraId="1216BC44" w14:textId="6DD75FEB" w:rsidR="00A60DDE" w:rsidRDefault="00095506">
      <w:pPr>
        <w:pStyle w:val="P68B1DB1-Normal037"/>
        <w:pBdr>
          <w:top w:val="nil"/>
          <w:left w:val="nil"/>
          <w:bottom w:val="nil"/>
          <w:right w:val="nil"/>
          <w:between w:val="nil"/>
        </w:pBdr>
        <w:spacing w:before="120" w:after="120" w:line="240" w:lineRule="auto"/>
        <w:jc w:val="both"/>
        <w:rPr>
          <w:noProof/>
        </w:rPr>
      </w:pPr>
      <w:r>
        <w:rPr>
          <w:noProof/>
        </w:rPr>
        <w:t>Obiectivul acestei investiții este creșterea volumului de echipamente și infrastructuri TIC în școli. Această măsură constă în (i) furnizarea de kituri TIC („Zestaw”) și (ii) furnizarea de laboratoare de inteligență artificială (IA) („Zestaw”).</w:t>
      </w:r>
    </w:p>
    <w:p w14:paraId="1216BC45"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46" w14:textId="403097A3" w:rsidR="00A60DDE" w:rsidRDefault="00095506">
      <w:pPr>
        <w:pStyle w:val="P68B1DB1-Normal67"/>
        <w:spacing w:before="120" w:after="160" w:line="257" w:lineRule="auto"/>
        <w:jc w:val="both"/>
        <w:rPr>
          <w:noProof/>
        </w:rPr>
      </w:pPr>
      <w:r>
        <w:rPr>
          <w:noProof/>
        </w:rPr>
        <w:t>C4.1.1 Sprijin pentru transformarea digitală avansată</w:t>
      </w:r>
    </w:p>
    <w:p w14:paraId="1216BC47" w14:textId="7A87A0CB" w:rsidR="00A60DDE" w:rsidRDefault="00095506">
      <w:pPr>
        <w:pStyle w:val="P68B1DB1-Normal15"/>
        <w:spacing w:before="120" w:after="160" w:line="257" w:lineRule="auto"/>
        <w:jc w:val="both"/>
        <w:rPr>
          <w:noProof/>
          <w:color w:val="000000" w:themeColor="text1"/>
        </w:rPr>
      </w:pPr>
      <w:r>
        <w:rPr>
          <w:noProof/>
          <w:color w:val="000000" w:themeColor="text1"/>
        </w:rPr>
        <w:t>Această măsură constă într-o investiție publică într-un mecanism, Fondul polonez de sprijin pentru transformarea digitală avansată, cu scopul de a stimula investițiile private și de a îmbunătăți accesul la finanțare pentru a sprijini transformarea digitală avansată în Polonia. Mecanismul funcționează prin acordarea de împrumuturi direct sectorului privat, precum și entităților din sectorul public implicate în activități similare.</w:t>
      </w:r>
    </w:p>
    <w:p w14:paraId="1216BC48" w14:textId="77777777" w:rsidR="00A60DDE" w:rsidRDefault="00095506">
      <w:pPr>
        <w:pStyle w:val="P68B1DB1-Normal10"/>
        <w:spacing w:before="120" w:after="160" w:line="257" w:lineRule="auto"/>
        <w:jc w:val="both"/>
        <w:rPr>
          <w:noProof/>
        </w:rPr>
      </w:pPr>
      <w:r>
        <w:rPr>
          <w:noProof/>
        </w:rPr>
        <w:t>Facilitatea este gestionată de Bank Gospodarstwa Krajowego (BGK) în calitate de partener de implementare. Facilitatea include următoarele linii de produse:</w:t>
      </w:r>
    </w:p>
    <w:p w14:paraId="1216BC49" w14:textId="77777777" w:rsidR="00A60DDE" w:rsidRDefault="00095506">
      <w:pPr>
        <w:pStyle w:val="P68B1DB1-ListParagraph68"/>
        <w:numPr>
          <w:ilvl w:val="0"/>
          <w:numId w:val="18"/>
        </w:numPr>
        <w:spacing w:line="257" w:lineRule="auto"/>
        <w:jc w:val="both"/>
        <w:rPr>
          <w:noProof/>
        </w:rPr>
      </w:pPr>
      <w:r>
        <w:rPr>
          <w:noProof/>
        </w:rPr>
        <w:t xml:space="preserve">BGK linie directă 1: această linie oferă împrumuturi directe întreprinderilor pentru a acoperi costurile investițiilor în rețele energetice inteligente. </w:t>
      </w:r>
    </w:p>
    <w:p w14:paraId="1216BC4A" w14:textId="77777777" w:rsidR="00A60DDE" w:rsidRDefault="00095506">
      <w:pPr>
        <w:pStyle w:val="P68B1DB1-ListParagraph68"/>
        <w:numPr>
          <w:ilvl w:val="0"/>
          <w:numId w:val="18"/>
        </w:numPr>
        <w:spacing w:line="257" w:lineRule="auto"/>
        <w:jc w:val="both"/>
        <w:rPr>
          <w:noProof/>
        </w:rPr>
      </w:pPr>
      <w:r>
        <w:rPr>
          <w:noProof/>
        </w:rPr>
        <w:t xml:space="preserve">BGK linie directă 2: această linie oferă împrumuturi directe întreprinderilor pentru a acoperi costurile investițiilor în tehnologii digitale avansate. </w:t>
      </w:r>
    </w:p>
    <w:p w14:paraId="1216BC4B" w14:textId="77777777" w:rsidR="00A60DDE" w:rsidRDefault="00095506">
      <w:pPr>
        <w:pStyle w:val="P68B1DB1-ListParagraph68"/>
        <w:numPr>
          <w:ilvl w:val="0"/>
          <w:numId w:val="18"/>
        </w:numPr>
        <w:spacing w:line="257" w:lineRule="auto"/>
        <w:jc w:val="both"/>
        <w:rPr>
          <w:noProof/>
        </w:rPr>
      </w:pPr>
      <w:r>
        <w:rPr>
          <w:noProof/>
        </w:rPr>
        <w:t xml:space="preserve">BGK linie directă 3: această linie oferă împrumuturi directe întreprinderilor pentru a acoperi costurile investițiilor în infrastructura TIC (inclusiv echipamente informatice de mari dimensiuni). </w:t>
      </w:r>
    </w:p>
    <w:p w14:paraId="1216BC4C" w14:textId="77777777" w:rsidR="00A60DDE" w:rsidRDefault="00095506">
      <w:pPr>
        <w:pStyle w:val="P68B1DB1-Normal10"/>
        <w:spacing w:before="120" w:after="160" w:line="257" w:lineRule="auto"/>
        <w:jc w:val="both"/>
        <w:rPr>
          <w:noProof/>
        </w:rPr>
      </w:pPr>
      <w:r>
        <w:rPr>
          <w:noProof/>
        </w:rPr>
        <w:t>Pentru a pune în aplicare investiția în mecanism, Polonia și BGK semnează un acord de punere în aplicare care include următorul conținut:</w:t>
      </w:r>
    </w:p>
    <w:p w14:paraId="1216BC4D" w14:textId="77777777" w:rsidR="00A60DDE" w:rsidRDefault="00095506">
      <w:pPr>
        <w:pStyle w:val="P68B1DB1-ListParagraph12"/>
        <w:numPr>
          <w:ilvl w:val="0"/>
          <w:numId w:val="19"/>
        </w:numPr>
        <w:spacing w:after="0" w:line="257" w:lineRule="auto"/>
        <w:jc w:val="both"/>
        <w:rPr>
          <w:noProof/>
        </w:rPr>
      </w:pPr>
      <w:r>
        <w:rPr>
          <w:noProof/>
        </w:rPr>
        <w:t>Descrierea procesului decizional al instrumentului: Decizia finală de investiții a facilității este luată de un comitet pentru investiții sau de un alt organ de conducere echivalent relevant și este aprobată cu majoritatea voturilor membrilor independenți de guvern.</w:t>
      </w:r>
    </w:p>
    <w:p w14:paraId="1216BC4E" w14:textId="77777777" w:rsidR="00A60DDE" w:rsidRDefault="00095506">
      <w:pPr>
        <w:pStyle w:val="P68B1DB1-ListParagraph12"/>
        <w:numPr>
          <w:ilvl w:val="0"/>
          <w:numId w:val="19"/>
        </w:numPr>
        <w:spacing w:after="0" w:line="257" w:lineRule="auto"/>
        <w:jc w:val="both"/>
        <w:rPr>
          <w:noProof/>
        </w:rPr>
      </w:pPr>
      <w:r>
        <w:rPr>
          <w:noProof/>
        </w:rPr>
        <w:t>Cerințele-cheie ale politicii de investiții asociate, care includ:</w:t>
      </w:r>
    </w:p>
    <w:p w14:paraId="1216BC4F" w14:textId="77777777" w:rsidR="00A60DDE" w:rsidRDefault="00095506">
      <w:pPr>
        <w:pStyle w:val="P68B1DB1-ListParagraph12"/>
        <w:numPr>
          <w:ilvl w:val="1"/>
          <w:numId w:val="20"/>
        </w:numPr>
        <w:spacing w:after="0" w:line="257" w:lineRule="auto"/>
        <w:ind w:left="1418"/>
        <w:jc w:val="both"/>
        <w:rPr>
          <w:noProof/>
        </w:rPr>
      </w:pPr>
      <w:r>
        <w:rPr>
          <w:noProof/>
        </w:rPr>
        <w:t>Descrierea produsului financiar și a beneficiarilor finali eligibili.</w:t>
      </w:r>
    </w:p>
    <w:p w14:paraId="1216BC50" w14:textId="77777777" w:rsidR="00A60DDE" w:rsidRDefault="00095506">
      <w:pPr>
        <w:pStyle w:val="P68B1DB1-ListParagraph12"/>
        <w:numPr>
          <w:ilvl w:val="1"/>
          <w:numId w:val="20"/>
        </w:numPr>
        <w:spacing w:after="0" w:line="257" w:lineRule="auto"/>
        <w:ind w:left="1418"/>
        <w:jc w:val="both"/>
        <w:rPr>
          <w:noProof/>
        </w:rPr>
      </w:pPr>
      <w:r>
        <w:rPr>
          <w:noProof/>
        </w:rPr>
        <w:t>Cerința ca toate investițiile sprijinite să fie viabile din punct de vedere economic.</w:t>
      </w:r>
    </w:p>
    <w:p w14:paraId="1216BC51" w14:textId="77777777" w:rsidR="00A60DDE" w:rsidRDefault="00095506">
      <w:pPr>
        <w:pStyle w:val="ListParagraph"/>
        <w:numPr>
          <w:ilvl w:val="1"/>
          <w:numId w:val="20"/>
        </w:numPr>
        <w:spacing w:before="120" w:after="0" w:line="257" w:lineRule="auto"/>
        <w:ind w:left="1418"/>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Cerința de a respecta principiul de „a nu aduce prejudicii semnificative”, astfel cum este prevăzut în Orientările tehnice privind principiul de „a nu aduce prejudicii semnificative” (2023 6454 final). În special, politica de investiții exclude</w:t>
      </w:r>
      <w:r>
        <w:rPr>
          <w:rFonts w:ascii="Times New Roman" w:eastAsia="Times New Roman" w:hAnsi="Times New Roman" w:cs="Times New Roman"/>
          <w:noProof/>
          <w:sz w:val="24"/>
          <w:szCs w:val="24"/>
        </w:rPr>
        <w:t xml:space="preserv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sz w:val="24"/>
          <w:szCs w:val="24"/>
        </w:rPr>
        <w:footnoteReference w:id="36"/>
      </w:r>
      <w:r>
        <w:rPr>
          <w:rFonts w:ascii="Times New Roman" w:eastAsia="Times New Roman" w:hAnsi="Times New Roman" w:cs="Times New Roman"/>
          <w:noProof/>
          <w:sz w:val="24"/>
          <w:szCs w:val="24"/>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sz w:val="24"/>
          <w:szCs w:val="24"/>
        </w:rPr>
        <w:footnoteReference w:id="37"/>
      </w:r>
      <w:r>
        <w:rPr>
          <w:rFonts w:ascii="Times New Roman" w:eastAsia="Times New Roman" w:hAnsi="Times New Roman" w:cs="Times New Roman"/>
          <w:noProof/>
          <w:sz w:val="24"/>
          <w:szCs w:val="24"/>
        </w:rPr>
        <w:t>(iii) activitățile și activele legate de depozitele de deșeuri, incineratoare</w:t>
      </w:r>
      <w:r>
        <w:rPr>
          <w:rStyle w:val="FootnoteReference"/>
          <w:rFonts w:ascii="Times New Roman" w:eastAsia="Times New Roman" w:hAnsi="Times New Roman" w:cs="Times New Roman"/>
          <w:noProof/>
          <w:sz w:val="24"/>
          <w:szCs w:val="24"/>
        </w:rPr>
        <w:footnoteReference w:id="38"/>
      </w:r>
      <w:r>
        <w:rPr>
          <w:rFonts w:ascii="Times New Roman" w:eastAsia="Times New Roman" w:hAnsi="Times New Roman" w:cs="Times New Roman"/>
          <w:noProof/>
          <w:sz w:val="24"/>
          <w:szCs w:val="24"/>
        </w:rPr>
        <w:t xml:space="preserve"> și stațiile de tratare mecano-biologică.</w:t>
      </w:r>
      <w:r>
        <w:rPr>
          <w:rStyle w:val="FootnoteReference"/>
          <w:rFonts w:ascii="Times New Roman" w:eastAsia="Times New Roman" w:hAnsi="Times New Roman" w:cs="Times New Roman"/>
          <w:noProof/>
          <w:sz w:val="24"/>
          <w:szCs w:val="24"/>
        </w:rPr>
        <w:footnoteReference w:id="39"/>
      </w:r>
      <w:r>
        <w:rPr>
          <w:rFonts w:ascii="Times New Roman" w:hAnsi="Times New Roman"/>
          <w:noProof/>
          <w:color w:val="000000" w:themeColor="text1"/>
          <w:sz w:val="24"/>
          <w:szCs w:val="24"/>
        </w:rPr>
        <w:t xml:space="preserve"> În plus, politica de investiții impune respectarea legislației UE și naționale</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relevante în materie de mediu a beneficiarilor finali ai facilității.</w:t>
      </w:r>
    </w:p>
    <w:p w14:paraId="1216BC52" w14:textId="77777777" w:rsidR="00A60DDE" w:rsidRDefault="00095506">
      <w:pPr>
        <w:pStyle w:val="P68B1DB1-ListParagraph12"/>
        <w:numPr>
          <w:ilvl w:val="1"/>
          <w:numId w:val="20"/>
        </w:numPr>
        <w:spacing w:after="0" w:line="257" w:lineRule="auto"/>
        <w:ind w:left="1418"/>
        <w:jc w:val="both"/>
        <w:rPr>
          <w:noProof/>
        </w:rPr>
      </w:pPr>
      <w:r>
        <w:rPr>
          <w:noProof/>
        </w:rPr>
        <w:t>Cerința ca beneficiarii finali ai mecanismului să nu primească sprijin din partea altor instrumente ale Uniunii pentru a acoperi aceleași costuri.</w:t>
      </w:r>
    </w:p>
    <w:p w14:paraId="1216BC53" w14:textId="77777777" w:rsidR="00A60DDE" w:rsidRDefault="00095506">
      <w:pPr>
        <w:pStyle w:val="P68B1DB1-ListParagraph12"/>
        <w:numPr>
          <w:ilvl w:val="0"/>
          <w:numId w:val="19"/>
        </w:numPr>
        <w:spacing w:after="0" w:line="257" w:lineRule="auto"/>
        <w:jc w:val="both"/>
        <w:rPr>
          <w:noProof/>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1216BC54" w14:textId="77777777" w:rsidR="00A60DDE" w:rsidRDefault="00095506">
      <w:pPr>
        <w:pStyle w:val="P68B1DB1-ListParagraph12"/>
        <w:numPr>
          <w:ilvl w:val="0"/>
          <w:numId w:val="19"/>
        </w:numPr>
        <w:spacing w:after="0" w:line="257" w:lineRule="auto"/>
        <w:jc w:val="both"/>
        <w:rPr>
          <w:noProof/>
        </w:rPr>
      </w:pPr>
      <w:r>
        <w:rPr>
          <w:noProof/>
        </w:rPr>
        <w:t>Cerințe de monitorizare, audit și control, inclusiv:</w:t>
      </w:r>
    </w:p>
    <w:p w14:paraId="1216BC55" w14:textId="77777777" w:rsidR="00A60DDE" w:rsidRDefault="00095506">
      <w:pPr>
        <w:pStyle w:val="P68B1DB1-ListParagraph12"/>
        <w:numPr>
          <w:ilvl w:val="1"/>
          <w:numId w:val="21"/>
        </w:numPr>
        <w:spacing w:after="0" w:line="257" w:lineRule="auto"/>
        <w:jc w:val="both"/>
        <w:rPr>
          <w:noProof/>
        </w:rPr>
      </w:pPr>
      <w:r>
        <w:rPr>
          <w:noProof/>
        </w:rPr>
        <w:t>Descrierea sistemului de monitorizare al partenerului de implementare pentru raportarea cu privire la investiția mobilizată.</w:t>
      </w:r>
    </w:p>
    <w:p w14:paraId="1216BC56" w14:textId="77777777" w:rsidR="00A60DDE" w:rsidRDefault="00095506">
      <w:pPr>
        <w:pStyle w:val="P68B1DB1-ListParagraph12"/>
        <w:numPr>
          <w:ilvl w:val="1"/>
          <w:numId w:val="21"/>
        </w:numPr>
        <w:spacing w:after="0" w:line="257" w:lineRule="auto"/>
        <w:jc w:val="both"/>
        <w:rPr>
          <w:noProof/>
        </w:rPr>
      </w:pPr>
      <w:r>
        <w:rPr>
          <w:noProof/>
        </w:rPr>
        <w:t xml:space="preserve">Descrierea procedurilor partenerului de implementare care vor asigura prevenirea, detectarea și corectarea fraudei, a corupției și a conflictelor de interese. </w:t>
      </w:r>
    </w:p>
    <w:p w14:paraId="1216BC57" w14:textId="77777777" w:rsidR="00A60DDE" w:rsidRDefault="00095506">
      <w:pPr>
        <w:pStyle w:val="P68B1DB1-ListParagraph12"/>
        <w:numPr>
          <w:ilvl w:val="1"/>
          <w:numId w:val="21"/>
        </w:numPr>
        <w:spacing w:after="0" w:line="257"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1216BC58" w14:textId="233626DA" w:rsidR="00A60DDE" w:rsidRDefault="00095506">
      <w:pPr>
        <w:pStyle w:val="P68B1DB1-ListParagraph12"/>
        <w:numPr>
          <w:ilvl w:val="1"/>
          <w:numId w:val="21"/>
        </w:numPr>
        <w:spacing w:after="0" w:line="257" w:lineRule="auto"/>
        <w:jc w:val="both"/>
        <w:rPr>
          <w:noProof/>
        </w:rPr>
      </w:pPr>
      <w:r>
        <w:rPr>
          <w:noProof/>
        </w:rPr>
        <w:t>Obligația de a efectua audituri ex post bazate pe riscuri în conformitate cu un plan de audit al BGK. Aceste audituri verifică i) eficacitatea sistemelor de control, inclusiv detectarea fraudei, a corupției și a conflictelor de interese; ii) respectarea principiului de „a nu aduce prejudicii semnificative”, a normelor privind ajutoarele de stat și a cerințelor privind obiectivele digitale;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aplicabil.</w:t>
      </w:r>
    </w:p>
    <w:p w14:paraId="1216BC59" w14:textId="7316046D" w:rsidR="00A60DDE" w:rsidRDefault="00095506">
      <w:pPr>
        <w:pStyle w:val="P68B1DB1-ListParagraph42"/>
        <w:numPr>
          <w:ilvl w:val="0"/>
          <w:numId w:val="19"/>
        </w:numPr>
        <w:spacing w:after="0" w:line="257" w:lineRule="auto"/>
        <w:jc w:val="both"/>
        <w:rPr>
          <w:rFonts w:eastAsia="Times New Roman"/>
          <w:noProof/>
          <w:color w:val="000000" w:themeColor="text1"/>
        </w:rPr>
      </w:pPr>
      <w:r>
        <w:rPr>
          <w:noProof/>
        </w:rPr>
        <w:t>Cerințe pentru investițiile digitale efectuate de partenerul de implementare: cel puțin 277 840 003 EUR din investițiile MRR în mecanism contribuie la tranziția digitală în conformitate cu anexa VII la Regulamentul privind MRR.</w:t>
      </w:r>
    </w:p>
    <w:p w14:paraId="1216BC5A" w14:textId="77777777" w:rsidR="00A60DDE" w:rsidRDefault="00095506">
      <w:pPr>
        <w:pStyle w:val="P68B1DB1-Normal69"/>
        <w:spacing w:before="120" w:after="120" w:line="240" w:lineRule="auto"/>
        <w:jc w:val="both"/>
        <w:rPr>
          <w:noProof/>
        </w:rPr>
        <w:sectPr w:rsidR="00A60DDE" w:rsidSect="006C5441">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299"/>
        </w:sectPr>
      </w:pPr>
      <w:r>
        <w:rPr>
          <w:rFonts w:ascii="Times New Roman" w:eastAsia="Times New Roman" w:hAnsi="Times New Roman" w:cs="Times New Roman"/>
          <w:noProof/>
          <w:color w:val="000000" w:themeColor="text1"/>
        </w:rPr>
        <w:t xml:space="preserve">Măsura include, de asemenea, publicarea unui ghid privind cloud </w:t>
      </w:r>
      <w:r>
        <w:rPr>
          <w:rFonts w:ascii="Times New Roman" w:eastAsia="Times New Roman" w:hAnsi="Times New Roman" w:cs="Times New Roman"/>
          <w:noProof/>
        </w:rPr>
        <w:t xml:space="preserve">computingul pentru întreprinderi. </w:t>
      </w:r>
      <w:r>
        <w:rPr>
          <w:rFonts w:ascii="Times New Roman" w:eastAsia="Times New Roman" w:hAnsi="Times New Roman" w:cs="Times New Roman"/>
          <w:noProof/>
          <w:color w:val="000000" w:themeColor="text1"/>
        </w:rPr>
        <w:t xml:space="preserve">Acest ghid este un compendiu de </w:t>
      </w:r>
      <w:r>
        <w:rPr>
          <w:rFonts w:ascii="Times New Roman" w:eastAsia="Times New Roman" w:hAnsi="Times New Roman" w:cs="Times New Roman"/>
          <w:noProof/>
        </w:rPr>
        <w:t>cunoștințe (inclusiv</w:t>
      </w:r>
      <w:r>
        <w:rPr>
          <w:rFonts w:ascii="Times New Roman" w:eastAsia="Times New Roman" w:hAnsi="Times New Roman" w:cs="Times New Roman"/>
          <w:noProof/>
          <w:color w:val="000000" w:themeColor="text1"/>
        </w:rPr>
        <w:t xml:space="preserve"> întrebări frecvente)</w:t>
      </w:r>
      <w:r>
        <w:rPr>
          <w:rFonts w:ascii="Times New Roman" w:eastAsia="Times New Roman" w:hAnsi="Times New Roman" w:cs="Times New Roman"/>
          <w:noProof/>
        </w:rPr>
        <w:t xml:space="preserve"> privind </w:t>
      </w:r>
      <w:r>
        <w:rPr>
          <w:rFonts w:ascii="Times New Roman" w:eastAsia="Times New Roman" w:hAnsi="Times New Roman" w:cs="Times New Roman"/>
          <w:noProof/>
          <w:color w:val="000000" w:themeColor="text1"/>
        </w:rPr>
        <w:t>utilizarea cloud computingului</w:t>
      </w:r>
      <w:r>
        <w:rPr>
          <w:rFonts w:ascii="Times New Roman" w:eastAsia="Times New Roman" w:hAnsi="Times New Roman" w:cs="Times New Roman"/>
          <w:noProof/>
        </w:rPr>
        <w:t xml:space="preserve"> </w:t>
      </w:r>
      <w:r>
        <w:rPr>
          <w:rFonts w:ascii="Times New Roman" w:eastAsia="Times New Roman" w:hAnsi="Times New Roman" w:cs="Times New Roman"/>
          <w:noProof/>
          <w:color w:val="000000" w:themeColor="text1"/>
        </w:rPr>
        <w:t>în transformarea digitală a întreprinderilor. Ghidul acoperă, printre altele, următoarele aspecte: aspectele juridice ale transformării unei întreprinderi care utilizează cloud computing, securitatea cibernetică, eficiența energetică și dezvoltarea competențelor digitale și a competențelor în domeniul cloud computingului.</w:t>
      </w:r>
    </w:p>
    <w:p w14:paraId="1216BC5B"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000000"/>
          <w:sz w:val="24"/>
          <w:szCs w:val="24"/>
        </w:rPr>
      </w:pPr>
      <w:r>
        <w:rPr>
          <w:rFonts w:ascii="Times New Roman" w:hAnsi="Times New Roman"/>
          <w:b/>
          <w:noProof/>
          <w:color w:val="000000" w:themeColor="text1"/>
          <w:sz w:val="24"/>
        </w:rPr>
        <w:t xml:space="preserve">C.4. </w:t>
      </w:r>
      <w:r>
        <w:rPr>
          <w:noProof/>
        </w:rPr>
        <w:t xml:space="preserve"> </w:t>
      </w:r>
      <w:r>
        <w:rPr>
          <w:rFonts w:ascii="Times New Roman" w:hAnsi="Times New Roman"/>
          <w:b/>
          <w:noProof/>
          <w:color w:val="000000" w:themeColor="text1"/>
          <w:sz w:val="24"/>
        </w:rPr>
        <w:t>Jaloane, ținte, indicatori și calendar pentru monitorizarea și punerea în aplicare a împrumutului</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134"/>
        <w:gridCol w:w="2415"/>
        <w:gridCol w:w="1559"/>
        <w:gridCol w:w="992"/>
        <w:gridCol w:w="993"/>
        <w:gridCol w:w="845"/>
        <w:gridCol w:w="992"/>
        <w:gridCol w:w="851"/>
        <w:gridCol w:w="2840"/>
      </w:tblGrid>
      <w:tr w:rsidR="00A60DDE" w14:paraId="1216BC65" w14:textId="77777777">
        <w:trPr>
          <w:trHeight w:val="731"/>
          <w:tblHeader/>
          <w:jc w:val="center"/>
        </w:trPr>
        <w:tc>
          <w:tcPr>
            <w:tcW w:w="8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C" w14:textId="715C50EA" w:rsidR="00A60DDE" w:rsidRDefault="005631E2">
            <w:pPr>
              <w:pStyle w:val="P68B1DB1-Normal061"/>
              <w:pBdr>
                <w:top w:val="nil"/>
                <w:left w:val="nil"/>
                <w:bottom w:val="nil"/>
                <w:right w:val="nil"/>
                <w:between w:val="nil"/>
              </w:pBdr>
              <w:spacing w:after="0" w:line="240" w:lineRule="auto"/>
              <w:jc w:val="center"/>
              <w:rPr>
                <w:rFonts w:eastAsia="Times New Roman"/>
                <w:noProof/>
              </w:rPr>
            </w:pPr>
            <w:r>
              <w:rPr>
                <w:noProof/>
              </w:rPr>
              <w:t>Nr. secv</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D"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E"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Etapa/ținta</w:t>
            </w:r>
          </w:p>
        </w:tc>
        <w:tc>
          <w:tcPr>
            <w:tcW w:w="24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F"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0" w14:textId="063D2D25"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Indicatori calitativi (pentru obiectivele de etapă)</w:t>
            </w:r>
          </w:p>
        </w:tc>
        <w:tc>
          <w:tcPr>
            <w:tcW w:w="28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1" w14:textId="77777777" w:rsidR="00A60DDE" w:rsidRDefault="00095506">
            <w:pPr>
              <w:pStyle w:val="P68B1DB1-Normal061"/>
              <w:pBdr>
                <w:top w:val="nil"/>
                <w:left w:val="nil"/>
                <w:bottom w:val="nil"/>
                <w:right w:val="nil"/>
                <w:between w:val="nil"/>
              </w:pBdr>
              <w:spacing w:after="0" w:line="240" w:lineRule="auto"/>
              <w:jc w:val="center"/>
              <w:rPr>
                <w:noProof/>
              </w:rPr>
            </w:pPr>
            <w:r>
              <w:rPr>
                <w:noProof/>
              </w:rPr>
              <w:t>Indicatori cantitativi</w:t>
            </w:r>
          </w:p>
          <w:p w14:paraId="1216BC62"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(pentru obiective)</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3"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28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4"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A60DDE" w14:paraId="1216BC71" w14:textId="77777777">
        <w:trPr>
          <w:trHeight w:val="557"/>
          <w:jc w:val="center"/>
        </w:trPr>
        <w:tc>
          <w:tcPr>
            <w:tcW w:w="846" w:type="dxa"/>
            <w:vMerge/>
            <w:vAlign w:val="center"/>
          </w:tcPr>
          <w:p w14:paraId="1216BC66"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C67"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C68"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415" w:type="dxa"/>
            <w:vMerge/>
            <w:vAlign w:val="center"/>
          </w:tcPr>
          <w:p w14:paraId="1216BC69"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C6A"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B"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C"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D"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E"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F"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2840" w:type="dxa"/>
            <w:vMerge/>
            <w:vAlign w:val="center"/>
          </w:tcPr>
          <w:p w14:paraId="1216BC70"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C7D"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2"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C1L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3"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C1.2 Creșterea nivelului de accesibilitate și utilizare a comunicațiilor moderne prin cablu și fără fir pentru nevoile sociale și economice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4"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5" w14:textId="5D275A0B" w:rsidR="00A60DDE" w:rsidRDefault="00095506">
            <w:pPr>
              <w:pStyle w:val="P68B1DB1-Normal062"/>
              <w:pBdr>
                <w:top w:val="nil"/>
                <w:left w:val="nil"/>
                <w:bottom w:val="nil"/>
                <w:right w:val="nil"/>
                <w:between w:val="nil"/>
              </w:pBdr>
              <w:spacing w:after="0" w:line="240" w:lineRule="auto"/>
              <w:rPr>
                <w:noProof/>
                <w:color w:val="006100"/>
              </w:rPr>
            </w:pPr>
            <w:r>
              <w:rPr>
                <w:noProof/>
              </w:rPr>
              <w:t>Modificarea Regulamentului din 17 februarie 2020 privind monitorizarea emisiilor de câmp electromagnetic în mediu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6"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 xml:space="preserve">Dispoziție de modificare a regulamentului care indică intrarea sa în vigoare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9"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A"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B"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C" w14:textId="285574F1" w:rsidR="00A60DDE" w:rsidRDefault="00095506">
            <w:pPr>
              <w:pStyle w:val="P68B1DB1-Normal021"/>
              <w:pBdr>
                <w:top w:val="nil"/>
                <w:left w:val="nil"/>
                <w:bottom w:val="nil"/>
                <w:right w:val="nil"/>
                <w:between w:val="nil"/>
              </w:pBdr>
              <w:spacing w:after="0" w:line="240" w:lineRule="auto"/>
              <w:rPr>
                <w:noProof/>
                <w:color w:val="006100"/>
              </w:rPr>
            </w:pPr>
            <w:r>
              <w:rPr>
                <w:noProof/>
                <w:color w:val="000000" w:themeColor="text1"/>
              </w:rPr>
              <w:t>Intrarea în vigoare a unei modificări a Regulamentului din 17</w:t>
            </w:r>
            <w:r>
              <w:rPr>
                <w:noProof/>
              </w:rPr>
              <w:t> </w:t>
            </w:r>
            <w:r>
              <w:rPr>
                <w:noProof/>
                <w:color w:val="000000" w:themeColor="text1"/>
              </w:rPr>
              <w:t>februarie</w:t>
            </w:r>
            <w:r>
              <w:rPr>
                <w:noProof/>
              </w:rPr>
              <w:t> </w:t>
            </w:r>
            <w:r>
              <w:rPr>
                <w:noProof/>
                <w:color w:val="000000" w:themeColor="text1"/>
              </w:rPr>
              <w:t>2020 privind metodologiile de măsurare a emisiilor de câmp electromagnetic în mediu.</w:t>
            </w:r>
          </w:p>
        </w:tc>
      </w:tr>
      <w:tr w:rsidR="00A60DDE" w14:paraId="1216BC89"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E"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C2L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F"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C1.2 Creșterea nivelului de accesibilitate și utilizare a comunicațiilor moderne prin cablu și fără fir pentru nevoile sociale și economice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0"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1" w14:textId="016F5D28" w:rsidR="00A60DDE" w:rsidRDefault="00095506">
            <w:pPr>
              <w:pStyle w:val="P68B1DB1-Normal062"/>
              <w:pBdr>
                <w:top w:val="nil"/>
                <w:left w:val="nil"/>
                <w:bottom w:val="nil"/>
                <w:right w:val="nil"/>
                <w:between w:val="nil"/>
              </w:pBdr>
              <w:spacing w:after="0" w:line="240" w:lineRule="auto"/>
              <w:rPr>
                <w:noProof/>
                <w:color w:val="006100"/>
              </w:rPr>
            </w:pPr>
            <w:r>
              <w:rPr>
                <w:noProof/>
              </w:rPr>
              <w:t>Modificarea Regulamentului Consiliului de Miniștri din 10 septembrie 2019 privind evaluarea impactului asupra mediului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2" w14:textId="0A315299"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Dispoziție din modificarea regulamentului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3"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4"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5"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6"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7"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8" w14:textId="7173F7DF"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unei modificări a regulamentului privind proiectele care pot avea un impact semnificativ asupra mediului, care exclude investițiile în comunicațiile radio din catalogul proiectelor care necesită o evaluare a impactului asupra mediului.</w:t>
            </w:r>
          </w:p>
        </w:tc>
      </w:tr>
      <w:tr w:rsidR="00A60DDE" w14:paraId="1216BC95"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A"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C3L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B"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 xml:space="preserve">C1.2 Creșterea nivelului de accesibilitate și utilizare a comunicațiilor moderne prin cablu și fără fir pentru nevoile sociale și economice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C"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D" w14:textId="08F925CE"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Act(e) juridic(e) nou(e) care elimină principalele obstacole din calea punerii în aplicare a rețelei 5G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E" w14:textId="592C0E66"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Dispoziție din actul (actele) juridic(e)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F"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0"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2"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3"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4" w14:textId="77777777" w:rsidR="00A60DDE" w:rsidRDefault="00095506">
            <w:pPr>
              <w:pStyle w:val="P68B1DB1-Normal021"/>
              <w:pBdr>
                <w:top w:val="nil"/>
                <w:left w:val="nil"/>
                <w:bottom w:val="nil"/>
                <w:right w:val="nil"/>
                <w:between w:val="nil"/>
              </w:pBdr>
              <w:spacing w:after="0" w:line="240" w:lineRule="auto"/>
              <w:rPr>
                <w:noProof/>
                <w:color w:val="006100"/>
              </w:rPr>
            </w:pPr>
            <w:r>
              <w:rPr>
                <w:noProof/>
                <w:color w:val="000000" w:themeColor="text1"/>
              </w:rPr>
              <w:t>Intrarea în vigoare a actului (actelor) juridic(e) care elimină următoarele obstacole-cheie din calea implementării rețelelor 5G: 1) Procedura excesiv de complicată privind alocarea frecvențelor în scopul dezvoltării rețelei 5G, 2) Definirea insuficientă a conceptelor relevante pentru implementarea rețelei 5G, 3) Birocratizarea excesivă a procedurilor administrative, 4)</w:t>
            </w:r>
            <w:r>
              <w:rPr>
                <w:noProof/>
              </w:rPr>
              <w:t xml:space="preserve"> </w:t>
            </w:r>
            <w:r>
              <w:rPr>
                <w:noProof/>
                <w:color w:val="000000" w:themeColor="text1"/>
              </w:rPr>
              <w:t>Limitarea accesului la infrastructura tehnică publică, 5)</w:t>
            </w:r>
            <w:r>
              <w:rPr>
                <w:noProof/>
              </w:rPr>
              <w:t xml:space="preserve"> </w:t>
            </w:r>
            <w:r>
              <w:rPr>
                <w:noProof/>
                <w:color w:val="000000" w:themeColor="text1"/>
              </w:rPr>
              <w:t>Soluții de reglementare insuficiente care sprijină dezvoltarea rețelei 5G.</w:t>
            </w:r>
          </w:p>
        </w:tc>
      </w:tr>
      <w:tr w:rsidR="00A60DDE" w14:paraId="1216BCA3"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6"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C8L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7" w14:textId="77777777" w:rsidR="00A60DDE" w:rsidRDefault="00095506">
            <w:pPr>
              <w:pStyle w:val="P68B1DB1-Normal062"/>
              <w:pBdr>
                <w:top w:val="nil"/>
                <w:left w:val="nil"/>
                <w:bottom w:val="nil"/>
                <w:right w:val="nil"/>
                <w:between w:val="nil"/>
              </w:pBdr>
              <w:spacing w:after="0" w:line="240" w:lineRule="auto"/>
              <w:rPr>
                <w:noProof/>
              </w:rPr>
            </w:pPr>
            <w:r>
              <w:rPr>
                <w:noProof/>
              </w:rPr>
              <w:t>C2.2 Reforma fundamentelor digitalizării sistemului educațional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8"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9" w14:textId="77777777" w:rsidR="00A60DDE" w:rsidRDefault="00095506">
            <w:pPr>
              <w:pStyle w:val="P68B1DB1-Normal062"/>
              <w:pBdr>
                <w:top w:val="nil"/>
                <w:left w:val="nil"/>
                <w:bottom w:val="nil"/>
                <w:right w:val="nil"/>
                <w:between w:val="nil"/>
              </w:pBdr>
              <w:spacing w:after="0" w:line="240" w:lineRule="auto"/>
              <w:rPr>
                <w:noProof/>
              </w:rPr>
            </w:pPr>
            <w:r>
              <w:rPr>
                <w:noProof/>
              </w:rPr>
              <w:t>Adoptarea unei noi politici de digitalizare pentru educație, care să constituie baza pentru schimbările din sistemul educațional și implementarea investițiilor în TIC și definirea direcțiilor de digitalizare a procesului educațional pe termen scurt și lung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A" w14:textId="77777777" w:rsidR="00A60DDE" w:rsidRDefault="00095506">
            <w:pPr>
              <w:pStyle w:val="P68B1DB1-Normal062"/>
              <w:pBdr>
                <w:top w:val="nil"/>
                <w:left w:val="nil"/>
                <w:bottom w:val="nil"/>
                <w:right w:val="nil"/>
                <w:between w:val="nil"/>
              </w:pBdr>
              <w:spacing w:after="0" w:line="240" w:lineRule="auto"/>
              <w:rPr>
                <w:noProof/>
              </w:rPr>
            </w:pPr>
            <w:r>
              <w:rPr>
                <w:noProof/>
              </w:rPr>
              <w:t>Adoptarea politicii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D"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E"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F"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0" w14:textId="213A6E82" w:rsidR="00A60DDE" w:rsidRDefault="00095506">
            <w:pPr>
              <w:pStyle w:val="P68B1DB1-Normal062"/>
              <w:pBdr>
                <w:top w:val="nil"/>
                <w:left w:val="nil"/>
                <w:bottom w:val="nil"/>
                <w:right w:val="nil"/>
                <w:between w:val="nil"/>
              </w:pBdr>
              <w:spacing w:after="0" w:line="240" w:lineRule="auto"/>
              <w:rPr>
                <w:noProof/>
              </w:rPr>
            </w:pPr>
            <w:r>
              <w:rPr>
                <w:noProof/>
              </w:rPr>
              <w:t>Adoptarea de către Consiliul de Miniștri a unei rezoluții privind politica de digitalizare a domeniului educației, având natura unui program și a unui document strategic, care stabilește cadrul pentru politica de stat și activitățile întreprinse în domeniul digitalizării educației pe termen scurt, mediu și lung.</w:t>
            </w:r>
          </w:p>
          <w:p w14:paraId="1216BCA1"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CA2" w14:textId="59AE2A2C" w:rsidR="00A60DDE" w:rsidRDefault="00095506">
            <w:pPr>
              <w:pStyle w:val="P68B1DB1-Normal062"/>
              <w:pBdr>
                <w:top w:val="nil"/>
                <w:left w:val="nil"/>
                <w:bottom w:val="nil"/>
                <w:right w:val="nil"/>
                <w:between w:val="nil"/>
              </w:pBdr>
              <w:spacing w:after="0" w:line="240" w:lineRule="auto"/>
              <w:rPr>
                <w:noProof/>
              </w:rPr>
            </w:pPr>
            <w:r>
              <w:rPr>
                <w:noProof/>
              </w:rPr>
              <w:t>Acest document constituie baza pentru activitățile părților interesate și ale actorilor-participanți și definește instrumentele pentru realizarea unui sistem educațional complet digitalizat, adaptat la provocările contemporane ale mediului preșcolar și ale educației generale. Politica include planul de punere în aplicare, măsurile de evaluare și monitorizare și este elaborată prin aplicarea unei abordări participative.</w:t>
            </w:r>
          </w:p>
        </w:tc>
      </w:tr>
      <w:tr w:rsidR="00A60DDE" w14:paraId="1216BCB0" w14:textId="77777777">
        <w:trPr>
          <w:trHeight w:val="269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4" w14:textId="77777777" w:rsidR="00A60DDE" w:rsidRDefault="00095506">
            <w:pPr>
              <w:pStyle w:val="P68B1DB1-Normal021"/>
              <w:spacing w:line="240" w:lineRule="auto"/>
              <w:jc w:val="center"/>
              <w:rPr>
                <w:noProof/>
              </w:rPr>
            </w:pPr>
            <w:r>
              <w:rPr>
                <w:noProof/>
              </w:rPr>
              <w:t>C9L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5" w14:textId="77777777" w:rsidR="00A60DDE" w:rsidRDefault="00095506">
            <w:pPr>
              <w:pStyle w:val="P68B1DB1-Normal062"/>
              <w:spacing w:line="240" w:lineRule="auto"/>
              <w:rPr>
                <w:noProof/>
                <w:color w:val="000000" w:themeColor="text1"/>
              </w:rPr>
            </w:pPr>
            <w:r>
              <w:rPr>
                <w:noProof/>
              </w:rPr>
              <w:t>C2.2.1 Dotarea școlilor/instituțiilor cu dispozitive și infrastructuri TIC adecvate pentru a îmbunătăți performanța generală a sistemului educațional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6" w14:textId="77777777" w:rsidR="00A60DDE" w:rsidRDefault="00095506">
            <w:pPr>
              <w:pStyle w:val="P68B1DB1-Normal062"/>
              <w:spacing w:line="240" w:lineRule="auto"/>
              <w:jc w:val="center"/>
              <w:rPr>
                <w:noProof/>
                <w:color w:val="000000" w:themeColor="text1"/>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7" w14:textId="77777777" w:rsidR="00A60DDE" w:rsidRDefault="00095506">
            <w:pPr>
              <w:pStyle w:val="P68B1DB1-Normal062"/>
              <w:spacing w:line="240" w:lineRule="auto"/>
              <w:rPr>
                <w:noProof/>
                <w:color w:val="000000" w:themeColor="text1"/>
              </w:rPr>
            </w:pPr>
            <w:r>
              <w:rPr>
                <w:noProof/>
              </w:rPr>
              <w:t>Consultare publică privind cadrul de definire a procedurilor de distribuție a echipamentelor TIC și de furnizare a infrastructurii pentru școli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8" w14:textId="77777777" w:rsidR="00A60DDE" w:rsidRDefault="00095506">
            <w:pPr>
              <w:pStyle w:val="P68B1DB1-Normal062"/>
              <w:spacing w:line="240" w:lineRule="auto"/>
              <w:rPr>
                <w:noProof/>
                <w:color w:val="000000" w:themeColor="text1"/>
              </w:rPr>
            </w:pPr>
            <w:r>
              <w:rPr>
                <w:noProof/>
              </w:rPr>
              <w:t>Raport care sintetizează rezultatele consultării publice și următorul răspuns al guvernului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9"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A"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B"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C" w14:textId="77777777" w:rsidR="00A60DDE" w:rsidRDefault="00095506">
            <w:pPr>
              <w:pStyle w:val="P68B1DB1-Normal062"/>
              <w:spacing w:line="240" w:lineRule="auto"/>
              <w:jc w:val="center"/>
              <w:rPr>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D" w14:textId="77777777" w:rsidR="00A60DDE" w:rsidRDefault="00095506">
            <w:pPr>
              <w:pStyle w:val="P68B1DB1-Normal062"/>
              <w:spacing w:line="240" w:lineRule="auto"/>
              <w:jc w:val="center"/>
              <w:rPr>
                <w:noProof/>
                <w:color w:val="000000" w:themeColor="text1"/>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E" w14:textId="77777777" w:rsidR="00A60DDE" w:rsidRDefault="00095506">
            <w:pPr>
              <w:pStyle w:val="P68B1DB1-Normal34"/>
              <w:spacing w:line="240" w:lineRule="auto"/>
              <w:rPr>
                <w:noProof/>
              </w:rPr>
            </w:pPr>
            <w:r>
              <w:rPr>
                <w:noProof/>
              </w:rPr>
              <w:t>Consultare publică care implică diferite părți interesate și parteneri sociali cu privire la cadrul pentru distribuirea de echipamente TIC (kit informatic pentru predarea la distanță) și pentru furnizarea de infrastructură (conexiune LAN, laboratoare STIM și IA) către școli.</w:t>
            </w:r>
          </w:p>
          <w:p w14:paraId="1216BCAF" w14:textId="77777777" w:rsidR="00A60DDE" w:rsidRDefault="00095506">
            <w:pPr>
              <w:pStyle w:val="P68B1DB1-Normal34"/>
              <w:spacing w:after="0" w:line="240" w:lineRule="auto"/>
              <w:rPr>
                <w:noProof/>
              </w:rPr>
            </w:pPr>
            <w:r>
              <w:rPr>
                <w:noProof/>
              </w:rPr>
              <w:t>Rezultatele consultării sunt rezumate într-un raport care conține principalele observații ale părților interesate și ale partenerilor sociali, precum și acțiunile întreprinse de guvern ca urmare a acestor observații.</w:t>
            </w:r>
          </w:p>
        </w:tc>
      </w:tr>
      <w:tr w:rsidR="00A60DDE" w14:paraId="1216BCC0"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1"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C10L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2" w14:textId="77777777" w:rsidR="00A60DDE" w:rsidRDefault="00095506">
            <w:pPr>
              <w:pStyle w:val="P68B1DB1-Normal062"/>
              <w:pBdr>
                <w:top w:val="nil"/>
                <w:left w:val="nil"/>
                <w:bottom w:val="nil"/>
                <w:right w:val="nil"/>
                <w:between w:val="nil"/>
              </w:pBdr>
              <w:spacing w:after="0" w:line="240" w:lineRule="auto"/>
              <w:rPr>
                <w:noProof/>
              </w:rPr>
            </w:pPr>
            <w:r>
              <w:rPr>
                <w:noProof/>
              </w:rPr>
              <w:t>C2.2.1 Dotarea școlilor/instituțiilor cu dispozitive și infrastructuri TIC adecvate pentru a îmbunătăți performanța generală a sistemului educațional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3"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4" w14:textId="77777777" w:rsidR="00A60DDE" w:rsidRDefault="00095506">
            <w:pPr>
              <w:pStyle w:val="P68B1DB1-Normal062"/>
              <w:pBdr>
                <w:top w:val="nil"/>
                <w:left w:val="nil"/>
                <w:bottom w:val="nil"/>
                <w:right w:val="nil"/>
                <w:between w:val="nil"/>
              </w:pBdr>
              <w:spacing w:after="0" w:line="240" w:lineRule="auto"/>
              <w:rPr>
                <w:noProof/>
              </w:rPr>
            </w:pPr>
            <w:r>
              <w:rPr>
                <w:noProof/>
              </w:rPr>
              <w:t>Cadrul de definire a procedurilor de distribuție a dispozitivelor TIC și de furnizare a infrastructurii pentru școli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5" w14:textId="109D31BE" w:rsidR="00A60DDE" w:rsidRDefault="00095506">
            <w:pPr>
              <w:pStyle w:val="P68B1DB1-Normal062"/>
              <w:pBdr>
                <w:top w:val="nil"/>
                <w:left w:val="nil"/>
                <w:bottom w:val="nil"/>
                <w:right w:val="nil"/>
                <w:between w:val="nil"/>
              </w:pBdr>
              <w:spacing w:after="0" w:line="240" w:lineRule="auto"/>
              <w:rPr>
                <w:noProof/>
              </w:rPr>
            </w:pPr>
            <w:r>
              <w:rPr>
                <w:noProof/>
              </w:rPr>
              <w:t xml:space="preserve">Adoptare de către Ministerul Educației și Științei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9"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A"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B" w14:textId="77777777" w:rsidR="00A60DDE" w:rsidRDefault="00095506">
            <w:pPr>
              <w:pStyle w:val="P68B1DB1-Normal34"/>
              <w:spacing w:after="0" w:line="240" w:lineRule="auto"/>
              <w:rPr>
                <w:noProof/>
              </w:rPr>
            </w:pPr>
            <w:r>
              <w:rPr>
                <w:noProof/>
              </w:rPr>
              <w:t xml:space="preserve">Cadrul stabilește condițiile minime pentru distribuirea de echipamente TIC și pentru furnizarea de infrastructură școlilor beneficiare, astfel cum rezultă din consultarea publică prealabilă cu diferite părți interesate și cu diferiți parteneri sociali. </w:t>
            </w:r>
          </w:p>
          <w:p w14:paraId="1216BCBC" w14:textId="77777777" w:rsidR="00A60DDE" w:rsidRDefault="00A60DDE">
            <w:pPr>
              <w:spacing w:after="0" w:line="240" w:lineRule="auto"/>
              <w:rPr>
                <w:rFonts w:ascii="Times New Roman" w:hAnsi="Times New Roman" w:cs="Times New Roman"/>
                <w:noProof/>
                <w:color w:val="000000" w:themeColor="text1"/>
                <w:sz w:val="18"/>
                <w:szCs w:val="18"/>
              </w:rPr>
            </w:pPr>
          </w:p>
          <w:p w14:paraId="1216BCBD" w14:textId="77777777" w:rsidR="00A60DDE" w:rsidRDefault="00095506">
            <w:pPr>
              <w:pStyle w:val="P68B1DB1-Normal34"/>
              <w:spacing w:after="0" w:line="240" w:lineRule="auto"/>
              <w:rPr>
                <w:noProof/>
              </w:rPr>
            </w:pPr>
            <w:r>
              <w:rPr>
                <w:noProof/>
              </w:rPr>
              <w:t>Cadrul stabilește criterii clare pentru selectarea școlilor beneficiare, reflectând nevoile de echipamente și infrastructuri TIC, cum ar fi laboratoarele, și impactul potențial al acestora asupra performanței educaționale a școlilor.</w:t>
            </w:r>
          </w:p>
          <w:p w14:paraId="1216BCBE" w14:textId="77777777" w:rsidR="00A60DDE" w:rsidRDefault="00A60DDE">
            <w:pPr>
              <w:spacing w:after="0" w:line="240" w:lineRule="auto"/>
              <w:rPr>
                <w:rFonts w:ascii="Times New Roman" w:hAnsi="Times New Roman" w:cs="Times New Roman"/>
                <w:noProof/>
                <w:color w:val="000000" w:themeColor="text1"/>
                <w:sz w:val="18"/>
                <w:szCs w:val="18"/>
              </w:rPr>
            </w:pPr>
          </w:p>
          <w:p w14:paraId="1216BCBF" w14:textId="77777777" w:rsidR="00A60DDE" w:rsidRDefault="00095506">
            <w:pPr>
              <w:pStyle w:val="P68B1DB1-Normal34"/>
              <w:spacing w:after="0" w:line="240" w:lineRule="auto"/>
              <w:rPr>
                <w:noProof/>
              </w:rPr>
            </w:pPr>
            <w:r>
              <w:rPr>
                <w:noProof/>
              </w:rPr>
              <w:t>Ținând seama de nevoile diferitelor școli beneficiare, următoarea procedură de ofertare privind furnizarea de infrastructură și echipamente TIC este egală, deschisă, transparentă și echitabilă și asigură o distribuție echilibrată între școlile din întreaga țară, bazată atât pe populație, cât și pe acoperirea geografică.</w:t>
            </w:r>
          </w:p>
        </w:tc>
      </w:tr>
      <w:tr w:rsidR="00A60DDE" w14:paraId="1216BCCC"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1"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C12L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2" w14:textId="77777777" w:rsidR="00A60DDE" w:rsidRDefault="00095506">
            <w:pPr>
              <w:pStyle w:val="P68B1DB1-Normal062"/>
              <w:pBdr>
                <w:top w:val="nil"/>
                <w:left w:val="nil"/>
                <w:bottom w:val="nil"/>
                <w:right w:val="nil"/>
                <w:between w:val="nil"/>
              </w:pBdr>
              <w:spacing w:after="0" w:line="240" w:lineRule="auto"/>
              <w:rPr>
                <w:noProof/>
              </w:rPr>
            </w:pPr>
            <w:r>
              <w:rPr>
                <w:noProof/>
              </w:rPr>
              <w:t xml:space="preserve">C2.2.1 Tehnologiile digitale în predare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4" w14:textId="36D0BBE5" w:rsidR="00A60DDE" w:rsidRDefault="00095506">
            <w:pPr>
              <w:pStyle w:val="P68B1DB1-Normal029"/>
              <w:pBdr>
                <w:top w:val="nil"/>
                <w:left w:val="nil"/>
                <w:bottom w:val="nil"/>
                <w:right w:val="nil"/>
                <w:between w:val="nil"/>
              </w:pBdr>
              <w:spacing w:after="0" w:line="240" w:lineRule="auto"/>
              <w:rPr>
                <w:noProof/>
              </w:rPr>
            </w:pPr>
            <w:r>
              <w:rPr>
                <w:noProof/>
              </w:rPr>
              <w:t>Furnizare de kituri TIC („Zestaw”)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5"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8" w14:textId="77777777" w:rsidR="00A60DDE" w:rsidRDefault="00095506">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900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9"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A"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B" w14:textId="133D60D8" w:rsidR="00A60DDE" w:rsidRDefault="00095506">
            <w:pPr>
              <w:pStyle w:val="P68B1DB1-Normal062"/>
              <w:spacing w:after="0" w:line="240" w:lineRule="auto"/>
              <w:rPr>
                <w:rFonts w:eastAsia="Times New Roman"/>
                <w:noProof/>
                <w:color w:val="000000" w:themeColor="text1"/>
              </w:rPr>
            </w:pPr>
            <w:r>
              <w:rPr>
                <w:noProof/>
              </w:rPr>
              <w:t>Furnizarea de kituri TIC („Zestaw”) către 13 900 de școli, direct sau prin intermediul autorităților de gestionare a școlilor, astfel cum se arată în protocoalele de acceptare.</w:t>
            </w:r>
          </w:p>
        </w:tc>
      </w:tr>
      <w:tr w:rsidR="00A60DDE" w14:paraId="1216BCD8" w14:textId="77777777">
        <w:trPr>
          <w:trHeight w:val="53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D" w14:textId="77777777" w:rsidR="00A60DDE" w:rsidRDefault="00095506">
            <w:pPr>
              <w:pStyle w:val="P68B1DB1-Normal021"/>
              <w:spacing w:line="240" w:lineRule="auto"/>
              <w:jc w:val="center"/>
              <w:rPr>
                <w:noProof/>
              </w:rPr>
            </w:pPr>
            <w:r>
              <w:rPr>
                <w:noProof/>
              </w:rPr>
              <w:t>C13aL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E" w14:textId="77777777" w:rsidR="00A60DDE" w:rsidRDefault="00095506">
            <w:pPr>
              <w:pStyle w:val="P68B1DB1-Normal062"/>
              <w:spacing w:line="240" w:lineRule="auto"/>
              <w:rPr>
                <w:noProof/>
                <w:color w:val="000000" w:themeColor="text1"/>
              </w:rPr>
            </w:pPr>
            <w:r>
              <w:rPr>
                <w:noProof/>
              </w:rPr>
              <w:t>C2.2.1 Tehnologiile digitale în predare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F" w14:textId="77777777" w:rsidR="00A60DDE" w:rsidRDefault="00095506">
            <w:pPr>
              <w:pStyle w:val="P68B1DB1-Normal062"/>
              <w:spacing w:line="240" w:lineRule="auto"/>
              <w:jc w:val="center"/>
              <w:rPr>
                <w:noProof/>
                <w:color w:val="000000" w:themeColor="text1"/>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0" w14:textId="00C50F18" w:rsidR="00A60DDE" w:rsidRDefault="00095506">
            <w:pPr>
              <w:pStyle w:val="P68B1DB1-Normal062"/>
              <w:spacing w:line="240" w:lineRule="auto"/>
              <w:rPr>
                <w:noProof/>
                <w:color w:val="000000" w:themeColor="text1"/>
              </w:rPr>
            </w:pPr>
            <w:r>
              <w:rPr>
                <w:noProof/>
              </w:rPr>
              <w:t>Acord (acorduri)-cadru pentru laboratoarele de inteligență artificială (IA)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1" w14:textId="18D11CC7" w:rsidR="00A60DDE" w:rsidRDefault="00095506">
            <w:pPr>
              <w:pStyle w:val="P68B1DB1-Normal062"/>
              <w:spacing w:line="240" w:lineRule="auto"/>
              <w:rPr>
                <w:noProof/>
                <w:color w:val="000000" w:themeColor="text1"/>
              </w:rPr>
            </w:pPr>
            <w:r>
              <w:rPr>
                <w:noProof/>
              </w:rPr>
              <w:t>Semnarea acordului (acordurilor)-cadru</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2"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3"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4"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5" w14:textId="77777777" w:rsidR="00A60DDE" w:rsidRDefault="00095506">
            <w:pPr>
              <w:pStyle w:val="P68B1DB1-Normal062"/>
              <w:spacing w:line="240" w:lineRule="auto"/>
              <w:jc w:val="center"/>
              <w:rPr>
                <w:noProof/>
                <w:color w:val="000000" w:themeColor="text1"/>
              </w:rPr>
            </w:pPr>
            <w:r>
              <w:rPr>
                <w:noProof/>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6" w14:textId="77777777" w:rsidR="00A60DDE" w:rsidRDefault="00095506">
            <w:pPr>
              <w:pStyle w:val="P68B1DB1-Normal062"/>
              <w:spacing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7" w14:textId="12DAED41" w:rsidR="00A60DDE" w:rsidRDefault="00095506">
            <w:pPr>
              <w:pStyle w:val="P68B1DB1-Normal062"/>
              <w:spacing w:line="240" w:lineRule="auto"/>
              <w:rPr>
                <w:noProof/>
                <w:color w:val="000000" w:themeColor="text1"/>
              </w:rPr>
            </w:pPr>
            <w:r>
              <w:rPr>
                <w:noProof/>
              </w:rPr>
              <w:t>Semnarea acordului (acordurilor)-cadru de stabilire a condițiilor de atribuire a contractelor de achiziții publice în ceea ce privește livrarea către școli a laboratoarelor de inteligență artificială (IA).</w:t>
            </w:r>
          </w:p>
        </w:tc>
      </w:tr>
      <w:tr w:rsidR="00A60DDE" w14:paraId="1216BCE4"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9" w14:textId="77777777" w:rsidR="00A60DDE" w:rsidRDefault="00095506">
            <w:pPr>
              <w:pStyle w:val="P68B1DB1-Normal021"/>
              <w:pBdr>
                <w:top w:val="nil"/>
                <w:left w:val="nil"/>
                <w:bottom w:val="nil"/>
                <w:right w:val="nil"/>
                <w:between w:val="nil"/>
              </w:pBdr>
              <w:spacing w:after="0" w:line="240" w:lineRule="auto"/>
              <w:jc w:val="center"/>
              <w:rPr>
                <w:noProof/>
              </w:rPr>
            </w:pPr>
            <w:r>
              <w:rPr>
                <w:noProof/>
              </w:rPr>
              <w:t>C13L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A" w14:textId="77777777" w:rsidR="00A60DDE" w:rsidRDefault="00095506">
            <w:pPr>
              <w:pStyle w:val="P68B1DB1-Normal062"/>
              <w:pBdr>
                <w:top w:val="nil"/>
                <w:left w:val="nil"/>
                <w:bottom w:val="nil"/>
                <w:right w:val="nil"/>
                <w:between w:val="nil"/>
              </w:pBdr>
              <w:spacing w:after="0" w:line="240" w:lineRule="auto"/>
              <w:rPr>
                <w:noProof/>
              </w:rPr>
            </w:pPr>
            <w:r>
              <w:rPr>
                <w:noProof/>
              </w:rPr>
              <w:t xml:space="preserve">C2.2.1 Tehnologiile digitale în predare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C" w14:textId="4B01E776"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Laboratoarele de inteligență artificială (IA) („Zestaw”) livrate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D" w14:textId="77777777" w:rsidR="00A60DDE" w:rsidRDefault="00A60DDE">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0" w14:textId="129B434C"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12 000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1"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2" w14:textId="77777777" w:rsidR="00A60DDE" w:rsidRDefault="00095506">
            <w:pPr>
              <w:pStyle w:val="P68B1DB1-Normal062"/>
              <w:pBdr>
                <w:top w:val="nil"/>
                <w:left w:val="nil"/>
                <w:bottom w:val="nil"/>
                <w:right w:val="nil"/>
                <w:between w:val="nil"/>
              </w:pBdr>
              <w:spacing w:after="0" w:line="240" w:lineRule="auto"/>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3" w14:textId="3C77BDB5" w:rsidR="00A60DDE" w:rsidRDefault="00095506">
            <w:pPr>
              <w:pStyle w:val="P68B1DB1-Normal025"/>
              <w:pBdr>
                <w:top w:val="nil"/>
                <w:left w:val="nil"/>
                <w:bottom w:val="nil"/>
                <w:right w:val="nil"/>
                <w:between w:val="nil"/>
              </w:pBdr>
              <w:spacing w:after="0" w:line="240" w:lineRule="auto"/>
              <w:rPr>
                <w:noProof/>
                <w:color w:val="000000" w:themeColor="text1"/>
              </w:rPr>
            </w:pPr>
            <w:r>
              <w:rPr>
                <w:noProof/>
                <w:color w:val="000000" w:themeColor="text1"/>
              </w:rPr>
              <w:t>Furnizarea de laboratoare de IA („Zestaw”) către 12</w:t>
            </w:r>
            <w:r>
              <w:rPr>
                <w:noProof/>
                <w:color w:val="006100"/>
              </w:rPr>
              <w:t> </w:t>
            </w:r>
            <w:r>
              <w:rPr>
                <w:noProof/>
                <w:color w:val="000000" w:themeColor="text1"/>
              </w:rPr>
              <w:t>000 de școli, direct sau prin intermediul autorităților de management școlar, astfel cum se arată în protocoalele de acceptare.</w:t>
            </w:r>
          </w:p>
        </w:tc>
      </w:tr>
      <w:tr w:rsidR="00A60DDE" w14:paraId="1216BCF0"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5" w14:textId="77777777" w:rsidR="00A60DDE" w:rsidRDefault="00095506">
            <w:pPr>
              <w:pStyle w:val="P68B1DB1-Normal021"/>
              <w:spacing w:line="240" w:lineRule="auto"/>
              <w:jc w:val="center"/>
              <w:rPr>
                <w:noProof/>
              </w:rPr>
            </w:pPr>
            <w:r>
              <w:rPr>
                <w:noProof/>
              </w:rPr>
              <w:t>C15L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6" w14:textId="77777777" w:rsidR="00A60DDE" w:rsidRDefault="00095506">
            <w:pPr>
              <w:pStyle w:val="P68B1DB1-Normal062"/>
              <w:spacing w:line="240" w:lineRule="auto"/>
              <w:rPr>
                <w:noProof/>
                <w:color w:val="000000" w:themeColor="text1"/>
              </w:rPr>
            </w:pPr>
            <w:r>
              <w:rPr>
                <w:noProof/>
              </w:rPr>
              <w:t xml:space="preserve">C4.1.1 Sprijin pentru transformarea digitală avansată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7" w14:textId="77777777" w:rsidR="00A60DDE" w:rsidRDefault="00095506">
            <w:pPr>
              <w:pStyle w:val="P68B1DB1-Normal062"/>
              <w:spacing w:line="240" w:lineRule="auto"/>
              <w:jc w:val="center"/>
              <w:rPr>
                <w:noProof/>
                <w:color w:val="000000" w:themeColor="text1"/>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8" w14:textId="77777777" w:rsidR="00A60DDE" w:rsidRDefault="00095506">
            <w:pPr>
              <w:pStyle w:val="P68B1DB1-Normal062"/>
              <w:spacing w:line="240" w:lineRule="auto"/>
              <w:rPr>
                <w:noProof/>
                <w:color w:val="000000" w:themeColor="text1"/>
              </w:rPr>
            </w:pPr>
            <w:r>
              <w:rPr>
                <w:noProof/>
              </w:rPr>
              <w:t>Ghid privind cloud computingul pentru întreprinderi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9" w14:textId="77777777" w:rsidR="00A60DDE" w:rsidRDefault="00095506">
            <w:pPr>
              <w:pStyle w:val="P68B1DB1-Normal062"/>
              <w:spacing w:after="0" w:line="240" w:lineRule="auto"/>
              <w:rPr>
                <w:noProof/>
              </w:rPr>
            </w:pPr>
            <w:r>
              <w:rPr>
                <w:noProof/>
              </w:rPr>
              <w:t>Publicare pe site-ul web al ministerului responsabil cu informatizarea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A"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B"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C" w14:textId="77777777" w:rsidR="00A60DDE" w:rsidRDefault="00A60DDE">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D" w14:textId="77777777" w:rsidR="00A60DDE" w:rsidRDefault="00095506">
            <w:pPr>
              <w:pStyle w:val="P68B1DB1-Normal062"/>
              <w:spacing w:line="240" w:lineRule="auto"/>
              <w:jc w:val="center"/>
              <w:rPr>
                <w:noProof/>
                <w:color w:val="000000" w:themeColor="text1"/>
              </w:rPr>
            </w:pPr>
            <w:r>
              <w:rPr>
                <w:noProof/>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E" w14:textId="77777777" w:rsidR="00A60DDE" w:rsidRDefault="00095506">
            <w:pPr>
              <w:pStyle w:val="P68B1DB1-Normal062"/>
              <w:spacing w:line="240" w:lineRule="auto"/>
              <w:jc w:val="center"/>
              <w:rPr>
                <w:noProof/>
                <w:color w:val="000000" w:themeColor="text1"/>
              </w:rPr>
            </w:pPr>
            <w:r>
              <w:rPr>
                <w:noProof/>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F" w14:textId="22E0C976" w:rsidR="00A60DDE" w:rsidRDefault="00095506">
            <w:pPr>
              <w:pStyle w:val="P68B1DB1-Normal062"/>
              <w:spacing w:after="0" w:line="240" w:lineRule="auto"/>
              <w:rPr>
                <w:noProof/>
              </w:rPr>
            </w:pPr>
            <w:r>
              <w:rPr>
                <w:noProof/>
              </w:rPr>
              <w:t>Publicarea pe pagina web a ministerului responsabil a unui ghid privind cloud computingul pentru întreprinderi. Acest ghid este un compendiu de cunoștințe (inclusiv întrebări frecvente) privind utilizarea cloud computingului în transformarea digitală a întreprinderilor.</w:t>
            </w:r>
          </w:p>
        </w:tc>
      </w:tr>
      <w:tr w:rsidR="00A60DDE" w14:paraId="1216BCFC"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1" w14:textId="77777777" w:rsidR="00A60DDE" w:rsidRDefault="00095506">
            <w:pPr>
              <w:pStyle w:val="P68B1DB1-Normal021"/>
              <w:spacing w:line="240" w:lineRule="auto"/>
              <w:jc w:val="center"/>
              <w:rPr>
                <w:noProof/>
              </w:rPr>
            </w:pPr>
            <w:r>
              <w:rPr>
                <w:noProof/>
              </w:rPr>
              <w:t>C16L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2" w14:textId="77777777" w:rsidR="00A60DDE" w:rsidRDefault="00095506">
            <w:pPr>
              <w:pStyle w:val="P68B1DB1-Normal062"/>
              <w:spacing w:line="240" w:lineRule="auto"/>
              <w:rPr>
                <w:noProof/>
                <w:color w:val="000000" w:themeColor="text1"/>
              </w:rPr>
            </w:pPr>
            <w:r>
              <w:rPr>
                <w:noProof/>
              </w:rPr>
              <w:t xml:space="preserve">C4.1.1 Sprijin pentru transformarea digitală avansată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3" w14:textId="77777777" w:rsidR="00A60DDE" w:rsidRDefault="00095506">
            <w:pPr>
              <w:pStyle w:val="P68B1DB1-Normal062"/>
              <w:spacing w:line="240" w:lineRule="auto"/>
              <w:jc w:val="center"/>
              <w:rPr>
                <w:rFonts w:eastAsia="Times New Roman"/>
                <w:noProof/>
                <w:color w:val="000000" w:themeColor="text1"/>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4" w14:textId="77777777" w:rsidR="00A60DDE" w:rsidRDefault="00095506">
            <w:pPr>
              <w:pStyle w:val="P68B1DB1-Normal062"/>
              <w:spacing w:after="0" w:line="240" w:lineRule="auto"/>
              <w:rPr>
                <w:rFonts w:eastAsia="Times New Roman"/>
                <w:noProof/>
                <w:color w:val="000000" w:themeColor="text1"/>
              </w:rPr>
            </w:pPr>
            <w:r>
              <w:rPr>
                <w:noProof/>
              </w:rPr>
              <w:t>Acord de punere în aplicare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5" w14:textId="77777777" w:rsidR="00A60DDE" w:rsidRDefault="00095506">
            <w:pPr>
              <w:pStyle w:val="P68B1DB1-Normal062"/>
              <w:spacing w:after="0" w:line="240" w:lineRule="auto"/>
              <w:rPr>
                <w:noProof/>
                <w:color w:val="000000" w:themeColor="text1"/>
              </w:rPr>
            </w:pPr>
            <w:r>
              <w:rPr>
                <w:noProof/>
              </w:rPr>
              <w:t xml:space="preserve">Intrarea în vigoare a acordului de punere în aplicare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6"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7"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8"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9" w14:textId="77777777" w:rsidR="00A60DDE" w:rsidRDefault="00095506">
            <w:pPr>
              <w:pStyle w:val="P68B1DB1-Normal062"/>
              <w:spacing w:line="240" w:lineRule="auto"/>
              <w:jc w:val="center"/>
              <w:rPr>
                <w:noProof/>
                <w:color w:val="000000" w:themeColor="text1"/>
              </w:rPr>
            </w:pPr>
            <w:r>
              <w:rPr>
                <w:noProof/>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A" w14:textId="77777777" w:rsidR="00A60DDE" w:rsidRDefault="00095506">
            <w:pPr>
              <w:pStyle w:val="P68B1DB1-Normal062"/>
              <w:spacing w:line="240" w:lineRule="auto"/>
              <w:jc w:val="center"/>
              <w:rPr>
                <w:noProof/>
                <w:color w:val="000000" w:themeColor="text1"/>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B" w14:textId="77777777" w:rsidR="00A60DDE" w:rsidRDefault="00095506">
            <w:pPr>
              <w:pStyle w:val="P68B1DB1-Normal062"/>
              <w:spacing w:after="0" w:line="240" w:lineRule="auto"/>
              <w:rPr>
                <w:rFonts w:eastAsia="Times New Roman"/>
                <w:noProof/>
                <w:color w:val="000000" w:themeColor="text1"/>
              </w:rPr>
            </w:pPr>
            <w:r>
              <w:rPr>
                <w:noProof/>
              </w:rPr>
              <w:t>Intrarea în vigoare a Acordului de punere în aplicare dintre ministrul responsabil cu informatizarea și Bank Gospodarstwa Krajowego.</w:t>
            </w:r>
          </w:p>
        </w:tc>
      </w:tr>
      <w:tr w:rsidR="00A60DDE" w14:paraId="1216BD09"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D" w14:textId="77777777" w:rsidR="00A60DDE" w:rsidRDefault="00095506">
            <w:pPr>
              <w:pStyle w:val="P68B1DB1-Normal021"/>
              <w:spacing w:line="240" w:lineRule="auto"/>
              <w:jc w:val="center"/>
              <w:rPr>
                <w:noProof/>
              </w:rPr>
            </w:pPr>
            <w:r>
              <w:rPr>
                <w:noProof/>
              </w:rPr>
              <w:t>C17L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E" w14:textId="2D053695" w:rsidR="00A60DDE" w:rsidRDefault="00095506">
            <w:pPr>
              <w:pStyle w:val="P68B1DB1-Normal062"/>
              <w:spacing w:line="240" w:lineRule="auto"/>
              <w:rPr>
                <w:rFonts w:eastAsia="Times New Roman"/>
                <w:noProof/>
                <w:color w:val="000000" w:themeColor="text1"/>
              </w:rPr>
            </w:pPr>
            <w:r>
              <w:rPr>
                <w:noProof/>
              </w:rPr>
              <w:t>C4.1.1 Sprijin pentru transformarea digitală avansată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F" w14:textId="77777777" w:rsidR="00A60DDE" w:rsidRDefault="00095506">
            <w:pPr>
              <w:pStyle w:val="P68B1DB1-Normal062"/>
              <w:spacing w:line="240" w:lineRule="auto"/>
              <w:jc w:val="center"/>
              <w:rPr>
                <w:rFonts w:eastAsia="Times New Roman"/>
                <w:noProof/>
                <w:color w:val="000000" w:themeColor="text1"/>
              </w:rPr>
            </w:pPr>
            <w:r>
              <w:rPr>
                <w:noProof/>
              </w:rPr>
              <w:t>Țintă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0" w14:textId="77777777" w:rsidR="00A60DDE" w:rsidRDefault="00095506">
            <w:pPr>
              <w:pStyle w:val="P68B1DB1-Normal062"/>
              <w:spacing w:after="0" w:line="240" w:lineRule="auto"/>
              <w:rPr>
                <w:noProof/>
              </w:rPr>
            </w:pPr>
            <w:r>
              <w:rPr>
                <w:noProof/>
              </w:rPr>
              <w:t>Acorduri juridice semnate cu beneficiarii finali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1" w14:textId="77777777" w:rsidR="00A60DDE" w:rsidRDefault="00A60DDE">
            <w:pPr>
              <w:pStyle w:val="Normal0"/>
              <w:spacing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2" w14:textId="77777777" w:rsidR="00A60DDE" w:rsidRDefault="00095506">
            <w:pPr>
              <w:pStyle w:val="P68B1DB1-Normal062"/>
              <w:spacing w:after="0" w:line="240" w:lineRule="auto"/>
              <w:jc w:val="center"/>
              <w:rPr>
                <w:rFonts w:eastAsia="Times New Roman"/>
                <w:noProof/>
                <w:color w:val="000000" w:themeColor="text1"/>
              </w:rPr>
            </w:pPr>
            <w:r>
              <w:rPr>
                <w:noProof/>
              </w:rPr>
              <w: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3" w14:textId="77777777" w:rsidR="00A60DDE" w:rsidRDefault="00095506">
            <w:pPr>
              <w:pStyle w:val="P68B1DB1-Normal062"/>
              <w:spacing w:line="240" w:lineRule="auto"/>
              <w:jc w:val="center"/>
              <w:rPr>
                <w:rFonts w:eastAsia="Times New Roman"/>
                <w:noProof/>
                <w:color w:val="000000" w:themeColor="text1"/>
              </w:rPr>
            </w:pPr>
            <w:r>
              <w:rPr>
                <w:noProof/>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4" w14:textId="77777777" w:rsidR="00A60DDE" w:rsidRDefault="00095506">
            <w:pPr>
              <w:pStyle w:val="P68B1DB1-Normal062"/>
              <w:spacing w:line="240" w:lineRule="auto"/>
              <w:jc w:val="center"/>
              <w:rPr>
                <w:rFonts w:eastAsia="Times New Roman"/>
                <w:noProof/>
                <w:color w:val="000000" w:themeColor="text1"/>
              </w:rPr>
            </w:pPr>
            <w:r>
              <w:rPr>
                <w:noProof/>
              </w:rPr>
              <w:t>100%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5" w14:textId="77777777" w:rsidR="00A60DDE" w:rsidRDefault="00095506">
            <w:pPr>
              <w:pStyle w:val="P68B1DB1-Normal062"/>
              <w:spacing w:line="240" w:lineRule="auto"/>
              <w:jc w:val="center"/>
              <w:rPr>
                <w:rFonts w:eastAsia="Times New Roman"/>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6" w14:textId="77777777" w:rsidR="00A60DDE" w:rsidRDefault="00095506">
            <w:pPr>
              <w:pStyle w:val="P68B1DB1-Normal062"/>
              <w:spacing w:line="240" w:lineRule="auto"/>
              <w:jc w:val="center"/>
              <w:rPr>
                <w:rFonts w:eastAsia="Times New Roman"/>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7" w14:textId="77777777" w:rsidR="00A60DDE" w:rsidRDefault="00095506">
            <w:pPr>
              <w:pStyle w:val="P68B1DB1-Normal062"/>
              <w:spacing w:line="240" w:lineRule="auto"/>
              <w:rPr>
                <w:noProof/>
                <w:color w:val="000000" w:themeColor="text1"/>
              </w:rPr>
            </w:pPr>
            <w:r>
              <w:rPr>
                <w:noProof/>
              </w:rPr>
              <w:t>Banca Gospodarstwa Krajowego trebuie să fi încheiat acorduri juridice de finanțare cu beneficiarii finali pentru o sumă necesară pentru a utiliza 100 % din investiția MRR în mecanism (ținând seama de comisioanele de administrare).</w:t>
            </w:r>
          </w:p>
          <w:p w14:paraId="1216BD08" w14:textId="77777777" w:rsidR="00A60DDE" w:rsidRDefault="00095506">
            <w:pPr>
              <w:pStyle w:val="P68B1DB1-Normal029"/>
              <w:spacing w:line="240" w:lineRule="auto"/>
              <w:rPr>
                <w:noProof/>
              </w:rPr>
            </w:pPr>
            <w:r>
              <w:rPr>
                <w:noProof/>
              </w:rPr>
              <w:t>Cel puțin 40 % din această finanțare contribuie la obiectivele digitale utilizând metodologia din anexa VII la Regulamentul privind MRR.</w:t>
            </w:r>
          </w:p>
        </w:tc>
      </w:tr>
      <w:tr w:rsidR="00A60DDE" w14:paraId="1216BD15" w14:textId="77777777">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A" w14:textId="77777777" w:rsidR="00A60DDE" w:rsidRDefault="00095506">
            <w:pPr>
              <w:pStyle w:val="P68B1DB1-Normal021"/>
              <w:spacing w:line="240" w:lineRule="auto"/>
              <w:jc w:val="center"/>
              <w:rPr>
                <w:noProof/>
              </w:rPr>
            </w:pPr>
            <w:r>
              <w:rPr>
                <w:noProof/>
              </w:rPr>
              <w:t>C18L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B" w14:textId="3C0BC048" w:rsidR="00A60DDE" w:rsidRDefault="00095506">
            <w:pPr>
              <w:pStyle w:val="P68B1DB1-Normal062"/>
              <w:spacing w:line="240" w:lineRule="auto"/>
              <w:rPr>
                <w:rFonts w:eastAsia="Times New Roman"/>
                <w:noProof/>
                <w:color w:val="000000" w:themeColor="text1"/>
              </w:rPr>
            </w:pPr>
            <w:r>
              <w:rPr>
                <w:noProof/>
              </w:rPr>
              <w:t>C4.1.1 Sprijin pentru transformarea digitală avansată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C" w14:textId="77777777" w:rsidR="00A60DDE" w:rsidRDefault="00095506">
            <w:pPr>
              <w:pStyle w:val="P68B1DB1-Normal062"/>
              <w:spacing w:line="240" w:lineRule="auto"/>
              <w:jc w:val="center"/>
              <w:rPr>
                <w:rFonts w:eastAsia="Times New Roman"/>
                <w:noProof/>
                <w:color w:val="000000" w:themeColor="text1"/>
              </w:rPr>
            </w:pPr>
            <w:r>
              <w:rPr>
                <w:noProof/>
              </w:rPr>
              <w:t>Etapa de referință</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D" w14:textId="77777777" w:rsidR="00A60DDE" w:rsidRDefault="00095506">
            <w:pPr>
              <w:pStyle w:val="P68B1DB1-Normal062"/>
              <w:spacing w:after="0" w:line="240" w:lineRule="auto"/>
              <w:rPr>
                <w:noProof/>
              </w:rPr>
            </w:pPr>
            <w:r>
              <w:rPr>
                <w:noProof/>
              </w:rPr>
              <w:t>Ministerul a finalizat investiția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E" w14:textId="77777777" w:rsidR="00A60DDE" w:rsidRDefault="00095506">
            <w:pPr>
              <w:pStyle w:val="P68B1DB1-Normal062"/>
              <w:spacing w:after="0" w:line="240" w:lineRule="auto"/>
              <w:rPr>
                <w:noProof/>
              </w:rPr>
            </w:pPr>
            <w:r>
              <w:rPr>
                <w:noProof/>
              </w:rPr>
              <w:t>Certificatul de transfer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F"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0"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1"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2" w14:textId="77777777" w:rsidR="00A60DDE" w:rsidRDefault="00095506">
            <w:pPr>
              <w:pStyle w:val="P68B1DB1-Normal062"/>
              <w:spacing w:line="240" w:lineRule="auto"/>
              <w:jc w:val="center"/>
              <w:rPr>
                <w:rFonts w:eastAsia="Times New Roman"/>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3" w14:textId="77777777" w:rsidR="00A60DDE" w:rsidRDefault="00095506">
            <w:pPr>
              <w:pStyle w:val="P68B1DB1-Normal062"/>
              <w:spacing w:line="240" w:lineRule="auto"/>
              <w:jc w:val="center"/>
              <w:rPr>
                <w:rFonts w:eastAsia="Times New Roman"/>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4" w14:textId="5D2C26F8" w:rsidR="00A60DDE" w:rsidRDefault="00095506">
            <w:pPr>
              <w:pStyle w:val="P68B1DB1-Normal062"/>
              <w:spacing w:after="0" w:line="240" w:lineRule="auto"/>
              <w:rPr>
                <w:noProof/>
              </w:rPr>
            </w:pPr>
            <w:r>
              <w:rPr>
                <w:noProof/>
              </w:rPr>
              <w:t>Polonia transferă suma de 694 600 008 EUR către Bank Gospodarstwa Krajowego pentru facilitate.</w:t>
            </w:r>
          </w:p>
        </w:tc>
      </w:tr>
    </w:tbl>
    <w:p w14:paraId="1216BD16"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A60DDE" w:rsidSect="006C5441">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299"/>
        </w:sectPr>
      </w:pPr>
    </w:p>
    <w:p w14:paraId="1216BD17" w14:textId="77777777" w:rsidR="00A60DDE" w:rsidRDefault="00095506">
      <w:pPr>
        <w:pStyle w:val="P68B1DB1-Normal70"/>
        <w:pBdr>
          <w:top w:val="nil"/>
          <w:left w:val="nil"/>
          <w:bottom w:val="nil"/>
          <w:right w:val="nil"/>
          <w:between w:val="nil"/>
        </w:pBdr>
        <w:spacing w:before="120" w:after="120" w:line="240" w:lineRule="auto"/>
        <w:jc w:val="both"/>
        <w:rPr>
          <w:rFonts w:eastAsia="Times New Roman" w:cs="Times New Roman"/>
          <w:smallCaps/>
          <w:noProof/>
        </w:rPr>
      </w:pPr>
      <w:r>
        <w:rPr>
          <w:noProof/>
        </w:rPr>
        <w:t>D. CO</w:t>
      </w:r>
      <w:r>
        <w:rPr>
          <w:smallCaps/>
          <w:noProof/>
        </w:rPr>
        <w:t xml:space="preserve"> MPONENTUL D: „EFECTIVITATEA, ACCESIBILITATEA ȘI CALITATEA SISTEMULUI DE SĂNĂTATE”</w:t>
      </w:r>
    </w:p>
    <w:p w14:paraId="1216BD18" w14:textId="77777777" w:rsidR="00A60DDE" w:rsidRDefault="00095506">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Componenta abordează mai multe provocări cu care se confruntă în prezent sistemul de sănătate polonez. Trecerea la asistența medicală ambulatorie primară și specializată este deosebit de importantă, deoarece se preconizează că cheltuielile cu asistența medicală vor crește considerabil pe termen mediu și lung, sporind sarcina asupra finanțelor publice. Sectorul spitalicesc are nevoie urgentă de reforme, completate de investiții specifice. Unele spitale au datorii substanțiale și rate de ocupare scăzute, în timp ce multe proceduri medicale efectuate în prezent în spitale ar putea fi efectuate la niveluri mai scăzute de îngrijire și la costuri mai mici. Sistemul de asistență medicală primară este subfinanțat, nu dispune de personal suficient și își suprasolicită serviciile. În același timp, sistemul spitalicesc suferă de subfinanțare cronică, în special în ceea ce privește resursele umane. Din cauza condițiilor nefavorabile, cum ar fi salariile mici, profesiile medicale nu sunt populare și a existat un „exod al creierelor” semnificativ. Deficitul de resurse umane plasează Polonia pe primele locuri în comparație cu alte state membre și face necesară menținerea profesioniștilor care lucrează dincolo de vârsta de pensionare. Accesul la îngrijire diferă de la o regiune la alta. E-sănătatea și practicile moderne de gestionare sunt insuficient utilizate.</w:t>
      </w:r>
    </w:p>
    <w:p w14:paraId="1216BD19" w14:textId="77777777" w:rsidR="00A60DDE" w:rsidRDefault="00095506">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Obiectivele componentei sunt multidimensionale: să reformeze și să sprijine prin investiții sectorul spitalicesc în conformitate cu necesitatea raționalizării piramidei asistenței medicale, să accelereze transformarea digitală a sănătății, să creeze condiții de sprijin pentru creșterea numărului de personal medical, să sprijine dezvoltarea cercetării în domeniul științelor medicale și al științelor sănătății.</w:t>
      </w:r>
    </w:p>
    <w:p w14:paraId="1216BD1A" w14:textId="77777777" w:rsidR="00A60DDE" w:rsidRDefault="00095506">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 xml:space="preserve">Componenta contribuie la punerea în aplicare a recomandării specifice fiecărei țări de îmbunătățire a rezilienței, a accesibilității și a eficacității sistemului de sănătate, inclusiv prin furnizarea de resurse suficiente și prin accelerarea implementării serviciilor de e-sănătate (Recomandarea specifică fiecărei țări 1 2020). </w:t>
      </w:r>
    </w:p>
    <w:p w14:paraId="1216BD1B" w14:textId="77777777" w:rsidR="00A60DDE" w:rsidRDefault="00095506">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 </w:t>
      </w:r>
    </w:p>
    <w:p w14:paraId="1216BD1C" w14:textId="77777777" w:rsidR="00A60DDE" w:rsidRDefault="00A60DDE">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rPr>
      </w:pPr>
    </w:p>
    <w:p w14:paraId="1216BD1D" w14:textId="77777777" w:rsidR="00A60DDE" w:rsidRDefault="00095506">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rPr>
      </w:pPr>
      <w:r>
        <w:rPr>
          <w:rFonts w:ascii="Times New Roman" w:hAnsi="Times New Roman"/>
          <w:b/>
          <w:noProof/>
          <w:color w:val="000000" w:themeColor="text1"/>
        </w:rPr>
        <w:t xml:space="preserve">D.1. </w:t>
      </w:r>
      <w:r>
        <w:rPr>
          <w:noProof/>
        </w:rPr>
        <w:t xml:space="preserve"> </w:t>
      </w:r>
      <w:r>
        <w:rPr>
          <w:rFonts w:ascii="Times New Roman" w:hAnsi="Times New Roman"/>
          <w:b/>
          <w:noProof/>
          <w:color w:val="000000" w:themeColor="text1"/>
        </w:rPr>
        <w:t>Descrierea reformelor și a investițiilor pentru sprijinul financiar nerambursabil</w:t>
      </w:r>
    </w:p>
    <w:p w14:paraId="1216BD1E" w14:textId="77777777" w:rsidR="00A60DDE" w:rsidRDefault="00A60DDE">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p>
    <w:p w14:paraId="1216BD1F" w14:textId="77777777" w:rsidR="00A60DDE" w:rsidRDefault="00095506">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D1.1 Îmbunătățirea eficacității, accesibilității și calității serviciilor de sănătate</w:t>
      </w:r>
    </w:p>
    <w:p w14:paraId="1216BD20" w14:textId="371644B7" w:rsidR="00A60DDE" w:rsidRDefault="00095506">
      <w:pPr>
        <w:pStyle w:val="P68B1DB1-Normal71"/>
        <w:spacing w:before="120" w:after="120" w:line="240" w:lineRule="auto"/>
        <w:jc w:val="both"/>
        <w:rPr>
          <w:rFonts w:eastAsia="Times New Roman" w:cs="Times New Roman"/>
          <w:noProof/>
        </w:rPr>
      </w:pPr>
      <w:r>
        <w:rPr>
          <w:noProof/>
        </w:rPr>
        <w:t>Obiectivul reformei este de a asigura calitatea și accesibilitatea serviciilor de asistență medicală, precum și modificări ale structurii și gestionării financiare a spitalelor. Această măsură constă în adoptarea de acte legislative pentru: (i) raționalizarea structurii dispozițiilor privind asistența medicală în domeniul dat (ii) creșterea asistenței medicale coordonate la nivelul asistenței medicale primare, (iii) crearea Rețelei Oncologice Naționale și a Rețelei Cardiologice Naționale, (iv) creșterea calității și a siguranței pacienților în sistemul de asistență medicală și (v) facilitarea furnizării de servicii de e-sănătate.</w:t>
      </w:r>
    </w:p>
    <w:p w14:paraId="1216BD21" w14:textId="77777777" w:rsidR="00A60DDE" w:rsidRDefault="00A60DDE">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2" w14:textId="77777777" w:rsidR="00A60DDE" w:rsidRDefault="00095506">
      <w:pPr>
        <w:pStyle w:val="P68B1DB1-Normal73"/>
        <w:pBdr>
          <w:top w:val="nil"/>
          <w:left w:val="nil"/>
          <w:bottom w:val="nil"/>
          <w:right w:val="nil"/>
          <w:between w:val="nil"/>
        </w:pBdr>
        <w:spacing w:before="120" w:after="120" w:line="240" w:lineRule="auto"/>
        <w:jc w:val="both"/>
        <w:rPr>
          <w:rFonts w:eastAsia="Times New Roman" w:cs="Times New Roman"/>
          <w:b/>
          <w:bCs/>
          <w:noProof/>
          <w:color w:val="000000"/>
        </w:rPr>
      </w:pPr>
      <w:r>
        <w:rPr>
          <w:b/>
          <w:noProof/>
        </w:rPr>
        <w:t>D1.1.1 Modernizarea centrelor de îngrijire foarte specializate</w:t>
      </w:r>
      <w:r>
        <w:rPr>
          <w:noProof/>
        </w:rPr>
        <w:t xml:space="preserve"> </w:t>
      </w:r>
      <w:r>
        <w:rPr>
          <w:b/>
          <w:noProof/>
        </w:rPr>
        <w:t>și a altor furnizori de servicii medicale</w:t>
      </w:r>
    </w:p>
    <w:p w14:paraId="1216BD23" w14:textId="6C570315" w:rsidR="00A60DDE" w:rsidRDefault="00095506">
      <w:pPr>
        <w:pStyle w:val="P68B1DB1-Normal71"/>
        <w:spacing w:before="120" w:after="120" w:line="240" w:lineRule="auto"/>
        <w:jc w:val="both"/>
        <w:rPr>
          <w:rFonts w:eastAsia="Times New Roman" w:cs="Times New Roman"/>
          <w:noProof/>
        </w:rPr>
      </w:pPr>
      <w:r>
        <w:rPr>
          <w:noProof/>
        </w:rPr>
        <w:t>Obiectivul acestei investiții este de a sprijini modernizarea entităților medicale care au intrat în Rețeaua Oncologică Națională sau în Rețeaua Cardiologică Națională. Această măsură constă în livrarea de echipamente medicale sau în lucrări de construcție sau de reconstrucție în spitale.</w:t>
      </w:r>
    </w:p>
    <w:p w14:paraId="1216BD24" w14:textId="77777777" w:rsidR="00A60DDE" w:rsidRDefault="00095506">
      <w:pPr>
        <w:pStyle w:val="P68B1DB1-Normal72"/>
        <w:pageBreakBefore/>
        <w:pBdr>
          <w:top w:val="nil"/>
          <w:left w:val="nil"/>
          <w:bottom w:val="nil"/>
          <w:right w:val="nil"/>
          <w:between w:val="nil"/>
        </w:pBdr>
        <w:spacing w:before="120" w:after="120" w:line="240" w:lineRule="auto"/>
        <w:jc w:val="both"/>
        <w:rPr>
          <w:rFonts w:eastAsia="Times New Roman" w:cs="Times New Roman"/>
          <w:bCs/>
          <w:noProof/>
          <w:color w:val="000000"/>
        </w:rPr>
      </w:pPr>
      <w:r>
        <w:rPr>
          <w:noProof/>
        </w:rPr>
        <w:t>D1.1.2 Transformarea digitală a asistenței medicale</w:t>
      </w:r>
    </w:p>
    <w:p w14:paraId="1216BD25" w14:textId="77777777" w:rsidR="00A60DDE" w:rsidRDefault="00095506">
      <w:pPr>
        <w:pStyle w:val="P68B1DB1-Normal71"/>
        <w:pBdr>
          <w:top w:val="nil"/>
          <w:left w:val="nil"/>
          <w:bottom w:val="nil"/>
          <w:right w:val="nil"/>
          <w:between w:val="nil"/>
        </w:pBdr>
        <w:spacing w:before="120" w:after="120" w:line="240" w:lineRule="auto"/>
        <w:jc w:val="both"/>
        <w:rPr>
          <w:rFonts w:eastAsia="Times New Roman" w:cs="Times New Roman"/>
          <w:noProof/>
          <w:u w:val="single"/>
        </w:rPr>
      </w:pPr>
      <w:r>
        <w:rPr>
          <w:noProof/>
        </w:rPr>
        <w:t>Obiectivul investiției este digitalizarea asistenței medicale. Această măsură constă în introducerea diferitelor tipuri de noi servicii digitale de sănătate pentru pacienți sau medici.</w:t>
      </w:r>
    </w:p>
    <w:p w14:paraId="1216BD26" w14:textId="77777777" w:rsidR="00A60DDE" w:rsidRDefault="00A60DDE">
      <w:pPr>
        <w:pBdr>
          <w:top w:val="nil"/>
          <w:left w:val="nil"/>
          <w:bottom w:val="nil"/>
          <w:right w:val="nil"/>
          <w:between w:val="nil"/>
        </w:pBdr>
        <w:spacing w:before="120" w:after="120" w:line="240" w:lineRule="auto"/>
        <w:jc w:val="both"/>
        <w:rPr>
          <w:rFonts w:ascii="Times New Roman" w:hAnsi="Times New Roman"/>
          <w:noProof/>
          <w:color w:val="000000" w:themeColor="text1"/>
        </w:rPr>
      </w:pPr>
    </w:p>
    <w:p w14:paraId="1216BD27" w14:textId="77777777" w:rsidR="00A60DDE" w:rsidRDefault="00095506">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D2.1 Crearea condițiilor adecvate pentru creșterea numărului de personal medical</w:t>
      </w:r>
    </w:p>
    <w:p w14:paraId="1216BD28" w14:textId="249D811F" w:rsidR="00A60DDE" w:rsidRDefault="00095506">
      <w:pPr>
        <w:pStyle w:val="P68B1DB1-Normal71"/>
        <w:pBdr>
          <w:top w:val="nil"/>
          <w:left w:val="nil"/>
          <w:bottom w:val="nil"/>
          <w:right w:val="nil"/>
          <w:between w:val="nil"/>
        </w:pBdr>
        <w:spacing w:before="60" w:after="120" w:line="240" w:lineRule="auto"/>
        <w:jc w:val="both"/>
        <w:rPr>
          <w:noProof/>
        </w:rPr>
      </w:pPr>
      <w:r>
        <w:rPr>
          <w:noProof/>
        </w:rPr>
        <w:t>Obiectivul reformei este de a contribui la îmbunătățirea corelării dintre nevoile și disponibilitatea cadrelor medicale în Polonia.</w:t>
      </w:r>
    </w:p>
    <w:p w14:paraId="1216BD29" w14:textId="77777777" w:rsidR="00A60DDE" w:rsidRDefault="00095506">
      <w:pPr>
        <w:pStyle w:val="P68B1DB1-Normal71"/>
        <w:pBdr>
          <w:top w:val="nil"/>
          <w:left w:val="nil"/>
          <w:bottom w:val="nil"/>
          <w:right w:val="nil"/>
          <w:between w:val="nil"/>
        </w:pBdr>
        <w:spacing w:before="60" w:after="120" w:line="240" w:lineRule="auto"/>
        <w:jc w:val="both"/>
        <w:rPr>
          <w:noProof/>
        </w:rPr>
      </w:pPr>
      <w:r>
        <w:rPr>
          <w:noProof/>
        </w:rPr>
        <w:t>Reforma constă în inițiative menite să stimuleze tinerii să urmeze și să urmeze studii medicale și, ulterior, să practice medicina în Polonia. Acesta cuprinde (i) introducerea unui sistem de acordare de împrumuturi studenților la medicină, inclusiv stimulente financiare pentru a practica în Polonia după încheierea studiilor și (ii) crearea unui al doilea ciclu de studii pentru practicienii din domeniul urgențelor medicale, care se traduce prin creșterea calificărilor și a veniturilor pentru profesioniștii în cauză.</w:t>
      </w:r>
    </w:p>
    <w:p w14:paraId="1216BD2A" w14:textId="77777777" w:rsidR="00A60DDE" w:rsidRDefault="00095506">
      <w:pPr>
        <w:pStyle w:val="P68B1DB1-Normal71"/>
        <w:pBdr>
          <w:top w:val="nil"/>
          <w:left w:val="nil"/>
          <w:bottom w:val="nil"/>
          <w:right w:val="nil"/>
          <w:between w:val="nil"/>
        </w:pBdr>
        <w:spacing w:before="60" w:after="120" w:line="240" w:lineRule="auto"/>
        <w:jc w:val="both"/>
        <w:rPr>
          <w:noProof/>
        </w:rPr>
      </w:pPr>
      <w:r>
        <w:rPr>
          <w:noProof/>
        </w:rPr>
        <w:t xml:space="preserve">Reforma constă, de asemenea, în introducerea unei legislații menite să îmbunătățească atractivitatea profesiilor medicale și condițiile de muncă ale cadrelor medicale. Această legislație sporește flexibilitatea formării postuniversitare, inclusiv permițând acordarea unui nou certificat de competență profesională medicilor în diferite domenii specializate. De asemenea, acesta majorează cel mai mic salariu de bază pentru o gamă largă de cadre medicale și reorganizează atribuirea anumitor competențe între medici și cadrele medicale specializate, cadrele medicale de urgență, asistenții medicali și alți îngrijitori medicali, după asigurarea unei formări adecvate. </w:t>
      </w:r>
    </w:p>
    <w:p w14:paraId="1216BD2B" w14:textId="77777777" w:rsidR="00A60DDE" w:rsidRDefault="00095506">
      <w:pPr>
        <w:pStyle w:val="P68B1DB1-Normal71"/>
        <w:pBdr>
          <w:top w:val="nil"/>
          <w:left w:val="nil"/>
          <w:bottom w:val="nil"/>
          <w:right w:val="nil"/>
          <w:between w:val="nil"/>
        </w:pBdr>
        <w:spacing w:before="60" w:after="120" w:line="240" w:lineRule="auto"/>
        <w:jc w:val="both"/>
        <w:rPr>
          <w:rFonts w:eastAsia="Times New Roman" w:cs="Times New Roman"/>
          <w:noProof/>
        </w:rPr>
      </w:pPr>
      <w:r>
        <w:rPr>
          <w:noProof/>
        </w:rPr>
        <w:t>Punerea în aplicare a reformei se finalizează până la 30 iunie 2026.</w:t>
      </w:r>
    </w:p>
    <w:p w14:paraId="1216BD2C" w14:textId="77777777" w:rsidR="00A60DDE" w:rsidRDefault="00A60DDE">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D" w14:textId="39A4B005" w:rsidR="00A60DDE" w:rsidRDefault="00095506">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D2.1.1 Investiții legate de modernizarea și modernizarea unităților de învățământ și de creșterea numărului de admiteri la studii medicale</w:t>
      </w:r>
    </w:p>
    <w:p w14:paraId="1216BD2E" w14:textId="77777777" w:rsidR="00A60DDE" w:rsidRDefault="00095506">
      <w:pPr>
        <w:pStyle w:val="P68B1DB1-Normal71"/>
        <w:pBdr>
          <w:top w:val="nil"/>
          <w:left w:val="nil"/>
          <w:bottom w:val="nil"/>
          <w:right w:val="nil"/>
          <w:between w:val="nil"/>
        </w:pBdr>
        <w:spacing w:before="60" w:after="120" w:line="240" w:lineRule="auto"/>
        <w:jc w:val="both"/>
        <w:rPr>
          <w:rFonts w:eastAsia="Times New Roman" w:cs="Times New Roman"/>
          <w:noProof/>
        </w:rPr>
      </w:pPr>
      <w:r>
        <w:rPr>
          <w:noProof/>
        </w:rPr>
        <w:t>Obiectivul investiției este de a crește capacitatea unităților de învățământ medical și de a sprijini studenții care participă la studii medicale. Această măsură constă în: (i) adoptarea unui sistem temporar de stimulente pentru ca studenții să urmeze studii la anumite facultăți medicale, (ii) acordarea de burse sau cofinanțare pentru studenții la medicină, (iii) construirea sau renovarea sau modernizarea bibliotecilor, a căminelor studențești sau a facilităților utilizate pentru educația medicală.</w:t>
      </w:r>
    </w:p>
    <w:p w14:paraId="1216BD2F" w14:textId="77777777" w:rsidR="00A60DDE" w:rsidRDefault="00A60DDE">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1216BD30" w14:textId="77777777" w:rsidR="00A60DDE" w:rsidRDefault="00095506">
      <w:pPr>
        <w:pStyle w:val="P68B1DB1-Normal73"/>
        <w:pBdr>
          <w:top w:val="nil"/>
          <w:left w:val="nil"/>
          <w:bottom w:val="nil"/>
          <w:right w:val="nil"/>
          <w:between w:val="nil"/>
        </w:pBdr>
        <w:spacing w:before="120" w:after="120" w:line="240" w:lineRule="auto"/>
        <w:jc w:val="both"/>
        <w:rPr>
          <w:rFonts w:eastAsia="Times New Roman" w:cs="Times New Roman"/>
          <w:b/>
          <w:noProof/>
          <w:color w:val="000000"/>
        </w:rPr>
      </w:pPr>
      <w:r>
        <w:rPr>
          <w:b/>
          <w:noProof/>
        </w:rPr>
        <w:t>D3.1 Creșterea eficienței și calității sistemului de sănătate prin sprijinirea potențialului polonez de cercetare și dezvoltare în domeniul științelor medicale și al științelor sănătății</w:t>
      </w:r>
    </w:p>
    <w:p w14:paraId="1216BD31" w14:textId="77777777" w:rsidR="00A60DDE" w:rsidRDefault="00095506">
      <w:pPr>
        <w:pStyle w:val="P68B1DB1-Normal71"/>
        <w:pBdr>
          <w:top w:val="nil"/>
          <w:left w:val="nil"/>
          <w:bottom w:val="nil"/>
          <w:right w:val="nil"/>
          <w:between w:val="nil"/>
        </w:pBdr>
        <w:spacing w:before="60" w:after="120" w:line="240" w:lineRule="auto"/>
        <w:jc w:val="both"/>
        <w:rPr>
          <w:noProof/>
        </w:rPr>
      </w:pPr>
      <w:r>
        <w:rPr>
          <w:noProof/>
        </w:rPr>
        <w:t>Obiectivul reformei este de a contribui la îmbunătățirea calității și eficienței sistemului de sănătate prin sprijinirea cercetării și dezvoltării în domeniul medical și al sănătății.</w:t>
      </w:r>
    </w:p>
    <w:p w14:paraId="1216BD32" w14:textId="77777777" w:rsidR="00A60DDE" w:rsidRDefault="00095506">
      <w:pPr>
        <w:pStyle w:val="P68B1DB1-Normal71"/>
        <w:pBdr>
          <w:top w:val="nil"/>
          <w:left w:val="nil"/>
          <w:bottom w:val="nil"/>
          <w:right w:val="nil"/>
          <w:between w:val="nil"/>
        </w:pBdr>
        <w:spacing w:before="60" w:after="120" w:line="240" w:lineRule="auto"/>
        <w:jc w:val="both"/>
        <w:rPr>
          <w:noProof/>
        </w:rPr>
      </w:pPr>
      <w:r>
        <w:rPr>
          <w:noProof/>
        </w:rPr>
        <w:t>Reforma constă într-o nouă legislație în domeniul studiilor clinice intervenționale cu medicamente de uz uman, inclusiv un sistem transparent și reducerea barierelor administrative și juridice. Aceasta constă, de asemenea, în elaborarea și punerea în aplicare a unui plan strategic pentru dezvoltarea sectorului biomedical în Polonia, pe baza unei evaluări a nevoilor sectorului biomedical polonez, a barierelor existente în calea dezvoltării acestuia și a zonelor cu un potențial avantaj competitiv.</w:t>
      </w:r>
    </w:p>
    <w:p w14:paraId="1216BD33" w14:textId="77777777" w:rsidR="00A60DDE" w:rsidRDefault="00095506">
      <w:pPr>
        <w:pStyle w:val="P68B1DB1-Normal71"/>
        <w:pBdr>
          <w:top w:val="nil"/>
          <w:left w:val="nil"/>
          <w:bottom w:val="nil"/>
          <w:right w:val="nil"/>
          <w:between w:val="nil"/>
        </w:pBdr>
        <w:spacing w:before="60" w:after="120" w:line="240" w:lineRule="auto"/>
        <w:jc w:val="both"/>
        <w:rPr>
          <w:rFonts w:eastAsia="Times New Roman" w:cs="Times New Roman"/>
          <w:noProof/>
        </w:rPr>
      </w:pPr>
      <w:r>
        <w:rPr>
          <w:noProof/>
        </w:rPr>
        <w:t>Punerea în aplicare a reformei se finalizează până la 31 decembrie 2022.</w:t>
      </w:r>
    </w:p>
    <w:p w14:paraId="1216BD34" w14:textId="77777777" w:rsidR="00A60DDE" w:rsidRDefault="00A60DDE">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35" w14:textId="3F26AF57" w:rsidR="00A60DDE" w:rsidRDefault="00095506">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D3.1.1 Cercetarea în sectorul biomedical și înființarea sau dezvoltarea de centre de sprijin pentru studiile clinice</w:t>
      </w:r>
    </w:p>
    <w:p w14:paraId="1216BD36" w14:textId="676588CA" w:rsidR="00A60DDE" w:rsidRDefault="00095506">
      <w:pPr>
        <w:pStyle w:val="P68B1DB1-Normal71"/>
        <w:pBdr>
          <w:top w:val="nil"/>
          <w:left w:val="nil"/>
          <w:bottom w:val="nil"/>
          <w:right w:val="nil"/>
          <w:between w:val="nil"/>
        </w:pBdr>
        <w:spacing w:before="60" w:after="120" w:line="240" w:lineRule="auto"/>
        <w:jc w:val="both"/>
        <w:rPr>
          <w:noProof/>
        </w:rPr>
      </w:pPr>
      <w:r>
        <w:rPr>
          <w:noProof/>
        </w:rPr>
        <w:t>Obiectivul investiției este de a sprijini cercetarea și dezvoltarea în domeniul medical și al sănătății. Această măsură constă în: (i) sprijinirea proiectelor de cercetare în sectorul biomedical, (ii) înființarea de noi centre de sprijin pentru studiile clinice intervenționale și desfășurarea de activități în cadrul centrelor existente de sprijin pentru studiile clinice intervenționale și (iii) crearea unei platforme de comunicare electronică pentru rețeaua poloneză de studii clinice intervenționale.</w:t>
      </w:r>
    </w:p>
    <w:p w14:paraId="1216BD38" w14:textId="77777777" w:rsidR="00A60DDE" w:rsidRDefault="00095506">
      <w:pPr>
        <w:pStyle w:val="P68B1DB1-Normal72"/>
        <w:pBdr>
          <w:top w:val="nil"/>
          <w:left w:val="nil"/>
          <w:bottom w:val="nil"/>
          <w:right w:val="nil"/>
          <w:between w:val="nil"/>
        </w:pBdr>
        <w:spacing w:before="120" w:after="120" w:line="240" w:lineRule="auto"/>
        <w:jc w:val="both"/>
        <w:rPr>
          <w:rFonts w:eastAsia="Times New Roman" w:cs="Times New Roman"/>
          <w:bCs/>
          <w:noProof/>
          <w:color w:val="000000"/>
        </w:rPr>
      </w:pPr>
      <w:r>
        <w:rPr>
          <w:noProof/>
        </w:rPr>
        <w:t>D4.1.1 Creșterea furnizării de servicii de îngrijire pe termen lung prin modernizarea entităților medicale la nivel districtual</w:t>
      </w:r>
    </w:p>
    <w:p w14:paraId="1216BD39" w14:textId="496F4BA7" w:rsidR="00A60DDE" w:rsidRDefault="00095506">
      <w:pPr>
        <w:pStyle w:val="P68B1DB1-Normal71"/>
        <w:spacing w:after="0" w:line="240" w:lineRule="auto"/>
        <w:jc w:val="both"/>
        <w:rPr>
          <w:noProof/>
        </w:rPr>
      </w:pPr>
      <w:r>
        <w:rPr>
          <w:noProof/>
        </w:rPr>
        <w:t>Obiectivul investiției este de a spori furnizarea de servicii de îngrijire pe termen lung. Această măsură constă în lucrări de construcție sau renovare sau în achiziționarea de echipamente pentru spitalele districtuale.</w:t>
      </w:r>
    </w:p>
    <w:p w14:paraId="1216BD3A" w14:textId="77777777" w:rsidR="00A60DDE" w:rsidRDefault="00A60DDE">
      <w:pPr>
        <w:spacing w:after="0" w:line="240" w:lineRule="auto"/>
        <w:jc w:val="both"/>
        <w:rPr>
          <w:rFonts w:ascii="Times New Roman" w:hAnsi="Times New Roman"/>
          <w:noProof/>
          <w:color w:val="000000"/>
        </w:rPr>
      </w:pPr>
    </w:p>
    <w:p w14:paraId="1216BD3B" w14:textId="77777777" w:rsidR="00A60DDE" w:rsidRDefault="00A60DDE">
      <w:pPr>
        <w:spacing w:after="0" w:line="240" w:lineRule="auto"/>
        <w:jc w:val="both"/>
        <w:rPr>
          <w:rFonts w:ascii="Times New Roman" w:eastAsia="Times New Roman" w:hAnsi="Times New Roman" w:cs="Times New Roman"/>
          <w:noProof/>
          <w:color w:val="000000"/>
        </w:rPr>
        <w:sectPr w:rsidR="00A60DDE" w:rsidSect="006C5441">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299"/>
        </w:sectPr>
      </w:pPr>
    </w:p>
    <w:p w14:paraId="1216BD3C" w14:textId="77777777" w:rsidR="00A60DDE" w:rsidRDefault="00095506">
      <w:pPr>
        <w:pBdr>
          <w:top w:val="nil"/>
          <w:left w:val="nil"/>
          <w:bottom w:val="nil"/>
          <w:right w:val="nil"/>
          <w:between w:val="nil"/>
        </w:pBdr>
        <w:spacing w:before="60" w:after="120" w:line="240" w:lineRule="auto"/>
        <w:jc w:val="both"/>
        <w:rPr>
          <w:rFonts w:ascii="Times New Roman" w:hAnsi="Times New Roman"/>
          <w:b/>
          <w:noProof/>
          <w:color w:val="000000" w:themeColor="text1"/>
        </w:rPr>
      </w:pPr>
      <w:r>
        <w:rPr>
          <w:rFonts w:ascii="Times New Roman" w:hAnsi="Times New Roman"/>
          <w:b/>
          <w:noProof/>
          <w:color w:val="000000" w:themeColor="text1"/>
        </w:rPr>
        <w:t xml:space="preserve">D.2. </w:t>
      </w:r>
      <w:r>
        <w:rPr>
          <w:noProof/>
        </w:rPr>
        <w:t xml:space="preserve"> </w:t>
      </w:r>
      <w:r>
        <w:rPr>
          <w:rFonts w:ascii="Times New Roman" w:hAnsi="Times New Roman"/>
          <w:b/>
          <w:noProof/>
          <w:color w:val="000000" w:themeColor="text1"/>
        </w:rPr>
        <w:t>Jaloane, ținte, indicatori și calendar pentru monitorizarea și punerea în aplicare a sprijinului financiar nerambursabil</w:t>
      </w:r>
    </w:p>
    <w:tbl>
      <w:tblPr>
        <w:tblW w:w="15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030"/>
        <w:gridCol w:w="1946"/>
        <w:gridCol w:w="1456"/>
        <w:gridCol w:w="993"/>
        <w:gridCol w:w="992"/>
        <w:gridCol w:w="709"/>
        <w:gridCol w:w="992"/>
        <w:gridCol w:w="670"/>
        <w:gridCol w:w="3827"/>
      </w:tblGrid>
      <w:tr w:rsidR="00A60DDE" w14:paraId="77330280" w14:textId="77777777">
        <w:trPr>
          <w:trHeight w:val="873"/>
          <w:tblHeader/>
          <w:jc w:val="cent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5AECD2A5" w14:textId="74D5BACB" w:rsidR="00A60DDE" w:rsidRDefault="005631E2">
            <w:pPr>
              <w:pStyle w:val="P68B1DB1-Normal74"/>
              <w:pBdr>
                <w:top w:val="nil"/>
                <w:left w:val="nil"/>
                <w:bottom w:val="nil"/>
                <w:right w:val="nil"/>
                <w:between w:val="nil"/>
              </w:pBdr>
              <w:spacing w:after="0" w:line="240" w:lineRule="auto"/>
              <w:jc w:val="center"/>
              <w:rPr>
                <w:rFonts w:eastAsia="Times New Roman" w:cs="Times New Roman"/>
                <w:noProof/>
              </w:rPr>
            </w:pPr>
            <w:r>
              <w:rPr>
                <w:noProof/>
              </w:rPr>
              <w:t>Nr. secv</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4A59DD1B"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Măsură conexă (reformă sau investiție)</w:t>
            </w:r>
          </w:p>
        </w:tc>
        <w:tc>
          <w:tcPr>
            <w:tcW w:w="10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7484347D"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Etapa/ținta</w:t>
            </w:r>
          </w:p>
        </w:tc>
        <w:tc>
          <w:tcPr>
            <w:tcW w:w="19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0EDE9DE4"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Denumire</w:t>
            </w:r>
          </w:p>
        </w:tc>
        <w:tc>
          <w:tcPr>
            <w:tcW w:w="14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48AF4AC" w14:textId="77777777" w:rsidR="00A60DDE" w:rsidRDefault="00095506">
            <w:pPr>
              <w:pStyle w:val="P68B1DB1-Normal74"/>
              <w:pBdr>
                <w:top w:val="nil"/>
                <w:left w:val="nil"/>
                <w:bottom w:val="nil"/>
                <w:right w:val="nil"/>
                <w:between w:val="nil"/>
              </w:pBdr>
              <w:spacing w:after="0" w:line="240" w:lineRule="auto"/>
              <w:jc w:val="center"/>
              <w:rPr>
                <w:noProof/>
              </w:rPr>
            </w:pPr>
            <w:r>
              <w:rPr>
                <w:noProof/>
              </w:rPr>
              <w:t>Indicatori calitativi</w:t>
            </w:r>
          </w:p>
          <w:p w14:paraId="0D5BFEAF" w14:textId="31D9321E" w:rsidR="00A60DDE" w:rsidRDefault="00095506">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(pentru jaloane)</w:t>
            </w:r>
          </w:p>
        </w:tc>
        <w:tc>
          <w:tcPr>
            <w:tcW w:w="269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57E1300A" w14:textId="77777777" w:rsidR="00A60DDE" w:rsidRDefault="00095506">
            <w:pPr>
              <w:pStyle w:val="P68B1DB1-Normal74"/>
              <w:pBdr>
                <w:top w:val="nil"/>
                <w:left w:val="nil"/>
                <w:bottom w:val="nil"/>
                <w:right w:val="nil"/>
                <w:between w:val="nil"/>
              </w:pBdr>
              <w:spacing w:after="0" w:line="240" w:lineRule="auto"/>
              <w:jc w:val="center"/>
              <w:rPr>
                <w:noProof/>
              </w:rPr>
            </w:pPr>
            <w:r>
              <w:rPr>
                <w:noProof/>
              </w:rPr>
              <w:t>Indicatori cantitativi</w:t>
            </w:r>
          </w:p>
          <w:p w14:paraId="1D4644A9" w14:textId="74FCD396" w:rsidR="00A60DDE" w:rsidRDefault="00095506">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(pentru obiective)</w:t>
            </w:r>
          </w:p>
        </w:tc>
        <w:tc>
          <w:tcPr>
            <w:tcW w:w="1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BC4CD01"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Calendar orientativ pentru finalizare</w:t>
            </w:r>
          </w:p>
        </w:tc>
        <w:tc>
          <w:tcPr>
            <w:tcW w:w="3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37F96F63"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Descrierea fiecărui jalon și a fiecărei ținte</w:t>
            </w:r>
          </w:p>
        </w:tc>
      </w:tr>
      <w:tr w:rsidR="00A60DDE" w14:paraId="40C212C8" w14:textId="77777777">
        <w:trPr>
          <w:trHeight w:val="687"/>
          <w:jc w:val="center"/>
        </w:trPr>
        <w:tc>
          <w:tcPr>
            <w:tcW w:w="949" w:type="dxa"/>
            <w:vMerge/>
            <w:vAlign w:val="center"/>
          </w:tcPr>
          <w:p w14:paraId="7AF3EB06" w14:textId="77777777" w:rsidR="00A60DDE" w:rsidRDefault="00A60DDE">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7A8C2F33"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30" w:type="dxa"/>
            <w:vMerge/>
            <w:vAlign w:val="center"/>
          </w:tcPr>
          <w:p w14:paraId="6EFBB8A0" w14:textId="77777777" w:rsidR="00A60DDE" w:rsidRDefault="00A60DDE">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46" w:type="dxa"/>
            <w:vMerge/>
            <w:vAlign w:val="center"/>
          </w:tcPr>
          <w:p w14:paraId="49E6D121"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456" w:type="dxa"/>
            <w:vMerge/>
            <w:vAlign w:val="center"/>
          </w:tcPr>
          <w:p w14:paraId="36F1B455"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719FF672"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Unitatea de măsură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0BE5DE4"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Situația de referință</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4224ABA6"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Obiectiv</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3D9E583"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Trimestrul</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9467CC7"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Anul</w:t>
            </w:r>
          </w:p>
        </w:tc>
        <w:tc>
          <w:tcPr>
            <w:tcW w:w="3827" w:type="dxa"/>
            <w:vMerge/>
            <w:vAlign w:val="center"/>
          </w:tcPr>
          <w:p w14:paraId="102D9BE3"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6F52D138"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5748C9" w14:textId="39280406"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9047D2" w14:textId="4F2F1BD1" w:rsidR="00A60DDE" w:rsidRDefault="00095506">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20266B" w14:textId="5D4AFF4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6EBCA0" w14:textId="4DB62F81"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actelor juridice privind raționalizarea structurii furnizării de asistență medicală în domeniul dat</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47133A" w14:textId="3592F635" w:rsidR="00A60DDE" w:rsidRDefault="00095506">
            <w:pPr>
              <w:pStyle w:val="P68B1DB1-Normal34"/>
              <w:pBdr>
                <w:top w:val="nil"/>
                <w:left w:val="nil"/>
                <w:bottom w:val="nil"/>
                <w:right w:val="nil"/>
                <w:between w:val="nil"/>
              </w:pBdr>
              <w:spacing w:after="0" w:line="240" w:lineRule="auto"/>
              <w:rPr>
                <w:noProof/>
                <w:color w:val="006100"/>
              </w:rPr>
            </w:pPr>
            <w:r>
              <w:rPr>
                <w:noProof/>
              </w:rPr>
              <w:t>Dispoziții din actele juridice care indică intrarea lor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5B96E63"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5CCAF64"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7190F4"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7D2C3C5" w14:textId="61FC0D98"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AD4251" w14:textId="1DA25ED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91DBAD7" w14:textId="77777777" w:rsidR="00A60DDE" w:rsidRDefault="00095506">
            <w:pPr>
              <w:pStyle w:val="P68B1DB1-Normal75"/>
              <w:spacing w:after="0" w:line="240" w:lineRule="auto"/>
              <w:rPr>
                <w:noProof/>
              </w:rPr>
            </w:pPr>
            <w:r>
              <w:rPr>
                <w:noProof/>
              </w:rPr>
              <w:t>Intrarea în vigoare a actelor juridice care prevăd:</w:t>
            </w:r>
          </w:p>
          <w:p w14:paraId="0495CEA8" w14:textId="77777777" w:rsidR="00A60DDE" w:rsidRDefault="00095506">
            <w:pPr>
              <w:pStyle w:val="P68B1DB1-Normal75"/>
              <w:spacing w:after="0" w:line="240" w:lineRule="auto"/>
              <w:rPr>
                <w:noProof/>
              </w:rPr>
            </w:pPr>
            <w:r>
              <w:rPr>
                <w:noProof/>
              </w:rPr>
              <w:t>- modificarea domeniului de aplicare al serviciilor de asistență medicală furnizate de spitale pentru a raționaliza structura furnizării de asistență medicală în zona dată, pe baza planurilor naționale sau regionale de transformare și a hărții nevoilor în materie de sănătate;</w:t>
            </w:r>
          </w:p>
          <w:p w14:paraId="0225C2F3" w14:textId="611E3E54" w:rsidR="00A60DDE" w:rsidRDefault="00095506">
            <w:pPr>
              <w:pStyle w:val="P68B1DB1-Normal75"/>
              <w:spacing w:after="0" w:line="240" w:lineRule="auto"/>
              <w:rPr>
                <w:noProof/>
              </w:rPr>
            </w:pPr>
            <w:r>
              <w:rPr>
                <w:noProof/>
              </w:rPr>
              <w:t>evaluarea impactului tarifelor propuse în vederea creșterii ponderii serviciilor de îngrijire ambulatorie;</w:t>
            </w:r>
          </w:p>
          <w:p w14:paraId="7DB4956D" w14:textId="77777777" w:rsidR="00A60DDE" w:rsidRDefault="00095506">
            <w:pPr>
              <w:pStyle w:val="P68B1DB1-Normal75"/>
              <w:spacing w:after="0" w:line="240" w:lineRule="auto"/>
              <w:rPr>
                <w:noProof/>
              </w:rPr>
            </w:pPr>
            <w:r>
              <w:rPr>
                <w:noProof/>
              </w:rPr>
              <w:t>- stabilirea condițiilor și criteriilor pentru planurile de recuperare a spitalelor îndatorate;</w:t>
            </w:r>
          </w:p>
          <w:p w14:paraId="13D57CCD" w14:textId="77777777" w:rsidR="00A60DDE" w:rsidRDefault="00095506">
            <w:pPr>
              <w:pStyle w:val="P68B1DB1-Normal75"/>
              <w:spacing w:after="0" w:line="240" w:lineRule="auto"/>
              <w:rPr>
                <w:noProof/>
              </w:rPr>
            </w:pPr>
            <w:r>
              <w:rPr>
                <w:noProof/>
              </w:rPr>
              <w:t>- introducerea beneficiilor financiare din Fondul Național de Sănătate pentru spitalele care realizează indicatori de performanță de calitate. Actul juridic poate permite o perioadă de tranziție rezonabilă pentru aplicarea obligatorie a coeficienților corectori pentru indicatori începând cu 1 iulie 2026;</w:t>
            </w:r>
          </w:p>
          <w:p w14:paraId="40D610E4" w14:textId="61494453" w:rsidR="00A60DDE" w:rsidRDefault="00095506">
            <w:pPr>
              <w:pStyle w:val="P68B1DB1-Normal75"/>
              <w:spacing w:after="0" w:line="240" w:lineRule="auto"/>
              <w:textAlignment w:val="baseline"/>
              <w:rPr>
                <w:noProof/>
              </w:rPr>
            </w:pPr>
            <w:r>
              <w:rPr>
                <w:noProof/>
              </w:rPr>
              <w:t>introducerea cerinței ca planul de redresare să conțină cursuri de formare pentru personalul de conducere cu privire la procesele de restructurare din entitățile din domeniul sănătății.</w:t>
            </w:r>
            <w:bookmarkStart w:id="14" w:name="_Hlk167287635"/>
            <w:bookmarkEnd w:id="14"/>
          </w:p>
        </w:tc>
      </w:tr>
      <w:tr w:rsidR="00A60DDE" w14:paraId="08CDF4DE"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E377E3" w14:textId="1E8ABC62"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D2G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F7AF6AF" w14:textId="4B69C243" w:rsidR="00A60DDE" w:rsidRDefault="00095506">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B5692C2" w14:textId="334E5138"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48E7A1" w14:textId="5F0FD0A4"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Ordinului președintelui Fondului Național de Sănătate (NFZ) și a actelor juridice respective privind consolidarea asistenței medicale primare și a asistenței medicale coordonate, urmate de dispoziții financiare (inclusiv modificări ale contractelor), care să permită punerea în aplicare la nivel național</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EEAEC73" w14:textId="1EA0E5E9" w:rsidR="00A60DDE" w:rsidRDefault="00095506">
            <w:pPr>
              <w:pStyle w:val="P68B1DB1-Normal34"/>
              <w:pBdr>
                <w:top w:val="nil"/>
                <w:left w:val="nil"/>
                <w:bottom w:val="nil"/>
                <w:right w:val="nil"/>
                <w:between w:val="nil"/>
              </w:pBdr>
              <w:spacing w:after="0" w:line="240" w:lineRule="auto"/>
              <w:rPr>
                <w:noProof/>
                <w:color w:val="006100"/>
              </w:rPr>
            </w:pPr>
            <w:r>
              <w:rPr>
                <w:noProof/>
              </w:rPr>
              <w:t>Dispoziții din ordonanță care indică intrarea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7DACE6"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15EEB7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7B198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8E4054" w14:textId="1DA0CF6C"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E46C7E2" w14:textId="3D42296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3BB6C7" w14:textId="604A068A" w:rsidR="00A60DDE" w:rsidRDefault="00095506">
            <w:pPr>
              <w:pStyle w:val="P68B1DB1-Normal34"/>
              <w:spacing w:after="0" w:line="240" w:lineRule="auto"/>
              <w:textAlignment w:val="baseline"/>
              <w:rPr>
                <w:noProof/>
              </w:rPr>
            </w:pPr>
            <w:r>
              <w:rPr>
                <w:noProof/>
              </w:rPr>
              <w:t>Intrarea în vigoare a Ordinului președintelui Fondului național de sănătate (NFZ) și a actelor juridice respective care consolidează asistența medicală primară și asistența medicală coordonată, permițând punerea în aplicare la nivel național și acoperind:</w:t>
            </w:r>
          </w:p>
          <w:p w14:paraId="43DFC004" w14:textId="12E9B6CD" w:rsidR="00A60DDE" w:rsidRDefault="00095506">
            <w:pPr>
              <w:pStyle w:val="P68B1DB1-Normal34"/>
              <w:spacing w:after="0" w:line="240" w:lineRule="auto"/>
              <w:textAlignment w:val="baseline"/>
              <w:rPr>
                <w:noProof/>
              </w:rPr>
            </w:pPr>
            <w:r>
              <w:rPr>
                <w:noProof/>
              </w:rPr>
              <w:t>- asistență medicală preventivă (taxă de sarcină);</w:t>
            </w:r>
          </w:p>
          <w:p w14:paraId="79D63D7B" w14:textId="77777777" w:rsidR="00A60DDE" w:rsidRDefault="00095506">
            <w:pPr>
              <w:pStyle w:val="P68B1DB1-Normal34"/>
              <w:spacing w:after="0" w:line="240" w:lineRule="auto"/>
              <w:textAlignment w:val="baseline"/>
              <w:rPr>
                <w:noProof/>
              </w:rPr>
            </w:pPr>
            <w:r>
              <w:rPr>
                <w:noProof/>
              </w:rPr>
              <w:t xml:space="preserve">rezultatele preconizate în materie de sănătate și calitatea asistenței medicale (introducerea de stimulente); și </w:t>
            </w:r>
          </w:p>
          <w:p w14:paraId="2B018455" w14:textId="2B1681B5" w:rsidR="00A60DDE" w:rsidRDefault="00095506">
            <w:pPr>
              <w:pStyle w:val="P68B1DB1-Normal34"/>
              <w:spacing w:after="0" w:line="240" w:lineRule="auto"/>
              <w:textAlignment w:val="baseline"/>
              <w:rPr>
                <w:noProof/>
              </w:rPr>
            </w:pPr>
            <w:r>
              <w:rPr>
                <w:noProof/>
              </w:rPr>
              <w:t>- programul de gestionare a bolilor cronice și coordonatorul de îngrijire.</w:t>
            </w:r>
          </w:p>
          <w:p w14:paraId="743E730A" w14:textId="77777777" w:rsidR="00A60DDE" w:rsidRDefault="00A60DDE">
            <w:pPr>
              <w:spacing w:after="0" w:line="240" w:lineRule="auto"/>
              <w:textAlignment w:val="baseline"/>
              <w:rPr>
                <w:rFonts w:ascii="Times New Roman" w:hAnsi="Times New Roman" w:cs="Times New Roman"/>
                <w:noProof/>
                <w:color w:val="000000"/>
                <w:sz w:val="18"/>
                <w:szCs w:val="18"/>
              </w:rPr>
            </w:pPr>
          </w:p>
          <w:p w14:paraId="3C6EFC33" w14:textId="52CF0389" w:rsidR="00A60DDE" w:rsidRDefault="00095506">
            <w:pPr>
              <w:pStyle w:val="P68B1DB1-Normal34"/>
              <w:spacing w:after="0" w:line="240" w:lineRule="auto"/>
              <w:textAlignment w:val="baseline"/>
              <w:rPr>
                <w:noProof/>
              </w:rPr>
            </w:pPr>
            <w:r>
              <w:rPr>
                <w:noProof/>
              </w:rPr>
              <w:t>Ordinul introduce dispoziții financiare care prevăd resurse financiare suplimentare pentru contractele de asistență medicală primară, cu excepția asistenței medicale de noapte și de vacanță.</w:t>
            </w:r>
          </w:p>
        </w:tc>
      </w:tr>
      <w:tr w:rsidR="00A60DDE" w14:paraId="1D63E16E"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8B462D" w14:textId="203E8072"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1011CC" w14:textId="18D248E4" w:rsidR="00A60DDE" w:rsidRDefault="00095506">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87BD36" w14:textId="5643248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72B55C" w14:textId="02BB1B37"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Legii privind calitatea asistenței medicale și siguranța pacienților, împreună cu regulamentele de punere în aplicare necesare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A43DC0" w14:textId="7CC3FE3E"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act care indică intrarea sa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BE1B27D"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C8920AF"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3B780B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D0B2BC" w14:textId="6DD58CD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65A51F" w14:textId="3488E01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0966AA" w14:textId="1BF77134" w:rsidR="00A60DDE" w:rsidRDefault="00095506">
            <w:pPr>
              <w:pStyle w:val="P68B1DB1-Normal22"/>
              <w:spacing w:after="0" w:line="240" w:lineRule="auto"/>
              <w:textAlignment w:val="baseline"/>
              <w:rPr>
                <w:noProof/>
              </w:rPr>
            </w:pPr>
            <w:r>
              <w:rPr>
                <w:noProof/>
                <w:color w:val="000000" w:themeColor="text1"/>
              </w:rPr>
              <w:t xml:space="preserve">Intrarea în vigoare a Legii privind calitatea asistenței medicale și siguranța pacienților, care include dispoziții privind următoarele elemente: </w:t>
            </w:r>
            <w:r>
              <w:rPr>
                <w:noProof/>
              </w:rPr>
              <w:br/>
            </w:r>
            <w:r>
              <w:rPr>
                <w:noProof/>
                <w:color w:val="000000" w:themeColor="text1"/>
              </w:rPr>
              <w:t xml:space="preserve">1) autorizație: un sistem de evaluare a entităților care desfășoară activități medicale, cum ar fi serviciile spitalicești, din perspectiva conformității acestora cu cerințele Ministerului Sănătății și ale Fondului național pentru sănătate (așa-numitele „cerințe de coș”); </w:t>
            </w:r>
            <w:r>
              <w:rPr>
                <w:noProof/>
              </w:rPr>
              <w:br/>
            </w:r>
            <w:r>
              <w:rPr>
                <w:noProof/>
                <w:color w:val="000000" w:themeColor="text1"/>
              </w:rPr>
              <w:t>2) acreditare: un cadru pentru evaluarea externă a calității asistenței medicale și a siguranței pacienților în spitale;</w:t>
            </w:r>
            <w:r>
              <w:rPr>
                <w:noProof/>
              </w:rPr>
              <w:br/>
            </w:r>
            <w:r>
              <w:rPr>
                <w:noProof/>
                <w:color w:val="000000" w:themeColor="text1"/>
              </w:rPr>
              <w:t>3) monitorizarea evenimentelor adverse: un cadru pentru activitățile desfășurate de entitățile medicale, în special efectuarea unei analize sistematice a evenimentelor adverse în vederea prevenirii apariției unor evenimente adverse similare;</w:t>
            </w:r>
            <w:r>
              <w:rPr>
                <w:noProof/>
              </w:rPr>
              <w:br/>
            </w:r>
            <w:r>
              <w:rPr>
                <w:noProof/>
                <w:color w:val="000000" w:themeColor="text1"/>
              </w:rPr>
              <w:t>4) Registrele medicale: precizarea normelor pentru crearea și finanțarea registrelor medicale și consolidarea rolului acestora în asigurarea calității asistenței medicale;</w:t>
            </w:r>
            <w:r>
              <w:rPr>
                <w:noProof/>
              </w:rPr>
              <w:br/>
            </w:r>
            <w:r>
              <w:rPr>
                <w:noProof/>
                <w:color w:val="000000" w:themeColor="text1"/>
              </w:rPr>
              <w:t xml:space="preserve">5) experiența pacienților: stabilirea unui cadru pentru măsurarea experienței pacienților în ceea ce privește dispozițiile contractuale ale Fondului Național de Sănătate (NFZ); și </w:t>
            </w:r>
          </w:p>
          <w:p w14:paraId="0C7C7367" w14:textId="681C89FA" w:rsidR="00A60DDE" w:rsidRDefault="00095506">
            <w:pPr>
              <w:pStyle w:val="P68B1DB1-Normal34"/>
              <w:spacing w:after="0" w:line="240" w:lineRule="auto"/>
              <w:textAlignment w:val="baseline"/>
              <w:rPr>
                <w:noProof/>
              </w:rPr>
            </w:pPr>
            <w:r>
              <w:rPr>
                <w:noProof/>
              </w:rPr>
              <w:t>6) respitalizare: un cadru pentru urmărirea și analizarea ratelor de readmisie pe o perioadă de 30 de zile legate de dispozițiile contractuale privind ZLS (prin intermediul regulamentului de punere în aplicare).</w:t>
            </w:r>
          </w:p>
        </w:tc>
      </w:tr>
      <w:tr w:rsidR="00A60DDE" w14:paraId="581F7221"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1F045DB" w14:textId="479BCF99"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9B49D61" w14:textId="3F78036A" w:rsidR="00A60DDE" w:rsidRDefault="00095506">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065C45" w14:textId="7A27C36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C0E883A" w14:textId="627F8A8C"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Intrarea în vigoare a Legii privind rețeaua oncologică națională și a actelor juridice relevante de stabilire a normelor de funcționare a rețelei prin introducerea unei noi structuri și a unui nou model de gestionare a îngrijirii oncologice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8CE5A6" w14:textId="51F3181E"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actul care indică intrarea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52DD34"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FD142B"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FB8E43"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8D759B" w14:textId="75F10904"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E5B046" w14:textId="3AF3E1A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249F9B" w14:textId="79ED030A" w:rsidR="00A60DDE" w:rsidRDefault="00095506">
            <w:pPr>
              <w:pStyle w:val="P68B1DB1-Normal22"/>
              <w:pBdr>
                <w:top w:val="nil"/>
                <w:left w:val="nil"/>
                <w:bottom w:val="nil"/>
                <w:right w:val="nil"/>
                <w:between w:val="nil"/>
              </w:pBdr>
              <w:spacing w:after="0" w:line="240" w:lineRule="auto"/>
              <w:rPr>
                <w:noProof/>
                <w:color w:val="000000"/>
              </w:rPr>
            </w:pPr>
            <w:r>
              <w:rPr>
                <w:noProof/>
                <w:color w:val="000000" w:themeColor="text1"/>
              </w:rPr>
              <w:t xml:space="preserve">Intrarea în vigoare a Legii privind rețeaua oncologică națională și a actelor juridice relevante care asigură faptul că toți pacienții, indiferent de locul lor de reședință, beneficiază de asistență oncologică pe baza acelorași standarde de diagnostic și terapeutice. </w:t>
            </w:r>
            <w:r>
              <w:rPr>
                <w:noProof/>
              </w:rPr>
              <w:br/>
            </w:r>
            <w:r>
              <w:rPr>
                <w:noProof/>
                <w:color w:val="000000" w:themeColor="text1"/>
              </w:rPr>
              <w:t>Aceste acte se axează pe:</w:t>
            </w:r>
            <w:r>
              <w:rPr>
                <w:noProof/>
              </w:rPr>
              <w:t xml:space="preserve"> </w:t>
            </w:r>
            <w:r>
              <w:rPr>
                <w:noProof/>
              </w:rPr>
              <w:br/>
            </w:r>
            <w:r>
              <w:rPr>
                <w:noProof/>
                <w:color w:val="000000" w:themeColor="text1"/>
              </w:rPr>
              <w:t>îmbunătățirea organizării sistemului de îngrijire oncologică prin asigurarea accesului pacienților la procese diagnostice și terapeutice de cea mai înaltă calitate și la asistență medicală cuprinzătoare de-a lungul întregii „căi a pacientului” în domeniul asistenței medicale primare, al asistenței medicale ambulatorii specializate (AMS), al tratamentului spitalicesc și al reabilitării;</w:t>
            </w:r>
            <w:r>
              <w:rPr>
                <w:noProof/>
              </w:rPr>
              <w:br/>
            </w:r>
            <w:r>
              <w:rPr>
                <w:noProof/>
                <w:color w:val="000000" w:themeColor="text1"/>
              </w:rPr>
              <w:t>crearea unei noi structuri organizatorice și a unui nou model de gestionare a îngrijirii bolnavilor de cancer, inclusiv a centrelor de monitorizare;</w:t>
            </w:r>
          </w:p>
          <w:p w14:paraId="28A835AA" w14:textId="4D0BD247" w:rsidR="00A60DDE" w:rsidRDefault="00095506">
            <w:pPr>
              <w:pStyle w:val="P68B1DB1-Normal34"/>
              <w:spacing w:after="0" w:line="240" w:lineRule="auto"/>
              <w:textAlignment w:val="baseline"/>
              <w:rPr>
                <w:noProof/>
              </w:rPr>
            </w:pPr>
            <w:r>
              <w:rPr>
                <w:noProof/>
              </w:rPr>
              <w:t>îmbunătățirea calității vieții pacienților în timpul și după tratamentul oncologic.</w:t>
            </w:r>
          </w:p>
        </w:tc>
      </w:tr>
      <w:tr w:rsidR="00A60DDE" w14:paraId="6B32340D"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359A82" w14:textId="598EC6E2"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75316A" w14:textId="5570A4D1" w:rsidR="00A60DDE" w:rsidRDefault="00095506">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F57C9C" w14:textId="5D6FC229"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BA42FD" w14:textId="23788FBD"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Intrarea în vigoare a legii de creare a Rețelei Naționale Cardiologice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A8C757" w14:textId="632F0E44" w:rsidR="00A60DDE" w:rsidRDefault="00095506">
            <w:pPr>
              <w:pStyle w:val="P68B1DB1-Normal34"/>
              <w:pBdr>
                <w:top w:val="nil"/>
                <w:left w:val="nil"/>
                <w:bottom w:val="nil"/>
                <w:right w:val="nil"/>
                <w:between w:val="nil"/>
              </w:pBdr>
              <w:spacing w:after="0" w:line="240" w:lineRule="auto"/>
              <w:rPr>
                <w:noProof/>
                <w:color w:val="006100"/>
              </w:rPr>
            </w:pPr>
            <w:r>
              <w:rPr>
                <w:noProof/>
              </w:rPr>
              <w:t>Dispoziții din actele juridice care indică intrarea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F42FDF"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DD3AA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1F0A4E"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DB27AD" w14:textId="1F4320E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8E13C7" w14:textId="6D52A58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A4CA77" w14:textId="77777777"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actelor juridice care prevăd:</w:t>
            </w:r>
          </w:p>
          <w:p w14:paraId="4AF8077A" w14:textId="77777777" w:rsidR="00A60DDE" w:rsidRDefault="00095506">
            <w:pPr>
              <w:pStyle w:val="P68B1DB1-Normal34"/>
              <w:pBdr>
                <w:top w:val="nil"/>
                <w:left w:val="nil"/>
                <w:bottom w:val="nil"/>
                <w:right w:val="nil"/>
                <w:between w:val="nil"/>
              </w:pBdr>
              <w:spacing w:after="0" w:line="240" w:lineRule="auto"/>
              <w:rPr>
                <w:noProof/>
                <w:color w:val="000000"/>
              </w:rPr>
            </w:pPr>
            <w:r>
              <w:rPr>
                <w:noProof/>
              </w:rPr>
              <w:t>- înființarea unei structuri organizatorice a Rețelei Naționale Cardiologice și a managementului îngrijirii cardiologice;</w:t>
            </w:r>
          </w:p>
          <w:p w14:paraId="2843C1C4" w14:textId="77777777" w:rsidR="00A60DDE" w:rsidRDefault="00095506">
            <w:pPr>
              <w:pStyle w:val="P68B1DB1-Normal34"/>
              <w:pBdr>
                <w:top w:val="nil"/>
                <w:left w:val="nil"/>
                <w:bottom w:val="nil"/>
                <w:right w:val="nil"/>
                <w:between w:val="nil"/>
              </w:pBdr>
              <w:spacing w:after="0" w:line="240" w:lineRule="auto"/>
              <w:rPr>
                <w:noProof/>
                <w:color w:val="000000"/>
              </w:rPr>
            </w:pPr>
            <w:r>
              <w:rPr>
                <w:noProof/>
              </w:rPr>
              <w:t>stabilirea îngrijirii cardiologice a pacienților pe baza standardelor de diagnostic și terapeutice recomandate;</w:t>
            </w:r>
          </w:p>
          <w:p w14:paraId="5299A3EA" w14:textId="4A6D4C00" w:rsidR="00A60DDE" w:rsidRDefault="00095506">
            <w:pPr>
              <w:pStyle w:val="P68B1DB1-Normal34"/>
              <w:spacing w:after="0" w:line="240" w:lineRule="auto"/>
              <w:textAlignment w:val="baseline"/>
              <w:rPr>
                <w:noProof/>
              </w:rPr>
            </w:pPr>
            <w:r>
              <w:rPr>
                <w:noProof/>
              </w:rPr>
              <w:t>- stabilirea cadrului de monitorizare a calității îngrijirii cardiologice în cadrul Rețelei Naționale Cardiologice.</w:t>
            </w:r>
          </w:p>
        </w:tc>
      </w:tr>
      <w:tr w:rsidR="00A60DDE" w14:paraId="1438F380"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1618A9" w14:textId="28A4221F"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D6G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BD0D18" w14:textId="3BBDB6A2" w:rsidR="00A60DDE" w:rsidRDefault="00095506">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AC3BBD" w14:textId="7814479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7CC2B0" w14:textId="3D0BEE95"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actului (actelor) juridic(e) care permite (permit) furnizarea de servicii de e-sănătate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45ABB0" w14:textId="0DCCABEA"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actul (actele) juridic(e) care indică intrarea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D838EE"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0CF2ED"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AD060A9"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192941" w14:textId="7FEBE50E"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50982C" w14:textId="17BF3B01"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EACFF6" w14:textId="584F7185" w:rsidR="00A60DDE" w:rsidRDefault="00095506">
            <w:pPr>
              <w:pStyle w:val="P68B1DB1-Normal34"/>
              <w:spacing w:after="0" w:line="240" w:lineRule="auto"/>
              <w:textAlignment w:val="baseline"/>
              <w:rPr>
                <w:noProof/>
              </w:rPr>
            </w:pPr>
            <w:r>
              <w:rPr>
                <w:noProof/>
              </w:rPr>
              <w:t xml:space="preserve">Intrarea în vigoare a actului (actelor) juridic(e) care introduce (introduc) furnizarea de servicii de e-sănătate: un instrument pentru analiza sănătății pacienților, un instrument de sprijin bazat pe IA pentru spitale, un depozit de date medicale. </w:t>
            </w:r>
          </w:p>
        </w:tc>
      </w:tr>
      <w:tr w:rsidR="00A60DDE" w14:paraId="00B35AAF"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A8784A" w14:textId="26971390"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1B9BE8" w14:textId="0CD641D3" w:rsidR="00A60DDE" w:rsidRDefault="00095506">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38D1C5" w14:textId="12A7EC3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D45F24" w14:textId="4F1D7BB4"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Intrarea în vigoare a Regulamentului privind lista centrelor voievodale de monitorizare a rețelei oncologice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C52BA21" w14:textId="391F890D"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regulament care indică intrarea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BB337E"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4B348C2"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FB081A"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72AE2E" w14:textId="09D9775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B90E14C" w14:textId="76C4003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01FD822" w14:textId="584A6134" w:rsidR="00A60DDE" w:rsidRDefault="00095506">
            <w:pPr>
              <w:pStyle w:val="P68B1DB1-Normal34"/>
              <w:spacing w:after="0" w:line="240" w:lineRule="auto"/>
              <w:textAlignment w:val="baseline"/>
              <w:rPr>
                <w:noProof/>
              </w:rPr>
            </w:pPr>
            <w:r>
              <w:rPr>
                <w:noProof/>
              </w:rPr>
              <w:t>Regulamentul intră în vigoare și prevede înființarea de centre de monitorizare ale voievodatului, care sunt entități medicale selectate din rețeaua oncologică în fiecare dintre cele 16 voievodate, specializate în îngrijire oncologică și care oferă tratament oncologic cuprinzător și monitorizare.</w:t>
            </w:r>
          </w:p>
        </w:tc>
      </w:tr>
      <w:tr w:rsidR="00A60DDE" w14:paraId="1ED34A31"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2E0337D" w14:textId="387FEC85"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D9G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241F8C" w14:textId="1EA181FC"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D1.1.1 Modernizarea centrelor de îngrijire foarte specializate și a altor furnizori de servicii medicale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DB0F3B" w14:textId="350467F4"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0E42E51" w14:textId="3942F880" w:rsidR="00A60DDE" w:rsidRDefault="00095506">
            <w:pPr>
              <w:pStyle w:val="P68B1DB1-Normal22"/>
              <w:pBdr>
                <w:top w:val="nil"/>
                <w:left w:val="nil"/>
                <w:bottom w:val="nil"/>
                <w:right w:val="nil"/>
                <w:between w:val="nil"/>
              </w:pBdr>
              <w:spacing w:after="0" w:line="240" w:lineRule="auto"/>
              <w:rPr>
                <w:noProof/>
                <w:color w:val="000000"/>
              </w:rPr>
            </w:pPr>
            <w:r>
              <w:rPr>
                <w:noProof/>
                <w:color w:val="000000" w:themeColor="text1"/>
              </w:rPr>
              <w:t>Intrarea în vigoare a unui act juridic privind o listă de criterii pentru calificarea spitalelor pentru fiecare nivel de îngrijire oncologică</w:t>
            </w:r>
            <w:r w:rsidR="00A52676">
              <w:rPr>
                <w:noProof/>
                <w:color w:val="000000" w:themeColor="text1"/>
              </w:rPr>
              <w:t xml:space="preserv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D191C5" w14:textId="0BE6FA81"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actul juridic care indică intrarea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D22330"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E9CA799"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AD69D8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66540B1" w14:textId="3724E5A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6FB68C" w14:textId="1D8B19C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67ABAB" w14:textId="77777777" w:rsidR="00A60DDE" w:rsidRDefault="00095506">
            <w:pPr>
              <w:pStyle w:val="P68B1DB1-Normal22"/>
              <w:spacing w:before="60" w:after="60" w:line="240" w:lineRule="auto"/>
              <w:rPr>
                <w:noProof/>
              </w:rPr>
            </w:pPr>
            <w:r>
              <w:rPr>
                <w:noProof/>
                <w:color w:val="000000" w:themeColor="text1"/>
              </w:rPr>
              <w:t>Intrarea în vigoare a unui act juridic</w:t>
            </w:r>
            <w:r>
              <w:rPr>
                <w:noProof/>
              </w:rPr>
              <w:t xml:space="preserve"> </w:t>
            </w:r>
            <w:r>
              <w:rPr>
                <w:noProof/>
                <w:color w:val="000000" w:themeColor="text1"/>
              </w:rPr>
              <w:t>de către ministrul sănătății pe baza unei liste de criterii pe baza cărora spitalele oncologice vor fi încadrate în diferite categorii/niveluri ale Rețelei oncologice naționale. Aceste categorii/niveluri contribuie la identificarea nevoilor de investiții care decurg din reforma D4G.</w:t>
            </w:r>
          </w:p>
          <w:p w14:paraId="49BAD03B" w14:textId="3031C5EB" w:rsidR="00A60DDE" w:rsidRDefault="00095506">
            <w:pPr>
              <w:pStyle w:val="P68B1DB1-Normal22"/>
              <w:spacing w:after="0" w:line="240" w:lineRule="auto"/>
              <w:textAlignment w:val="baseline"/>
              <w:rPr>
                <w:noProof/>
              </w:rPr>
            </w:pPr>
            <w:r>
              <w:rPr>
                <w:noProof/>
                <w:color w:val="000000" w:themeColor="text1"/>
              </w:rPr>
              <w:t>Criteriile de clasificare se bazează pe:</w:t>
            </w:r>
            <w:r>
              <w:rPr>
                <w:noProof/>
              </w:rPr>
              <w:br/>
            </w:r>
            <w:r>
              <w:rPr>
                <w:noProof/>
                <w:color w:val="000000" w:themeColor="text1"/>
              </w:rPr>
              <w:t>acoperirea (cum ar fi populația acoperită; prestații acoperite; necesitatea accesului în timp util la îngrijire);</w:t>
            </w:r>
            <w:r>
              <w:rPr>
                <w:noProof/>
              </w:rPr>
              <w:br/>
            </w:r>
            <w:r>
              <w:rPr>
                <w:noProof/>
                <w:color w:val="000000" w:themeColor="text1"/>
              </w:rPr>
              <w:t>capitaluri proprii (cum ar fi capitaluri proprii în ceea ce privește livrarea și utilizarea);</w:t>
            </w:r>
            <w:r>
              <w:rPr>
                <w:noProof/>
              </w:rPr>
              <w:br/>
            </w:r>
            <w:r>
              <w:rPr>
                <w:noProof/>
                <w:color w:val="000000" w:themeColor="text1"/>
              </w:rPr>
              <w:t>eficiența;</w:t>
            </w:r>
            <w:r>
              <w:rPr>
                <w:noProof/>
              </w:rPr>
              <w:br/>
            </w:r>
            <w:r>
              <w:rPr>
                <w:noProof/>
                <w:color w:val="000000" w:themeColor="text1"/>
              </w:rPr>
              <w:t>- calitatea îngrijirii și</w:t>
            </w:r>
            <w:r>
              <w:rPr>
                <w:noProof/>
              </w:rPr>
              <w:t xml:space="preserve"> </w:t>
            </w:r>
            <w:r>
              <w:rPr>
                <w:noProof/>
              </w:rPr>
              <w:br/>
              <w:t xml:space="preserve"> </w:t>
            </w:r>
            <w:r>
              <w:rPr>
                <w:noProof/>
                <w:color w:val="000000" w:themeColor="text1"/>
              </w:rPr>
              <w:t>disponibilitatea resurselor (cum ar fi resursele umane și financiare).</w:t>
            </w:r>
          </w:p>
        </w:tc>
      </w:tr>
      <w:tr w:rsidR="00A60DDE" w14:paraId="2A96B97C"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42E2F9" w14:textId="00829986"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D10aG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0A2714" w14:textId="2D48524B"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D1.1.1 Modernizarea centrelor de îngrijire foarte specializate și a altor furnizori de servicii medicale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89DBB8" w14:textId="4A89CBF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BEF731" w14:textId="23624AA3" w:rsidR="00A60DDE" w:rsidRDefault="00095506">
            <w:pPr>
              <w:pStyle w:val="P68B1DB1-Normal34"/>
              <w:pBdr>
                <w:top w:val="nil"/>
                <w:left w:val="nil"/>
                <w:bottom w:val="nil"/>
                <w:right w:val="nil"/>
                <w:between w:val="nil"/>
              </w:pBdr>
              <w:spacing w:after="0" w:line="240" w:lineRule="auto"/>
              <w:rPr>
                <w:noProof/>
                <w:color w:val="000000"/>
              </w:rPr>
            </w:pPr>
            <w:r>
              <w:rPr>
                <w:noProof/>
              </w:rPr>
              <w:t>Prima cerere de propuneri pentru spitale (în cadrul Rețelei oncologice naționale) și centre specializate de asistență medicală ambulatorie (AOS) care cooperează cu acestea</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1DC202" w14:textId="0CD61C18"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Publicarea primei cereri de propuneri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A88AD6"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E311DB"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30B76E"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F9CBA0" w14:textId="0D00862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505C311" w14:textId="68268FC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66C5CC" w14:textId="77777777" w:rsidR="00A60DDE" w:rsidRDefault="00095506">
            <w:pPr>
              <w:pStyle w:val="P68B1DB1-Normal34"/>
              <w:spacing w:after="0" w:line="240" w:lineRule="auto"/>
              <w:textAlignment w:val="baseline"/>
              <w:rPr>
                <w:noProof/>
                <w:color w:val="000000"/>
              </w:rPr>
            </w:pPr>
            <w:r>
              <w:rPr>
                <w:noProof/>
              </w:rPr>
              <w:t>Se lansează prima cerere de propuneri pentru spitale (în cadrul Rețelei oncologice naționale) și centre specializate de asistență medicală ambulatorie (AOS) care cooperează cu acestea pentru a achiziționa sau a moderniza echipamente sau pentru a investi în infrastructură. Cererea de propuneri se bazează pe criteriile de clasificare (stabilite în temeiul D9G) și pe proceduri clare și transparente.</w:t>
            </w:r>
          </w:p>
          <w:p w14:paraId="43BEEA4B" w14:textId="77777777" w:rsidR="00A60DDE" w:rsidRDefault="00A60DDE">
            <w:pPr>
              <w:spacing w:after="0" w:line="240" w:lineRule="auto"/>
              <w:textAlignment w:val="baseline"/>
              <w:rPr>
                <w:rFonts w:ascii="Times New Roman" w:hAnsi="Times New Roman" w:cs="Times New Roman"/>
                <w:noProof/>
                <w:color w:val="000000"/>
                <w:sz w:val="18"/>
                <w:szCs w:val="18"/>
              </w:rPr>
            </w:pPr>
          </w:p>
          <w:p w14:paraId="0E2F0828" w14:textId="29E6355B" w:rsidR="00A60DDE" w:rsidRDefault="00095506">
            <w:pPr>
              <w:pStyle w:val="P68B1DB1-Normal34"/>
              <w:spacing w:after="0" w:line="240" w:lineRule="auto"/>
              <w:textAlignment w:val="baseline"/>
              <w:rPr>
                <w:noProof/>
                <w:color w:val="000000"/>
              </w:rPr>
            </w:pPr>
            <w:r>
              <w:rPr>
                <w:noProof/>
              </w:rPr>
              <w:t>Investițiile în infrastructură sau achiziționarea de echipamente medicale contribuie la îmbunătățirea calității asistenței medicale și la asigurarea unui acces prompt și cuprinzător la asistența medicală spitalicească.</w:t>
            </w:r>
          </w:p>
          <w:p w14:paraId="3D588FE4" w14:textId="77777777" w:rsidR="00A60DDE" w:rsidRDefault="00095506">
            <w:pPr>
              <w:pStyle w:val="P68B1DB1-Normal34"/>
              <w:spacing w:after="0" w:line="240" w:lineRule="auto"/>
              <w:textAlignment w:val="baseline"/>
              <w:rPr>
                <w:noProof/>
                <w:color w:val="000000"/>
              </w:rPr>
            </w:pPr>
            <w:r>
              <w:rPr>
                <w:noProof/>
              </w:rPr>
              <w:t>Criteriile de selecție pentru cererea de propuneri din cadrul planului de redresare și reziliență stabilesc că:</w:t>
            </w:r>
          </w:p>
          <w:p w14:paraId="099501DC" w14:textId="77777777" w:rsidR="00A60DDE" w:rsidRDefault="00095506">
            <w:pPr>
              <w:pStyle w:val="P68B1DB1-Normal34"/>
              <w:numPr>
                <w:ilvl w:val="0"/>
                <w:numId w:val="22"/>
              </w:numPr>
              <w:spacing w:after="0" w:line="240" w:lineRule="auto"/>
              <w:ind w:left="213" w:hanging="142"/>
              <w:rPr>
                <w:noProof/>
                <w:color w:val="000000"/>
              </w:rPr>
            </w:pPr>
            <w:r>
              <w:rPr>
                <w:noProof/>
              </w:rPr>
              <w:t>sprijinul acoperă exclusiv spitalele și centrele de asistență medicală ambulatorie specializate (AOS) calificate în cadrul Rețelei oncologice naționale care fac parte din structurile acestor spitale;</w:t>
            </w:r>
          </w:p>
          <w:p w14:paraId="34751B35" w14:textId="7F99AF5C" w:rsidR="00A60DDE" w:rsidRDefault="00095506">
            <w:pPr>
              <w:pStyle w:val="P68B1DB1-Normal34"/>
              <w:numPr>
                <w:ilvl w:val="0"/>
                <w:numId w:val="22"/>
              </w:numPr>
              <w:spacing w:after="0" w:line="240" w:lineRule="auto"/>
              <w:ind w:left="213" w:hanging="142"/>
              <w:rPr>
                <w:noProof/>
                <w:color w:val="000000"/>
              </w:rPr>
            </w:pPr>
            <w:r>
              <w:rPr>
                <w:noProof/>
              </w:rPr>
              <w:t>investițiile selectate, inclusiv cele care vizează centrele de asistență medicală ambulatorie specializate cooperante, nu sunt sprijinite din alte fonduri ale UE decât MRR.</w:t>
            </w:r>
          </w:p>
          <w:p w14:paraId="0BA18245" w14:textId="77777777" w:rsidR="00A60DDE" w:rsidRDefault="00A60DDE">
            <w:pPr>
              <w:spacing w:after="0" w:line="240" w:lineRule="auto"/>
              <w:ind w:left="213"/>
              <w:rPr>
                <w:rFonts w:ascii="Times New Roman" w:hAnsi="Times New Roman" w:cs="Times New Roman"/>
                <w:noProof/>
                <w:color w:val="000000"/>
                <w:sz w:val="18"/>
                <w:szCs w:val="18"/>
              </w:rPr>
            </w:pPr>
          </w:p>
          <w:p w14:paraId="09194C74" w14:textId="4E0F4584" w:rsidR="00A60DDE" w:rsidRDefault="00095506">
            <w:pPr>
              <w:pStyle w:val="P68B1DB1-Normal34"/>
              <w:spacing w:after="0" w:line="240" w:lineRule="auto"/>
              <w:textAlignment w:val="baseline"/>
              <w:rPr>
                <w:noProof/>
              </w:rPr>
            </w:pPr>
            <w:r>
              <w:rPr>
                <w:noProof/>
              </w:rPr>
              <w:t>Sprijinul acoperă numai domeniul de aplicare al activităților legate de furnizarea de servicii de sănătate finanțate de Fondul Național de Sănătate și nu acoperă activitățile comerciale.</w:t>
            </w:r>
          </w:p>
        </w:tc>
      </w:tr>
      <w:tr w:rsidR="00A60DDE" w14:paraId="1642FEB4"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C9BDA3" w14:textId="3AEAB87D"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D13G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7CE6B1" w14:textId="59B45D97" w:rsidR="00A60DDE" w:rsidRDefault="00095506">
            <w:pPr>
              <w:pStyle w:val="P68B1DB1-Normal34"/>
              <w:pBdr>
                <w:top w:val="nil"/>
                <w:left w:val="nil"/>
                <w:bottom w:val="nil"/>
                <w:right w:val="nil"/>
                <w:between w:val="nil"/>
              </w:pBdr>
              <w:spacing w:after="0" w:line="240" w:lineRule="auto"/>
              <w:rPr>
                <w:noProof/>
                <w:color w:val="006100"/>
              </w:rPr>
            </w:pPr>
            <w:r>
              <w:rPr>
                <w:noProof/>
              </w:rPr>
              <w:t>D1.1.1 Modernizarea centrelor de îngrijire foarte specializate și a altor furnizori de servicii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AACAEC" w14:textId="77773CF3"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37A988" w14:textId="45E94B51" w:rsidR="00A60DDE" w:rsidRDefault="00095506">
            <w:pPr>
              <w:pStyle w:val="P68B1DB1-Normal75"/>
              <w:pBdr>
                <w:top w:val="nil"/>
                <w:left w:val="nil"/>
                <w:bottom w:val="nil"/>
                <w:right w:val="nil"/>
                <w:between w:val="nil"/>
              </w:pBdr>
              <w:spacing w:after="0" w:line="240" w:lineRule="auto"/>
              <w:rPr>
                <w:noProof/>
              </w:rPr>
            </w:pPr>
            <w:r>
              <w:rPr>
                <w:noProof/>
              </w:rPr>
              <w:t>Spitale ale Rețelei Naționale Oncologice cu investiții în construcții sau reconstrucție sau echipamente medicale achiziționate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6FB288" w14:textId="77777777" w:rsidR="00A60DDE" w:rsidRDefault="00A60DDE">
            <w:pPr>
              <w:pBdr>
                <w:top w:val="nil"/>
                <w:left w:val="nil"/>
                <w:bottom w:val="nil"/>
                <w:right w:val="nil"/>
                <w:between w:val="nil"/>
              </w:pBdr>
              <w:spacing w:after="0" w:line="240" w:lineRule="auto"/>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120C302" w14:textId="667FE378"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E5CEA9" w14:textId="53466BD4"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36064D" w14:textId="4FA379C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59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29CC12A" w14:textId="4D84D33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AB5894" w14:textId="7BA7B6B9"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71E3F4" w14:textId="6C19DDED" w:rsidR="00A60DDE" w:rsidRDefault="00095506">
            <w:pPr>
              <w:pStyle w:val="P68B1DB1-Normal75"/>
              <w:spacing w:after="0" w:line="240" w:lineRule="auto"/>
              <w:textAlignment w:val="baseline"/>
              <w:rPr>
                <w:noProof/>
              </w:rPr>
            </w:pPr>
            <w:r>
              <w:rPr>
                <w:noProof/>
              </w:rPr>
              <w:t>Numărul de spitale din cadrul Rețelei Naționale Oncologice care dețin un certificat care confirmă lucrările de construcție sau de reconstrucție sau o dovadă a livrării echipamentelor medicale achiziționate.</w:t>
            </w:r>
          </w:p>
        </w:tc>
      </w:tr>
      <w:tr w:rsidR="00A60DDE" w14:paraId="27C6566A"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984F99" w14:textId="3763BDB7"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D14G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327448" w14:textId="0871EF9F"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D1.1.1 Modernizarea centrelor de îngrijire foarte specializate și a altor furnizori de servicii medicale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A39D83" w14:textId="16026DF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BDE7CA3" w14:textId="7640A5D1"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Spitale ale Rețelei Naționale Cardiologice cu investiții în construcții sau reconstrucție sau echipamente medicale achiziționate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604F15" w14:textId="29263904"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6C6B89D" w14:textId="3A660C1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A52CA9" w14:textId="77EBC78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AF3020" w14:textId="2B5307D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74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D62892" w14:textId="2B61D0E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DF4713" w14:textId="6297EE0E"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B67C2B" w14:textId="79947B81" w:rsidR="00A60DDE" w:rsidRDefault="00095506">
            <w:pPr>
              <w:pStyle w:val="P68B1DB1-Normal75"/>
              <w:spacing w:after="0" w:line="240" w:lineRule="auto"/>
              <w:textAlignment w:val="baseline"/>
              <w:rPr>
                <w:noProof/>
              </w:rPr>
            </w:pPr>
            <w:r>
              <w:rPr>
                <w:noProof/>
              </w:rPr>
              <w:t>Numărul de spitale din cadrul Rețelei Naționale de Cardiologie care dețin un certificat care confirmă lucrările de construcție sau de reconstrucție sau o dovadă a livrării echipamentelor medicale achiziționate.</w:t>
            </w:r>
          </w:p>
        </w:tc>
      </w:tr>
      <w:tr w:rsidR="00A60DDE" w14:paraId="27F4B53B"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03E368" w14:textId="5052FDB2"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D15G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3802CC" w14:textId="1ADB7CFE" w:rsidR="00A60DDE" w:rsidRDefault="00095506">
            <w:pPr>
              <w:pStyle w:val="P68B1DB1-Normal34"/>
              <w:pBdr>
                <w:top w:val="nil"/>
                <w:left w:val="nil"/>
                <w:bottom w:val="nil"/>
                <w:right w:val="nil"/>
                <w:between w:val="nil"/>
              </w:pBdr>
              <w:spacing w:after="0" w:line="240" w:lineRule="auto"/>
              <w:rPr>
                <w:noProof/>
                <w:color w:val="006100"/>
              </w:rPr>
            </w:pPr>
            <w:r>
              <w:rPr>
                <w:noProof/>
              </w:rPr>
              <w:t>D1.1.2 Transformarea digitală a asistenței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D002E2" w14:textId="7156E241"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0B6979" w14:textId="2D32CA7B" w:rsidR="00A60DDE" w:rsidRDefault="00095506">
            <w:pPr>
              <w:pStyle w:val="P68B1DB1-Normal34"/>
              <w:pBdr>
                <w:top w:val="nil"/>
                <w:left w:val="nil"/>
                <w:bottom w:val="nil"/>
                <w:right w:val="nil"/>
                <w:between w:val="nil"/>
              </w:pBdr>
              <w:spacing w:after="0" w:line="240" w:lineRule="auto"/>
              <w:rPr>
                <w:noProof/>
                <w:color w:val="000000"/>
              </w:rPr>
            </w:pPr>
            <w:r>
              <w:rPr>
                <w:noProof/>
              </w:rPr>
              <w:t>Lansarea unui instrument de analiză a sănătății pacienților</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DA41D7" w14:textId="108E95B2" w:rsidR="00A60DDE" w:rsidRDefault="00095506">
            <w:pPr>
              <w:pStyle w:val="P68B1DB1-Normal34"/>
              <w:pBdr>
                <w:top w:val="nil"/>
                <w:left w:val="nil"/>
                <w:bottom w:val="nil"/>
                <w:right w:val="nil"/>
                <w:between w:val="nil"/>
              </w:pBdr>
              <w:spacing w:after="0" w:line="240" w:lineRule="auto"/>
              <w:rPr>
                <w:noProof/>
                <w:color w:val="006100"/>
              </w:rPr>
            </w:pPr>
            <w:r>
              <w:rPr>
                <w:noProof/>
              </w:rPr>
              <w:t>A fost lansat un instrument pentru analiza sănătății pacienților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1CAAC0"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CF52D4"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A9690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2E2AF9" w14:textId="49118C4E"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233639B" w14:textId="4140607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8810049" w14:textId="5DC227D9" w:rsidR="00A60DDE" w:rsidRDefault="00095506">
            <w:pPr>
              <w:pStyle w:val="P68B1DB1-Normal22"/>
              <w:spacing w:after="0" w:line="240" w:lineRule="auto"/>
              <w:textAlignment w:val="baseline"/>
              <w:rPr>
                <w:noProof/>
              </w:rPr>
            </w:pPr>
            <w:r>
              <w:rPr>
                <w:noProof/>
                <w:color w:val="000000" w:themeColor="text1"/>
              </w:rPr>
              <w:t>Un instrument care sprijină analiza stării de sănătate a pacienților și</w:t>
            </w:r>
            <w:r>
              <w:rPr>
                <w:noProof/>
              </w:rPr>
              <w:br/>
            </w:r>
            <w:r>
              <w:rPr>
                <w:noProof/>
                <w:color w:val="000000" w:themeColor="text1"/>
              </w:rPr>
              <w:t>agregarea datelor de la dispozitivele care efectuează măsurători medicale sau ale stilului de viață se pune la dispoziție în contul de internet al pacientului (Internetowe Konto Pacjenta) și în Gabinet.gov.pl.</w:t>
            </w:r>
          </w:p>
        </w:tc>
      </w:tr>
      <w:tr w:rsidR="00A60DDE" w14:paraId="2526C0D6"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63C057" w14:textId="7C7F8F83"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D17G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D69E32" w14:textId="44B19312" w:rsidR="00A60DDE" w:rsidRDefault="00095506">
            <w:pPr>
              <w:pStyle w:val="P68B1DB1-Normal34"/>
              <w:pBdr>
                <w:top w:val="nil"/>
                <w:left w:val="nil"/>
                <w:bottom w:val="nil"/>
                <w:right w:val="nil"/>
                <w:between w:val="nil"/>
              </w:pBdr>
              <w:spacing w:after="0" w:line="240" w:lineRule="auto"/>
              <w:rPr>
                <w:noProof/>
                <w:color w:val="006100"/>
              </w:rPr>
            </w:pPr>
            <w:r>
              <w:rPr>
                <w:noProof/>
              </w:rPr>
              <w:t>D1.1.2 Transformarea digitală a asistenței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7FE724" w14:textId="6B63E464"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D31709" w14:textId="149A8442" w:rsidR="00A60DDE" w:rsidRDefault="00095506">
            <w:pPr>
              <w:pStyle w:val="P68B1DB1-Normal34"/>
              <w:pBdr>
                <w:top w:val="nil"/>
                <w:left w:val="nil"/>
                <w:bottom w:val="nil"/>
                <w:right w:val="nil"/>
                <w:between w:val="nil"/>
              </w:pBdr>
              <w:spacing w:after="0" w:line="240" w:lineRule="auto"/>
              <w:rPr>
                <w:noProof/>
                <w:color w:val="000000"/>
              </w:rPr>
            </w:pPr>
            <w:r>
              <w:rPr>
                <w:noProof/>
              </w:rPr>
              <w:t>Centrul de digitalizare a documentației medicale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78EA1" w14:textId="4559870D" w:rsidR="00A60DDE" w:rsidRDefault="00095506">
            <w:pPr>
              <w:pStyle w:val="P68B1DB1-Normal34"/>
              <w:pBdr>
                <w:top w:val="nil"/>
                <w:left w:val="nil"/>
                <w:bottom w:val="nil"/>
                <w:right w:val="nil"/>
                <w:between w:val="nil"/>
              </w:pBdr>
              <w:spacing w:after="0" w:line="240" w:lineRule="auto"/>
              <w:rPr>
                <w:noProof/>
                <w:color w:val="006100"/>
              </w:rPr>
            </w:pPr>
            <w:r>
              <w:rPr>
                <w:noProof/>
              </w:rPr>
              <w:t>Înființarea Centrului de digitalizare a documentației medicale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97B8F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9EB22A"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25F36F"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9F8E507" w14:textId="169EDBC3"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77398C" w14:textId="676179BD"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E7A160" w14:textId="218846D1" w:rsidR="00A60DDE" w:rsidRDefault="00095506">
            <w:pPr>
              <w:pStyle w:val="P68B1DB1-Normal34"/>
              <w:spacing w:after="0" w:line="240" w:lineRule="auto"/>
              <w:textAlignment w:val="baseline"/>
              <w:rPr>
                <w:noProof/>
              </w:rPr>
            </w:pPr>
            <w:r>
              <w:rPr>
                <w:noProof/>
              </w:rPr>
              <w:t>Se înființează un centru de digitalizare a documentației medicale și cel puțin 300 de spitale din rețeaua de spitale sunt conectate la un registru electronic pentru documentația medicală.</w:t>
            </w:r>
          </w:p>
        </w:tc>
      </w:tr>
      <w:tr w:rsidR="00A60DDE" w14:paraId="2AD58EAB"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AD83980" w14:textId="04117CC6"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D18G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22B612" w14:textId="2DEC57ED" w:rsidR="00A60DDE" w:rsidRDefault="00095506">
            <w:pPr>
              <w:pStyle w:val="P68B1DB1-Normal34"/>
              <w:pBdr>
                <w:top w:val="nil"/>
                <w:left w:val="nil"/>
                <w:bottom w:val="nil"/>
                <w:right w:val="nil"/>
                <w:between w:val="nil"/>
              </w:pBdr>
              <w:spacing w:after="0" w:line="240" w:lineRule="auto"/>
              <w:rPr>
                <w:noProof/>
                <w:color w:val="006100"/>
              </w:rPr>
            </w:pPr>
            <w:r>
              <w:rPr>
                <w:noProof/>
              </w:rPr>
              <w:t>D1.1.2 Transformarea digitală a asistenței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2AFB0D3" w14:textId="5EF5E814"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91F51CA" w14:textId="1AD51DF6" w:rsidR="00A60DDE" w:rsidRDefault="00095506">
            <w:pPr>
              <w:pStyle w:val="P68B1DB1-Normal34"/>
              <w:pBdr>
                <w:top w:val="nil"/>
                <w:left w:val="nil"/>
                <w:bottom w:val="nil"/>
                <w:right w:val="nil"/>
                <w:between w:val="nil"/>
              </w:pBdr>
              <w:spacing w:after="0" w:line="240" w:lineRule="auto"/>
              <w:rPr>
                <w:noProof/>
                <w:color w:val="000000"/>
              </w:rPr>
            </w:pPr>
            <w:r>
              <w:rPr>
                <w:noProof/>
              </w:rPr>
              <w:t>Rapoartele de externare din spital digitalizate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9182A1" w14:textId="3642C7B2" w:rsidR="00A60DDE" w:rsidRDefault="00095506">
            <w:pPr>
              <w:pStyle w:val="P68B1DB1-Normal75"/>
              <w:pBdr>
                <w:top w:val="nil"/>
                <w:left w:val="nil"/>
                <w:bottom w:val="nil"/>
                <w:right w:val="nil"/>
                <w:between w:val="nil"/>
              </w:pBdr>
              <w:spacing w:after="0" w:line="240" w:lineRule="auto"/>
              <w:rPr>
                <w:noProof/>
                <w:color w:val="006100"/>
              </w:rPr>
            </w:pPr>
            <w:r>
              <w:rPr>
                <w:noProof/>
              </w:rPr>
              <w:t>90 % din rapoartele de descărcare de gestiune (karta informacyjna z leczenia szpitalnego) au fost digitalizate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4D48EE"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F3C89F"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6466C3"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C70900" w14:textId="63341AAA"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B12DC0" w14:textId="60EFD0A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034F632" w14:textId="1370BEB2" w:rsidR="00A60DDE" w:rsidRDefault="00095506">
            <w:pPr>
              <w:pStyle w:val="P68B1DB1-Normal34"/>
              <w:spacing w:after="0" w:line="240" w:lineRule="auto"/>
              <w:textAlignment w:val="baseline"/>
              <w:rPr>
                <w:noProof/>
              </w:rPr>
            </w:pPr>
            <w:r>
              <w:rPr>
                <w:noProof/>
              </w:rPr>
              <w:t>90 % din rapoartele de externare (karta informacyjna z leczenia szpitalnego), din tratamentul spitalicesc plătit de Fondul Național de Sănătate, emise în perioada 2023-2025 de la cel puțin 300 de spitale din rețeaua spitalicească, trebuie să fie disponibile în dosarul electronic de sănătate.</w:t>
            </w:r>
          </w:p>
        </w:tc>
      </w:tr>
      <w:tr w:rsidR="00A60DDE" w14:paraId="55A76B8A"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BBD7A9" w14:textId="21D4DED3"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D20G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4D24CC" w14:textId="7E74FDAB" w:rsidR="00A60DDE" w:rsidRDefault="00095506">
            <w:pPr>
              <w:pStyle w:val="P68B1DB1-Normal34"/>
              <w:pBdr>
                <w:top w:val="nil"/>
                <w:left w:val="nil"/>
                <w:bottom w:val="nil"/>
                <w:right w:val="nil"/>
                <w:between w:val="nil"/>
              </w:pBdr>
              <w:spacing w:after="0" w:line="240" w:lineRule="auto"/>
              <w:rPr>
                <w:noProof/>
                <w:color w:val="006100"/>
              </w:rPr>
            </w:pPr>
            <w:r>
              <w:rPr>
                <w:noProof/>
              </w:rPr>
              <w:t>D1.1.2 Transformarea digitală a asistenței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8954A4" w14:textId="6934921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80E9B4" w14:textId="20D557B2"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Noi modele digitale pentru documentele medicale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9254DE" w14:textId="77777777" w:rsidR="00A60DDE" w:rsidRDefault="00A60DDE">
            <w:pPr>
              <w:pBdr>
                <w:top w:val="nil"/>
                <w:left w:val="nil"/>
                <w:bottom w:val="nil"/>
                <w:right w:val="nil"/>
                <w:between w:val="nil"/>
              </w:pBdr>
              <w:spacing w:after="0" w:line="240" w:lineRule="auto"/>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CE7E26" w14:textId="33920B4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CA45CF" w14:textId="04C669F3"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FE4CD0C" w14:textId="4ADB3EA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9B1DB4" w14:textId="57FE9EE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4CF3BC9" w14:textId="5E22B36C"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356D1B" w14:textId="744A1637" w:rsidR="00A60DDE" w:rsidRDefault="00095506">
            <w:pPr>
              <w:pStyle w:val="P68B1DB1-Normal34"/>
              <w:spacing w:after="0" w:line="240" w:lineRule="auto"/>
              <w:textAlignment w:val="baseline"/>
              <w:rPr>
                <w:noProof/>
              </w:rPr>
            </w:pPr>
            <w:r>
              <w:rPr>
                <w:noProof/>
              </w:rPr>
              <w:t>Noile modele digitale pentru documentele medicale sunt puse la dispoziția medicilor.</w:t>
            </w:r>
          </w:p>
        </w:tc>
      </w:tr>
      <w:tr w:rsidR="00A60DDE" w14:paraId="40B104B0"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A84661" w14:textId="59432FF8"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D21G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3A0A133" w14:textId="01941DD5" w:rsidR="00A60DDE" w:rsidRDefault="00095506">
            <w:pPr>
              <w:pStyle w:val="P68B1DB1-Normal34"/>
              <w:pBdr>
                <w:top w:val="nil"/>
                <w:left w:val="nil"/>
                <w:bottom w:val="nil"/>
                <w:right w:val="nil"/>
                <w:between w:val="nil"/>
              </w:pBdr>
              <w:spacing w:after="0" w:line="240" w:lineRule="auto"/>
              <w:rPr>
                <w:noProof/>
                <w:color w:val="006100"/>
              </w:rPr>
            </w:pPr>
            <w:r>
              <w:rPr>
                <w:noProof/>
              </w:rPr>
              <w:t>D1.1.2 Transformarea digitală a asistenței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54F093" w14:textId="2A49149A"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9E2972" w14:textId="50A80F78"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Lansarea unui instrument de sprijin bazat pe IA pentru medici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A8BF6D" w14:textId="5A66446C" w:rsidR="00A60DDE" w:rsidRDefault="00095506">
            <w:pPr>
              <w:pStyle w:val="P68B1DB1-Normal75"/>
              <w:pBdr>
                <w:top w:val="nil"/>
                <w:left w:val="nil"/>
                <w:bottom w:val="nil"/>
                <w:right w:val="nil"/>
                <w:between w:val="nil"/>
              </w:pBdr>
              <w:spacing w:after="0" w:line="240" w:lineRule="auto"/>
              <w:rPr>
                <w:noProof/>
                <w:color w:val="006100"/>
              </w:rPr>
            </w:pPr>
            <w:r>
              <w:rPr>
                <w:noProof/>
              </w:rPr>
              <w:t>A fost lansat un instrument de sprijin bazat pe IA pentru medici</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C4773C"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1F334D"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7001094"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88BE21" w14:textId="205BD2E1"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F2D2F4" w14:textId="7DB5CDF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E93A1BF" w14:textId="12753A1B" w:rsidR="00A60DDE" w:rsidRDefault="00095506">
            <w:pPr>
              <w:pStyle w:val="P68B1DB1-Normal34"/>
              <w:spacing w:after="0" w:line="240" w:lineRule="auto"/>
              <w:textAlignment w:val="baseline"/>
              <w:rPr>
                <w:noProof/>
              </w:rPr>
            </w:pPr>
            <w:r>
              <w:rPr>
                <w:noProof/>
              </w:rPr>
              <w:t>Se lansează un instrument de sprijin bazat pe IA pentru medici. Instrumentul este pus la dispoziție în cel puțin 300 de spitale din rețeaua de spitale.</w:t>
            </w:r>
          </w:p>
        </w:tc>
      </w:tr>
      <w:tr w:rsidR="00A60DDE" w14:paraId="1B0737A5"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843BA8B" w14:textId="1E16EFFB"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D23G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9582E6E" w14:textId="71012096" w:rsidR="00A60DDE" w:rsidRDefault="00095506">
            <w:pPr>
              <w:pStyle w:val="P68B1DB1-Normal34"/>
              <w:pBdr>
                <w:top w:val="nil"/>
                <w:left w:val="nil"/>
                <w:bottom w:val="nil"/>
                <w:right w:val="nil"/>
                <w:between w:val="nil"/>
              </w:pBdr>
              <w:spacing w:after="0" w:line="240" w:lineRule="auto"/>
              <w:rPr>
                <w:noProof/>
                <w:color w:val="006100"/>
              </w:rPr>
            </w:pPr>
            <w:r>
              <w:rPr>
                <w:noProof/>
              </w:rPr>
              <w:t>D2.1 Crearea condițiilor adecvate pentru creșterea numărului de personal medical</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F9F3D2" w14:textId="534C015E"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0BB288" w14:textId="25DD5C20"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Modificarea Legii privind învățământul superior și știința și profesiile de medic și stomatolog pentru a oferi un temei juridic pentru sprijinul financiar din anul universitar 2021/2022 pentru studenții din domeniul medicinei din Polonia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CCCCD2" w14:textId="3823FD75"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modificarea Legii privind învățământul superior și știința și profesiile de medic și stomatolog pentru a oferi un temei juridic pentru sprijinul financiar din anul universitar 2021/2022 pentru studenții din domeniul medicinei din Polonia la nivel universitar (inclusiv studenții care și-au început studiile înainte de anul universitar 2021/2022), indicând intrarea sa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DA5DB7"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4A35FC"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05CBBA"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7658DD8" w14:textId="57BF566E"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FF40D4" w14:textId="6263AD8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66E90C" w14:textId="7464753F" w:rsidR="00A60DDE" w:rsidRDefault="00095506">
            <w:pPr>
              <w:pStyle w:val="P68B1DB1-Normal22"/>
              <w:spacing w:after="0" w:line="240" w:lineRule="auto"/>
              <w:textAlignment w:val="baseline"/>
              <w:rPr>
                <w:noProof/>
              </w:rPr>
            </w:pPr>
            <w:r>
              <w:rPr>
                <w:noProof/>
                <w:color w:val="000000" w:themeColor="text1"/>
              </w:rPr>
              <w:t>Legea va intra în vigoare și va introduce posibilitatea utilizării sprijinului financiar sub forma unui împrumut pentru studenții cu studii remunerate în domeniul medicinei la nivel universitar. Studentul trebuie să poată solicita rambursarea anticipată a împrumutului sau prelungirea perioadei de rambursare a acestuia.</w:t>
            </w:r>
            <w:r>
              <w:rPr>
                <w:noProof/>
              </w:rPr>
              <w:br/>
            </w:r>
            <w:r>
              <w:rPr>
                <w:noProof/>
                <w:color w:val="000000" w:themeColor="text1"/>
              </w:rPr>
              <w:t>După îndeplinirea anumitor condiții specificate în lege, studentul va putea solicita o remitere parțială sau completă a împrumutului pentru studii medicale.</w:t>
            </w:r>
            <w:r>
              <w:rPr>
                <w:noProof/>
              </w:rPr>
              <w:br/>
            </w:r>
            <w:r>
              <w:rPr>
                <w:noProof/>
                <w:color w:val="000000" w:themeColor="text1"/>
              </w:rPr>
              <w:t>Studenții care beneficiază de sprijin vor putea solicita o remitere completă a împrumutului dacă îndeplinesc următoarele condiții:</w:t>
            </w:r>
            <w:r>
              <w:rPr>
                <w:noProof/>
              </w:rPr>
              <w:br/>
            </w:r>
            <w:r>
              <w:rPr>
                <w:noProof/>
                <w:color w:val="000000" w:themeColor="text1"/>
              </w:rPr>
              <w:t>- să lucreze după absolvire pentru o perioadă de cel puțin 10 ani în termen de 12 ani consecutivi de la data absolvirii, în entități care desfășoară activități medicale pe teritoriul Republicii Polone și care furnizează servicii de asistență medicală finanțate din fonduri publice și</w:t>
            </w:r>
            <w:r>
              <w:rPr>
                <w:noProof/>
              </w:rPr>
              <w:t xml:space="preserve"> </w:t>
            </w:r>
            <w:r>
              <w:rPr>
                <w:noProof/>
              </w:rPr>
              <w:br/>
              <w:t xml:space="preserve"> </w:t>
            </w:r>
            <w:r>
              <w:rPr>
                <w:noProof/>
                <w:color w:val="000000" w:themeColor="text1"/>
              </w:rPr>
              <w:t>- să obțină titlul de specialist în perioada menționată mai sus, într-un domeniu de medicină recunoscut ca prioritate în ziua în care medicul începe pregătirea de specializare.</w:t>
            </w:r>
            <w:r>
              <w:rPr>
                <w:noProof/>
              </w:rPr>
              <w:br/>
            </w:r>
            <w:r>
              <w:rPr>
                <w:noProof/>
                <w:color w:val="000000" w:themeColor="text1"/>
              </w:rPr>
              <w:t>O persoană care îndeplinește aceste două condiții nu este obligată să ramburseze împrumutul pentru studii medicale. Condițiile detaliate și procedura de anulare a împrumutului se specifică în actul legislativ.</w:t>
            </w:r>
          </w:p>
        </w:tc>
      </w:tr>
      <w:tr w:rsidR="00A60DDE" w14:paraId="7292AE5C"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61822BC" w14:textId="216CD255"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D25G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F9623C" w14:textId="66CDBC27" w:rsidR="00A60DDE" w:rsidRDefault="00095506">
            <w:pPr>
              <w:pStyle w:val="P68B1DB1-Normal34"/>
              <w:pBdr>
                <w:top w:val="nil"/>
                <w:left w:val="nil"/>
                <w:bottom w:val="nil"/>
                <w:right w:val="nil"/>
                <w:between w:val="nil"/>
              </w:pBdr>
              <w:spacing w:after="0" w:line="240" w:lineRule="auto"/>
              <w:rPr>
                <w:noProof/>
                <w:color w:val="006100"/>
              </w:rPr>
            </w:pPr>
            <w:r>
              <w:rPr>
                <w:noProof/>
              </w:rPr>
              <w:t>D2.1 Crearea condițiilor adecvate pentru creșterea numărului de personal medical</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3A6CC4" w14:textId="7DB803A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6B744C" w14:textId="51B47E7E"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Legii legislative privind profesia de paramedic și autoguvernarea paramedicilor, care introduce posibilitatea de a crea programe de al doilea ciclu în domeniul pregătirii pentru profesia de paramedic</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5939F7" w14:textId="3DF17C52"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Legea legislativă privind profesia de paramedic și autoguvernarea paramedicilor care indică intrarea sa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116E9A"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CCFACA"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BDDFFD"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346C71F" w14:textId="743B20B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D51E4C7" w14:textId="1B62FEE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C26B14" w14:textId="15CC17A9" w:rsidR="00A60DDE" w:rsidRDefault="00095506">
            <w:pPr>
              <w:pStyle w:val="P68B1DB1-Normal34"/>
              <w:spacing w:after="0" w:line="240" w:lineRule="auto"/>
              <w:textAlignment w:val="baseline"/>
              <w:rPr>
                <w:noProof/>
              </w:rPr>
            </w:pPr>
            <w:r>
              <w:rPr>
                <w:noProof/>
              </w:rPr>
              <w:t>Pentru a îmbunătăți competențele paramedicilor, intră în vigoare un act legislativ care permite crearea de programe de al doilea ciclu în domeniul paramedicilor, definite ca studii de doi ani care se încheie cu obținerea unei diplome de master. Obținerea diplomei de master permite paramedicilor să obțină calificări suplimentare, ceea ce urmărește să se traducă într-un rang superior în categoria salarială.</w:t>
            </w:r>
          </w:p>
        </w:tc>
      </w:tr>
      <w:tr w:rsidR="00A60DDE" w14:paraId="359BC8C0"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E47588" w14:textId="15EE7945"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D27G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7DAC6F" w14:textId="78AEF799" w:rsidR="00A60DDE" w:rsidRDefault="00095506">
            <w:pPr>
              <w:pStyle w:val="P68B1DB1-Normal34"/>
              <w:pBdr>
                <w:top w:val="nil"/>
                <w:left w:val="nil"/>
                <w:bottom w:val="nil"/>
                <w:right w:val="nil"/>
                <w:between w:val="nil"/>
              </w:pBdr>
              <w:spacing w:after="0" w:line="240" w:lineRule="auto"/>
              <w:rPr>
                <w:noProof/>
                <w:color w:val="006100"/>
              </w:rPr>
            </w:pPr>
            <w:r>
              <w:rPr>
                <w:noProof/>
              </w:rPr>
              <w:t>D2.1 Crearea condițiilor adecvate pentru creșterea numărului de personal medical</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4D09D9" w14:textId="6B5D96E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7F9668" w14:textId="14658849"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actelor juridice care vizează îmbunătățirea atractivității locurilor de muncă din domeniul medical și a condițiilor de muncă ale lucrătorilor din domeniul medical</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BA060C" w14:textId="162A0A33" w:rsidR="00A60DDE" w:rsidRDefault="00095506">
            <w:pPr>
              <w:pStyle w:val="P68B1DB1-Normal34"/>
              <w:pBdr>
                <w:top w:val="nil"/>
                <w:left w:val="nil"/>
                <w:bottom w:val="nil"/>
                <w:right w:val="nil"/>
                <w:between w:val="nil"/>
              </w:pBdr>
              <w:spacing w:after="0" w:line="240" w:lineRule="auto"/>
              <w:rPr>
                <w:noProof/>
                <w:color w:val="006100"/>
              </w:rPr>
            </w:pPr>
            <w:r>
              <w:rPr>
                <w:noProof/>
              </w:rPr>
              <w:t>Dispoziții din actele juridice care indică intrarea lor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86D445"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8A5A13"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AE39E2"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EF68AC" w14:textId="104D8EF1"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8F5298" w14:textId="0A715E0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3606F54" w14:textId="65366097" w:rsidR="00A60DDE" w:rsidRDefault="00095506">
            <w:pPr>
              <w:pStyle w:val="P68B1DB1-Normal22"/>
              <w:spacing w:after="0" w:line="240" w:lineRule="auto"/>
              <w:textAlignment w:val="baseline"/>
              <w:rPr>
                <w:noProof/>
              </w:rPr>
            </w:pPr>
            <w:r>
              <w:rPr>
                <w:noProof/>
                <w:color w:val="000000" w:themeColor="text1"/>
              </w:rPr>
              <w:t>Un pachet de acte juridice intră în vigoare și constă într-un regulament privind competența profesională a medicilor și a dentiștilor, o modificare a actului privind profesia de medic și de medic dentist, o modificare a regulamentului privind stagiul postuniversitar pentru medici și dentiști, o modificare a regulamentului privind programa de bază pentru educația în profesiile din învățământul profesional, o modificare a actului privind metoda de stabilire a celui mai mic salariu de bază al anumitor angajați care lucrează în entități din domeniul sănătății, inclusiv dispoziții privind:</w:t>
            </w:r>
            <w:r>
              <w:rPr>
                <w:noProof/>
              </w:rPr>
              <w:t xml:space="preserve"> </w:t>
            </w:r>
            <w:r>
              <w:rPr>
                <w:noProof/>
              </w:rPr>
              <w:br/>
            </w:r>
            <w:r>
              <w:rPr>
                <w:noProof/>
                <w:color w:val="000000" w:themeColor="text1"/>
              </w:rPr>
              <w:t>1) creșterea flexibilității procesului de educație medicală postuniversitară prin introducerea competențelor medicale certificate, făcând posibilă susținerea examenului de specializare după finalizarea penultimului an de specializare și schimbarea programului de stagiu postuniversitar;</w:t>
            </w:r>
            <w:r>
              <w:rPr>
                <w:noProof/>
              </w:rPr>
              <w:t xml:space="preserve"> </w:t>
            </w:r>
            <w:r>
              <w:rPr>
                <w:noProof/>
              </w:rPr>
              <w:br/>
              <w:t xml:space="preserve"> </w:t>
            </w:r>
            <w:r>
              <w:rPr>
                <w:noProof/>
                <w:color w:val="000000" w:themeColor="text1"/>
              </w:rPr>
              <w:t xml:space="preserve">2) introducerea unui sistem central de calificare și de alocare a locurilor de specializare; </w:t>
            </w:r>
            <w:r>
              <w:rPr>
                <w:noProof/>
              </w:rPr>
              <w:br/>
              <w:t xml:space="preserve"> </w:t>
            </w:r>
            <w:r>
              <w:rPr>
                <w:noProof/>
                <w:color w:val="000000" w:themeColor="text1"/>
              </w:rPr>
              <w:t>3) eliberarea medicilor prin lansarea de cursuri de formare de specialitate în domeniul ajutorului operațional pentru asistenți medicali și paramedici;</w:t>
            </w:r>
            <w:r>
              <w:rPr>
                <w:noProof/>
              </w:rPr>
              <w:br/>
              <w:t xml:space="preserve"> </w:t>
            </w:r>
            <w:r>
              <w:rPr>
                <w:noProof/>
                <w:color w:val="000000" w:themeColor="text1"/>
              </w:rPr>
              <w:t>4) actualizarea celui mai mic salariu de bază al angajaților care lucrează în unitățile sanitare prin creșterea ratelor de muncă pentru toate grupurile profesionale menționate în Legea din 8 iunie 2017 și devansarea cu o jumătate de an a cerinței ca toate unitățile medicale să îndeplinească nivelurile garantate prin lege ale salariilor de bază pentru lucrătorii medicali: medici, dentiști, medici stagiari și dentiști, asistenți medicali, moașe, diagnosticieni de laborator, fizioterapeuți, farmaciști și alți profesioniști din domeniul medical și</w:t>
            </w:r>
            <w:r>
              <w:rPr>
                <w:noProof/>
              </w:rPr>
              <w:br/>
              <w:t xml:space="preserve"> </w:t>
            </w:r>
            <w:r>
              <w:rPr>
                <w:noProof/>
                <w:color w:val="000000" w:themeColor="text1"/>
              </w:rPr>
              <w:t>5) transferarea unor competențe de la asistenți medicali la îngrijitori medicali.</w:t>
            </w:r>
          </w:p>
        </w:tc>
      </w:tr>
      <w:tr w:rsidR="00A60DDE" w14:paraId="0F60F9F6"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F6C648" w14:textId="5B02C48B"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D29G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21A6E7" w14:textId="2DE45BF0" w:rsidR="00A60DDE" w:rsidRDefault="00095506">
            <w:pPr>
              <w:pStyle w:val="P68B1DB1-Normal34"/>
              <w:pBdr>
                <w:top w:val="nil"/>
                <w:left w:val="nil"/>
                <w:bottom w:val="nil"/>
                <w:right w:val="nil"/>
                <w:between w:val="nil"/>
              </w:pBdr>
              <w:spacing w:after="0" w:line="240" w:lineRule="auto"/>
              <w:rPr>
                <w:noProof/>
                <w:color w:val="006100"/>
              </w:rPr>
            </w:pPr>
            <w:r>
              <w:rPr>
                <w:noProof/>
              </w:rPr>
              <w:t>D2.1.1 Investiții legate de modernizarea și modernizarea unităților de învățământ și de creșterea numărului de admiteri la studii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0CB139" w14:textId="35094C63"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F7D896" w14:textId="40C43134"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unui act juridic de instituire a unui sistem de stimulente pentru efectuarea și continuarea studiilor în facultățile medicale universitare selectate prin burse, finanțare pentru studii și mentorat</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3CB627" w14:textId="41A07D6B"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actul juridic care indică intrarea sa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24D0D5"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6C4CFA"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D1E53D"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544DDE" w14:textId="44F8506E"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3C2F63" w14:textId="05326EA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F2DEFA" w14:textId="7ACB6BE1" w:rsidR="00A60DDE" w:rsidRDefault="00095506">
            <w:pPr>
              <w:pStyle w:val="P68B1DB1-Normal22"/>
              <w:spacing w:after="0" w:line="240" w:lineRule="auto"/>
              <w:textAlignment w:val="baseline"/>
              <w:rPr>
                <w:noProof/>
              </w:rPr>
            </w:pPr>
            <w:r>
              <w:rPr>
                <w:noProof/>
              </w:rPr>
              <w:t xml:space="preserve">Actul </w:t>
            </w:r>
            <w:r>
              <w:rPr>
                <w:noProof/>
                <w:color w:val="000000" w:themeColor="text1"/>
              </w:rPr>
              <w:t xml:space="preserve">juridic care introduce sistemul temporar de stimulente pentru creșterea atractivității studiilor medicale include posibilitatea: </w:t>
            </w:r>
            <w:r>
              <w:rPr>
                <w:noProof/>
              </w:rPr>
              <w:br/>
            </w:r>
            <w:r>
              <w:rPr>
                <w:noProof/>
                <w:color w:val="000000" w:themeColor="text1"/>
              </w:rPr>
              <w:t>acordarea de burse, cofinanțarea studiilor plătite și finanțarea mentoratului studenților din serviciile medicale de asistență medicală, de moașă și de urgență; și</w:t>
            </w:r>
            <w:r>
              <w:rPr>
                <w:noProof/>
              </w:rPr>
              <w:br/>
              <w:t xml:space="preserve"> </w:t>
            </w:r>
            <w:r>
              <w:rPr>
                <w:noProof/>
                <w:color w:val="000000" w:themeColor="text1"/>
              </w:rPr>
              <w:t>- acordarea de burse pentru studenții din domeniile medicină, medicină și stomatologie, analiză medicală, precum și farmacie și fizioterapie.</w:t>
            </w:r>
            <w:r>
              <w:rPr>
                <w:noProof/>
              </w:rPr>
              <w:br/>
            </w:r>
            <w:r>
              <w:rPr>
                <w:noProof/>
                <w:color w:val="000000" w:themeColor="text1"/>
              </w:rPr>
              <w:t>Actul juridic de introducere a sistemului include obligația de a revizui performanța sistemului la sfârșitul perioadei MRR și de a analiza impactul sistemului de stimulente pus în aplicare asupra numărului de studenți în educație, cu scopul de a decide cu privire la posibila reluare a acestuia.</w:t>
            </w:r>
          </w:p>
        </w:tc>
      </w:tr>
      <w:tr w:rsidR="00A60DDE" w14:paraId="368859E4"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1A0EB9" w14:textId="68F6A2ED"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6B37C50" w14:textId="765A43B8" w:rsidR="00A60DDE" w:rsidRDefault="00095506">
            <w:pPr>
              <w:pStyle w:val="P68B1DB1-Normal34"/>
              <w:pBdr>
                <w:top w:val="nil"/>
                <w:left w:val="nil"/>
                <w:bottom w:val="nil"/>
                <w:right w:val="nil"/>
                <w:between w:val="nil"/>
              </w:pBdr>
              <w:spacing w:after="0" w:line="240" w:lineRule="auto"/>
              <w:rPr>
                <w:noProof/>
                <w:color w:val="006100"/>
              </w:rPr>
            </w:pPr>
            <w:r>
              <w:rPr>
                <w:noProof/>
              </w:rPr>
              <w:t>D2.1.1 Investiții legate de modernizarea și modernizarea unităților de învățământ și de creșterea numărului de admiteri la studii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EB4F03D" w14:textId="0BB50B7A"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E7132A5" w14:textId="3B8600A4" w:rsidR="00A60DDE" w:rsidRDefault="00095506">
            <w:pPr>
              <w:pStyle w:val="P68B1DB1-Normal34"/>
              <w:pBdr>
                <w:top w:val="nil"/>
                <w:left w:val="nil"/>
                <w:bottom w:val="nil"/>
                <w:right w:val="nil"/>
                <w:between w:val="nil"/>
              </w:pBdr>
              <w:spacing w:after="0" w:line="240" w:lineRule="auto"/>
              <w:rPr>
                <w:noProof/>
                <w:color w:val="000000"/>
              </w:rPr>
            </w:pPr>
            <w:r>
              <w:rPr>
                <w:noProof/>
              </w:rPr>
              <w:t>Burse sau cofinanțare pentru studenții la medicină</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B0BFA8" w14:textId="1ED36BB2"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B55019" w14:textId="2FD7568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CE8E2C" w14:textId="731EF16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310594" w14:textId="051FC208"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140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FBF34" w14:textId="2E6356A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F470FD3" w14:textId="33FFB21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436D4A4" w14:textId="735FCE08" w:rsidR="00A60DDE" w:rsidRDefault="00095506">
            <w:pPr>
              <w:pStyle w:val="P68B1DB1-Normal34"/>
              <w:spacing w:after="0" w:line="240" w:lineRule="auto"/>
              <w:textAlignment w:val="baseline"/>
              <w:rPr>
                <w:noProof/>
              </w:rPr>
            </w:pPr>
            <w:r>
              <w:rPr>
                <w:noProof/>
              </w:rPr>
              <w:t>Se semnează numărul de acorduri-cadru cu școlile medicale din învățământul superior pentru acordarea de burse sau cofinanțarea studiilor pentru cel puțin 7 600 de studenți. Plățile finale către școlile medicale din învățământul superior se efectuează.</w:t>
            </w:r>
          </w:p>
        </w:tc>
      </w:tr>
      <w:tr w:rsidR="00A60DDE" w14:paraId="415249C5"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74B7C7" w14:textId="3D6FF328"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BB51FE" w14:textId="0A1A5BC7" w:rsidR="00A60DDE" w:rsidRDefault="00095506">
            <w:pPr>
              <w:pStyle w:val="P68B1DB1-Normal34"/>
              <w:pBdr>
                <w:top w:val="nil"/>
                <w:left w:val="nil"/>
                <w:bottom w:val="nil"/>
                <w:right w:val="nil"/>
                <w:between w:val="nil"/>
              </w:pBdr>
              <w:spacing w:after="0" w:line="240" w:lineRule="auto"/>
              <w:rPr>
                <w:noProof/>
                <w:color w:val="006100"/>
              </w:rPr>
            </w:pPr>
            <w:r>
              <w:rPr>
                <w:noProof/>
              </w:rPr>
              <w:t>D2.1.1 Investiții legate de modernizarea și modernizarea unităților de învățământ și de creșterea numărului de admiteri la studii medicale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454B20" w14:textId="6AD7EDA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35FD9E6" w14:textId="722463E8" w:rsidR="00A60DDE" w:rsidRDefault="00095506">
            <w:pPr>
              <w:pStyle w:val="P68B1DB1-Normal34"/>
              <w:pBdr>
                <w:top w:val="nil"/>
                <w:left w:val="nil"/>
                <w:bottom w:val="nil"/>
                <w:right w:val="nil"/>
                <w:between w:val="nil"/>
              </w:pBdr>
              <w:spacing w:after="0" w:line="240" w:lineRule="auto"/>
              <w:rPr>
                <w:noProof/>
                <w:color w:val="000000"/>
              </w:rPr>
            </w:pPr>
            <w:r>
              <w:rPr>
                <w:noProof/>
              </w:rPr>
              <w:t>Unități de învățământ medical, biblioteci sau cămine studențești construite sau reconstruite sau renovate sau modernizate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F372D22" w14:textId="1E7823ED"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CB76BA" w14:textId="0206EF0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2967D56" w14:textId="5F0C8E4C"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25315D3" w14:textId="7FBBE0A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180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79015D" w14:textId="65A5B4B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363218" w14:textId="2111BE4C"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BE34D6" w14:textId="77777777" w:rsidR="00A60DDE" w:rsidRDefault="00095506">
            <w:pPr>
              <w:pStyle w:val="P68B1DB1-Normal75"/>
              <w:spacing w:after="0" w:line="240" w:lineRule="auto"/>
              <w:textAlignment w:val="baseline"/>
              <w:rPr>
                <w:noProof/>
              </w:rPr>
            </w:pPr>
            <w:r>
              <w:rPr>
                <w:noProof/>
              </w:rPr>
              <w:t xml:space="preserve">Numărul de proiecte de investiții pentru construirea, reconstrucția, renovarea sau modernizarea: </w:t>
            </w:r>
          </w:p>
          <w:p w14:paraId="5BFDDDAB" w14:textId="77777777" w:rsidR="00A60DDE" w:rsidRDefault="00095506">
            <w:pPr>
              <w:spacing w:after="0" w:line="240" w:lineRule="auto"/>
              <w:textAlignment w:val="baseline"/>
              <w:rPr>
                <w:rFonts w:ascii="Times New Roman" w:eastAsia="Times New Roman" w:hAnsi="Times New Roman" w:cs="Times New Roman"/>
                <w:noProof/>
                <w:color w:val="000000"/>
                <w:sz w:val="18"/>
                <w:szCs w:val="18"/>
              </w:rPr>
            </w:pPr>
            <w:r>
              <w:rPr>
                <w:rStyle w:val="CommentReference"/>
                <w:rFonts w:ascii="Times New Roman" w:eastAsia="Times New Roman" w:hAnsi="Times New Roman" w:cs="Times New Roman"/>
                <w:noProof/>
                <w:color w:val="000000" w:themeColor="text1"/>
                <w:sz w:val="18"/>
                <w:szCs w:val="18"/>
              </w:rPr>
              <w:t>- facilități utilizate pentru educația medicală sau</w:t>
            </w:r>
          </w:p>
          <w:p w14:paraId="0B2C6603" w14:textId="352DC07D" w:rsidR="00A60DDE" w:rsidRDefault="00095506">
            <w:pPr>
              <w:pStyle w:val="P68B1DB1-Normal75"/>
              <w:spacing w:after="0" w:line="240" w:lineRule="auto"/>
              <w:textAlignment w:val="baseline"/>
              <w:rPr>
                <w:noProof/>
              </w:rPr>
            </w:pPr>
            <w:r>
              <w:rPr>
                <w:noProof/>
              </w:rPr>
              <w:t xml:space="preserve"> biblioteci sau cămine studențești.</w:t>
            </w:r>
          </w:p>
        </w:tc>
      </w:tr>
      <w:tr w:rsidR="00A60DDE" w14:paraId="31655296"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5EAF79" w14:textId="373E4D4F"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D32G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37E9E3B" w14:textId="6C2897A1" w:rsidR="00A60DDE" w:rsidRDefault="00095506">
            <w:pPr>
              <w:pStyle w:val="P68B1DB1-Normal34"/>
              <w:pBdr>
                <w:top w:val="nil"/>
                <w:left w:val="nil"/>
                <w:bottom w:val="nil"/>
                <w:right w:val="nil"/>
                <w:between w:val="nil"/>
              </w:pBdr>
              <w:spacing w:after="0" w:line="240" w:lineRule="auto"/>
              <w:rPr>
                <w:noProof/>
                <w:color w:val="006100"/>
              </w:rPr>
            </w:pPr>
            <w:r>
              <w:rPr>
                <w:noProof/>
              </w:rPr>
              <w:t>D3.1 Creșterea eficienței și calității sistemului de sănătate prin sprijinirea potențialului polonez de cercetare și dezvoltare în domeniul științelor medicale și al științelor sănătății</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891F23" w14:textId="6C4DE3B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7C7C87" w14:textId="02ACFF20"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a Legii privind studiile clinice intervenționale cu medicamente de uz uman</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C1EF6D" w14:textId="41C42CD1" w:rsidR="00A60DDE" w:rsidRDefault="00095506">
            <w:pPr>
              <w:pStyle w:val="P68B1DB1-Normal34"/>
              <w:pBdr>
                <w:top w:val="nil"/>
                <w:left w:val="nil"/>
                <w:bottom w:val="nil"/>
                <w:right w:val="nil"/>
                <w:between w:val="nil"/>
              </w:pBdr>
              <w:spacing w:after="0" w:line="240" w:lineRule="auto"/>
              <w:rPr>
                <w:noProof/>
                <w:color w:val="006100"/>
              </w:rPr>
            </w:pPr>
            <w:r>
              <w:rPr>
                <w:noProof/>
              </w:rPr>
              <w:t>Dispoziție din lege care indică intrarea sa în vigoare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0B252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9C38A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3569EE"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D2DA973" w14:textId="6E1D76E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CA8062" w14:textId="7B689C3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3DF1AC" w14:textId="77777777" w:rsidR="00A60DDE" w:rsidRDefault="00095506">
            <w:pPr>
              <w:pStyle w:val="P68B1DB1-Normal22"/>
              <w:spacing w:after="0" w:line="240" w:lineRule="auto"/>
              <w:textAlignment w:val="baseline"/>
              <w:rPr>
                <w:noProof/>
              </w:rPr>
            </w:pPr>
            <w:r>
              <w:rPr>
                <w:noProof/>
                <w:color w:val="000000" w:themeColor="text1"/>
              </w:rPr>
              <w:t>Legea privind studiile clinice intervenționale cu medicamente de uz uman intră în vigoare și include:</w:t>
            </w:r>
            <w:r>
              <w:rPr>
                <w:noProof/>
              </w:rPr>
              <w:br/>
            </w:r>
            <w:r>
              <w:rPr>
                <w:noProof/>
                <w:color w:val="000000" w:themeColor="text1"/>
              </w:rPr>
              <w:t>norme transparente și</w:t>
            </w:r>
            <w:r>
              <w:rPr>
                <w:noProof/>
              </w:rPr>
              <w:br/>
              <w:t xml:space="preserve"> </w:t>
            </w:r>
            <w:r>
              <w:rPr>
                <w:noProof/>
                <w:color w:val="000000" w:themeColor="text1"/>
              </w:rPr>
              <w:t>- facilități și mecanisme suplimentare de încurajare a trialurilor clinice în Polonia și de îmbunătățire a calității și raționalizării trialurilor clinice în Polonia.</w:t>
            </w:r>
          </w:p>
          <w:p w14:paraId="52AC271D" w14:textId="1E6D51E4" w:rsidR="00A60DDE" w:rsidRDefault="00095506">
            <w:pPr>
              <w:pStyle w:val="P68B1DB1-Normal34"/>
              <w:spacing w:after="0" w:line="240" w:lineRule="auto"/>
              <w:textAlignment w:val="baseline"/>
              <w:rPr>
                <w:noProof/>
              </w:rPr>
            </w:pPr>
            <w:r>
              <w:rPr>
                <w:noProof/>
              </w:rPr>
              <w:t>Prezenta lege actualizează, de asemenea, cadrul juridic care reglementează sectorul biomedical în general în Polonia, inclusiv cercetarea și dezvoltarea, în măsura în care o astfel de actualizare este considerată necesară în Planul strategic al guvernului pentru dezvoltarea sectorului biomedical în Polonia.</w:t>
            </w:r>
          </w:p>
        </w:tc>
      </w:tr>
      <w:tr w:rsidR="00A60DDE" w14:paraId="45D66B70"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B5EBAD" w14:textId="62EB5BC9"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1F01A5" w14:textId="7A2D248E" w:rsidR="00A60DDE" w:rsidRDefault="00095506">
            <w:pPr>
              <w:pStyle w:val="P68B1DB1-Normal34"/>
              <w:pBdr>
                <w:top w:val="nil"/>
                <w:left w:val="nil"/>
                <w:bottom w:val="nil"/>
                <w:right w:val="nil"/>
                <w:between w:val="nil"/>
              </w:pBdr>
              <w:spacing w:after="0" w:line="240" w:lineRule="auto"/>
              <w:rPr>
                <w:noProof/>
                <w:color w:val="006100"/>
              </w:rPr>
            </w:pPr>
            <w:r>
              <w:rPr>
                <w:noProof/>
              </w:rPr>
              <w:t>D3.1 Creșterea eficienței și calității sistemului de sănătate prin sprijinirea potențialului polonez de cercetare și dezvoltare în domeniul științelor medicale și al științelor sănătății</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C8F00D1" w14:textId="30E0431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1F1EA8" w14:textId="267990CF" w:rsidR="00A60DDE" w:rsidRDefault="00095506">
            <w:pPr>
              <w:pStyle w:val="P68B1DB1-Normal34"/>
              <w:pBdr>
                <w:top w:val="nil"/>
                <w:left w:val="nil"/>
                <w:bottom w:val="nil"/>
                <w:right w:val="nil"/>
                <w:between w:val="nil"/>
              </w:pBdr>
              <w:spacing w:after="0" w:line="240" w:lineRule="auto"/>
              <w:rPr>
                <w:noProof/>
                <w:color w:val="000000"/>
              </w:rPr>
            </w:pPr>
            <w:r>
              <w:rPr>
                <w:noProof/>
              </w:rPr>
              <w:t>Intrarea în vigoare sau punerea în aplicare a acțiunilor-cheie specificate în Planul strategic al guvernului pentru dezvoltarea sectorului biomedical, în conformitate cu calendarul stabilit în planul strategic</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E7C683" w14:textId="20B5206E" w:rsidR="00A60DDE" w:rsidRDefault="00095506">
            <w:pPr>
              <w:pStyle w:val="P68B1DB1-Normal34"/>
              <w:pBdr>
                <w:top w:val="nil"/>
                <w:left w:val="nil"/>
                <w:bottom w:val="nil"/>
                <w:right w:val="nil"/>
                <w:between w:val="nil"/>
              </w:pBdr>
              <w:spacing w:after="0" w:line="240" w:lineRule="auto"/>
              <w:rPr>
                <w:noProof/>
                <w:color w:val="006100"/>
              </w:rPr>
            </w:pPr>
            <w:r>
              <w:rPr>
                <w:noProof/>
              </w:rPr>
              <w:t>Dispoziții din documentele subiacente care indică intrarea lor în vigoare sau punerea lor în aplicare, în funcție de tipul de acțiuni-cheie identificate în planul strategic</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B73AE5"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B5B62F2"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EFAC38"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AE8CB5" w14:textId="5FA9DD8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589D3F" w14:textId="12A4350D"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955B24" w14:textId="16AB1928" w:rsidR="00A60DDE" w:rsidRDefault="00095506">
            <w:pPr>
              <w:pStyle w:val="P68B1DB1-Normal34"/>
              <w:spacing w:after="0" w:line="240" w:lineRule="auto"/>
              <w:textAlignment w:val="baseline"/>
              <w:rPr>
                <w:noProof/>
              </w:rPr>
            </w:pPr>
            <w:r>
              <w:rPr>
                <w:noProof/>
              </w:rPr>
              <w:t>Acțiunile identificate drept „acțiuni-cheie” în planul strategic intră în vigoare sau sunt puse în aplicare în conformitate cu calendarul inclus în planul strategic și în măsura stabilită de planul strategic. Adoptarea planului strategic propriu-zis sub forma unei rezoluții a Consiliului de Miniștri are loc în 2022. Acțiunile-cheie includ proiectarea sistemului de gestionare a dezvoltării sectoriale, primele concursuri de granturi în domenii prioritare și monitorizarea permanentă a pieței biomedicale poloneze.</w:t>
            </w:r>
          </w:p>
        </w:tc>
      </w:tr>
      <w:tr w:rsidR="00A60DDE" w14:paraId="0DF0350D"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9B8C36" w14:textId="03E8AEE9"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5ECECE" w14:textId="7788035A" w:rsidR="00A60DDE" w:rsidRDefault="00095506">
            <w:pPr>
              <w:pStyle w:val="P68B1DB1-Normal34"/>
              <w:pBdr>
                <w:top w:val="nil"/>
                <w:left w:val="nil"/>
                <w:bottom w:val="nil"/>
                <w:right w:val="nil"/>
                <w:between w:val="nil"/>
              </w:pBdr>
              <w:spacing w:after="0" w:line="240" w:lineRule="auto"/>
              <w:rPr>
                <w:noProof/>
                <w:color w:val="006100"/>
              </w:rPr>
            </w:pPr>
            <w:r>
              <w:rPr>
                <w:noProof/>
              </w:rPr>
              <w:t>D3.1.1 Cercetarea în sectorul biomedical și înființarea sau dezvoltarea de centre de sprijin pentru studiile clinice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3090D8" w14:textId="3B20621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31B0C5" w14:textId="64606738" w:rsidR="00A60DDE" w:rsidRDefault="00095506">
            <w:pPr>
              <w:pStyle w:val="P68B1DB1-Normal34"/>
              <w:pBdr>
                <w:top w:val="nil"/>
                <w:left w:val="nil"/>
                <w:bottom w:val="nil"/>
                <w:right w:val="nil"/>
                <w:between w:val="nil"/>
              </w:pBdr>
              <w:spacing w:after="0" w:line="240" w:lineRule="auto"/>
              <w:rPr>
                <w:noProof/>
                <w:color w:val="000000"/>
              </w:rPr>
            </w:pPr>
            <w:r>
              <w:rPr>
                <w:noProof/>
              </w:rPr>
              <w:t>Punerea în funcțiune a unei platforme electronice pentru Rețeaua poloneză de studii clinice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574A9D" w14:textId="4CF2F59C" w:rsidR="00A60DDE" w:rsidRDefault="00095506">
            <w:pPr>
              <w:pStyle w:val="P68B1DB1-Normal34"/>
              <w:pBdr>
                <w:top w:val="nil"/>
                <w:left w:val="nil"/>
                <w:bottom w:val="nil"/>
                <w:right w:val="nil"/>
                <w:between w:val="nil"/>
              </w:pBdr>
              <w:spacing w:after="0" w:line="240" w:lineRule="auto"/>
              <w:rPr>
                <w:noProof/>
                <w:color w:val="006100"/>
              </w:rPr>
            </w:pPr>
            <w:r>
              <w:rPr>
                <w:noProof/>
              </w:rPr>
              <w:t>Punerea în funcțiune a platformei pentru Rețeaua poloneză de studii clinice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0D622BC"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FF3487"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8EFBA8"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592E7D" w14:textId="71057BDA"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595A6C" w14:textId="7A6D47BD"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EEBDB3" w14:textId="3CF0D3E5" w:rsidR="00A60DDE" w:rsidRDefault="00095506">
            <w:pPr>
              <w:pStyle w:val="P68B1DB1-Normal34"/>
              <w:spacing w:after="0" w:line="240" w:lineRule="auto"/>
              <w:textAlignment w:val="baseline"/>
              <w:rPr>
                <w:noProof/>
              </w:rPr>
            </w:pPr>
            <w:r>
              <w:rPr>
                <w:noProof/>
              </w:rPr>
              <w:t>Platforma electronică intră în funcțiune. Platforma include instrumente de coordonare a funcționării rețelei, un motor de căutare care permite identificarea trialurilor clinice, un site web care utilizează motorul de căutare menționat anterior dedicat pacienților care caută posibilitatea de a participa la trialuri clinice și un motor de căutare pentru profesioniștii implicați în dezvoltarea sau desfășurarea trialurilor clinice.</w:t>
            </w:r>
          </w:p>
        </w:tc>
      </w:tr>
      <w:tr w:rsidR="00A60DDE" w14:paraId="05E0B1D8"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A92EC4F" w14:textId="5F109600"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D36G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806BA5" w14:textId="5D8F966F"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D3.1.1 Cercetarea în sectorul biomedical și înființarea sau dezvoltarea de centre de sprijin pentru studiile clinice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E3D5C" w14:textId="7F6678AB"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74B08A" w14:textId="0D9A6CA4" w:rsidR="00A60DDE" w:rsidRDefault="00095506">
            <w:pPr>
              <w:pStyle w:val="P68B1DB1-Normal34"/>
              <w:pBdr>
                <w:top w:val="nil"/>
                <w:left w:val="nil"/>
                <w:bottom w:val="nil"/>
                <w:right w:val="nil"/>
                <w:between w:val="nil"/>
              </w:pBdr>
              <w:spacing w:after="0" w:line="240" w:lineRule="auto"/>
              <w:rPr>
                <w:noProof/>
                <w:color w:val="000000"/>
              </w:rPr>
            </w:pPr>
            <w:r>
              <w:rPr>
                <w:noProof/>
              </w:rPr>
              <w:t>Proiecte de cercetare în sectorul biomedical pentru unități de cercetare sau antreprenori</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A57353" w14:textId="691EA335"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E462525" w14:textId="576824C9"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0BEF28" w14:textId="51580883"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8E2AEF8" w14:textId="394B6D18"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60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5F26F9" w14:textId="1DA513F4"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671837" w14:textId="60FB3023"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A18D643" w14:textId="65AA0D81" w:rsidR="00A60DDE" w:rsidRDefault="00095506">
            <w:pPr>
              <w:pStyle w:val="P68B1DB1-Normal75"/>
              <w:spacing w:after="0" w:line="240" w:lineRule="auto"/>
              <w:textAlignment w:val="baseline"/>
              <w:rPr>
                <w:noProof/>
              </w:rPr>
            </w:pPr>
            <w:r>
              <w:rPr>
                <w:noProof/>
              </w:rPr>
              <w:t>Rapoarte finale pentru cel puțin 60 de proiecte de cercetare în sectorul biomedical pentru unități de cercetare sau antreprenori semnate de beneficiar și Agenția de Cercetare Medicală. Se furnizează proiecte în domeniul inovațiilor farmaceutice, al dispozitivelor medicale sau al soluțiilor informatice în scopuri medicale și de sănătate.</w:t>
            </w:r>
          </w:p>
        </w:tc>
      </w:tr>
      <w:tr w:rsidR="00A60DDE" w14:paraId="689FE5F0"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0C193F" w14:textId="07AE441B"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3160D9" w14:textId="684A49C5"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D3.1.1 Cercetarea în sectorul biomedical și înființarea sau dezvoltarea de centre de sprijin pentru studiile clinice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5D524D" w14:textId="5A93F1E9"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22B3C59" w14:textId="7DFDD327" w:rsidR="00A60DDE" w:rsidRDefault="00095506">
            <w:pPr>
              <w:pStyle w:val="P68B1DB1-Normal34"/>
              <w:pBdr>
                <w:top w:val="nil"/>
                <w:left w:val="nil"/>
                <w:bottom w:val="nil"/>
                <w:right w:val="nil"/>
                <w:between w:val="nil"/>
              </w:pBdr>
              <w:spacing w:after="0" w:line="240" w:lineRule="auto"/>
              <w:rPr>
                <w:noProof/>
                <w:color w:val="000000"/>
              </w:rPr>
            </w:pPr>
            <w:r>
              <w:rPr>
                <w:noProof/>
              </w:rPr>
              <w:t>Centre de asistență pentru studii clinice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B6FD38" w14:textId="3C66E886"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1D33D9" w14:textId="52F33AB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D5AD1E4" w14:textId="582056B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32EB4C" w14:textId="6BACB62D"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79A9C8" w14:textId="5BD5BF8D"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273626D" w14:textId="322270F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53BCE4" w14:textId="7952B11A" w:rsidR="00A60DDE" w:rsidRDefault="00095506">
            <w:pPr>
              <w:pStyle w:val="P68B1DB1-Normal75"/>
              <w:spacing w:after="0" w:line="240" w:lineRule="auto"/>
              <w:textAlignment w:val="baseline"/>
              <w:rPr>
                <w:noProof/>
                <w:color w:val="000000" w:themeColor="text1"/>
              </w:rPr>
            </w:pPr>
            <w:r>
              <w:rPr>
                <w:noProof/>
              </w:rPr>
              <w:t>Rapoarte finale semnate de beneficiar și de Agenția de Cercetare Medicală:</w:t>
            </w:r>
          </w:p>
          <w:p w14:paraId="1D8273E3" w14:textId="77777777" w:rsidR="00A60DDE" w:rsidRDefault="00095506">
            <w:pPr>
              <w:pStyle w:val="P68B1DB1-ListParagraph76"/>
              <w:numPr>
                <w:ilvl w:val="0"/>
                <w:numId w:val="23"/>
              </w:numPr>
              <w:spacing w:after="0" w:line="240" w:lineRule="auto"/>
              <w:textAlignment w:val="baseline"/>
              <w:rPr>
                <w:noProof/>
                <w:color w:val="000000"/>
              </w:rPr>
            </w:pPr>
            <w:r>
              <w:rPr>
                <w:noProof/>
              </w:rPr>
              <w:t>confirmarea înființării a 10 centre de sprijin pentru studiile clinice intervenționale (CTSC);</w:t>
            </w:r>
          </w:p>
          <w:p w14:paraId="30A48516" w14:textId="74612D66" w:rsidR="00A60DDE" w:rsidRDefault="00095506">
            <w:pPr>
              <w:pStyle w:val="P68B1DB1-ListParagraph76"/>
              <w:numPr>
                <w:ilvl w:val="0"/>
                <w:numId w:val="23"/>
              </w:numPr>
              <w:spacing w:after="0" w:line="240" w:lineRule="auto"/>
              <w:textAlignment w:val="baseline"/>
              <w:rPr>
                <w:noProof/>
                <w:color w:val="000000"/>
              </w:rPr>
            </w:pPr>
            <w:r>
              <w:rPr>
                <w:noProof/>
              </w:rPr>
              <w:t>confirmarea faptului că cele 18 CTSC existente au desfășurat cel puțin una dintre următoarele activități:</w:t>
            </w:r>
          </w:p>
          <w:p w14:paraId="7F93EAB4" w14:textId="32926A9E" w:rsidR="00A60DDE" w:rsidRDefault="00095506">
            <w:pPr>
              <w:pStyle w:val="P68B1DB1-Normal66"/>
              <w:spacing w:after="0" w:line="240" w:lineRule="auto"/>
              <w:textAlignment w:val="baseline"/>
              <w:rPr>
                <w:rFonts w:ascii="Times New Roman" w:hAnsi="Times New Roman"/>
                <w:noProof/>
              </w:rPr>
            </w:pPr>
            <w:r>
              <w:rPr>
                <w:rFonts w:ascii="Times New Roman" w:hAnsi="Times New Roman" w:cs="Times New Roman"/>
                <w:noProof/>
                <w:color w:val="000000" w:themeColor="text1"/>
              </w:rPr>
              <w:t>- educație sau formare pentru cel puțin unul din cele trei grupuri beneficiare: echipe de management, oameni de știință și pacienți;</w:t>
            </w:r>
            <w:r>
              <w:rPr>
                <w:rFonts w:ascii="Times New Roman" w:hAnsi="Times New Roman" w:cs="Times New Roman"/>
                <w:noProof/>
              </w:rPr>
              <w:br/>
            </w:r>
            <w:r>
              <w:rPr>
                <w:rFonts w:ascii="Times New Roman" w:eastAsia="Times New Roman" w:hAnsi="Times New Roman" w:cs="Times New Roman"/>
                <w:noProof/>
                <w:color w:val="000000" w:themeColor="text1"/>
              </w:rPr>
              <w:t>pregătirea CTSC pentru efectuarea de cercetări descentralizate (cu abordarea centrată pe pacient);</w:t>
            </w:r>
            <w:r>
              <w:rPr>
                <w:rFonts w:ascii="Times New Roman" w:hAnsi="Times New Roman" w:cs="Times New Roman"/>
                <w:noProof/>
              </w:rPr>
              <w:br/>
              <w:t xml:space="preserve"> </w:t>
            </w:r>
            <w:r>
              <w:rPr>
                <w:rFonts w:ascii="Times New Roman" w:hAnsi="Times New Roman" w:cs="Times New Roman"/>
                <w:noProof/>
                <w:color w:val="000000" w:themeColor="text1"/>
              </w:rPr>
              <w:t>informarea cu privire la studiile clinice în societate;</w:t>
            </w:r>
            <w:r>
              <w:rPr>
                <w:rFonts w:ascii="Times New Roman" w:hAnsi="Times New Roman" w:cs="Times New Roman"/>
                <w:noProof/>
              </w:rPr>
              <w:br/>
              <w:t xml:space="preserve"> </w:t>
            </w:r>
            <w:r>
              <w:rPr>
                <w:rFonts w:ascii="Times New Roman" w:hAnsi="Times New Roman" w:cs="Times New Roman"/>
                <w:noProof/>
                <w:color w:val="000000" w:themeColor="text1"/>
              </w:rPr>
              <w:t>modernizarea sistemelor informatice;</w:t>
            </w:r>
            <w:r>
              <w:rPr>
                <w:rFonts w:ascii="Times New Roman" w:hAnsi="Times New Roman" w:cs="Times New Roman"/>
                <w:noProof/>
              </w:rPr>
              <w:br/>
              <w:t xml:space="preserve"> </w:t>
            </w:r>
            <w:r>
              <w:rPr>
                <w:rFonts w:ascii="Times New Roman" w:eastAsia="Times New Roman" w:hAnsi="Times New Roman" w:cs="Times New Roman"/>
                <w:noProof/>
                <w:color w:val="000000" w:themeColor="text1"/>
              </w:rPr>
              <w:t>modernizarea infrastructurii existente;</w:t>
            </w:r>
            <w:r>
              <w:rPr>
                <w:rFonts w:ascii="Times New Roman" w:hAnsi="Times New Roman" w:cs="Times New Roman"/>
                <w:noProof/>
              </w:rPr>
              <w:br/>
              <w:t xml:space="preserve"> </w:t>
            </w:r>
            <w:r>
              <w:rPr>
                <w:rFonts w:ascii="Times New Roman" w:hAnsi="Times New Roman" w:cs="Times New Roman"/>
                <w:noProof/>
                <w:color w:val="000000" w:themeColor="text1"/>
              </w:rPr>
              <w:t>proiectarea de noi procese, proceduri și modificarea structurii organizaționale în instituții sau remunerarea angajaților.</w:t>
            </w:r>
          </w:p>
        </w:tc>
      </w:tr>
      <w:tr w:rsidR="00A60DDE" w14:paraId="3CB9E626"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95E879" w14:textId="36111022"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D38G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044B97" w14:textId="47A4AEEF" w:rsidR="00A60DDE" w:rsidRDefault="00095506">
            <w:pPr>
              <w:pStyle w:val="P68B1DB1-Normal34"/>
              <w:pBdr>
                <w:top w:val="nil"/>
                <w:left w:val="nil"/>
                <w:bottom w:val="nil"/>
                <w:right w:val="nil"/>
                <w:between w:val="nil"/>
              </w:pBdr>
              <w:spacing w:after="0" w:line="240" w:lineRule="auto"/>
              <w:rPr>
                <w:noProof/>
                <w:color w:val="006100"/>
              </w:rPr>
            </w:pPr>
            <w:r>
              <w:rPr>
                <w:noProof/>
              </w:rPr>
              <w:t>D4.1.1 Creșterea îngrijirii pe termen lung prin modernizarea unităților medicale la nivel raional</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FD4AD55" w14:textId="13D7E4B6"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D0A68AD" w14:textId="78469196" w:rsidR="00A60DDE" w:rsidRDefault="00095506">
            <w:pPr>
              <w:pStyle w:val="P68B1DB1-Normal34"/>
              <w:pBdr>
                <w:top w:val="nil"/>
                <w:left w:val="nil"/>
                <w:bottom w:val="nil"/>
                <w:right w:val="nil"/>
                <w:between w:val="nil"/>
              </w:pBdr>
              <w:spacing w:after="0" w:line="240" w:lineRule="auto"/>
              <w:rPr>
                <w:noProof/>
                <w:color w:val="000000"/>
              </w:rPr>
            </w:pPr>
            <w:r>
              <w:rPr>
                <w:noProof/>
              </w:rPr>
              <w:t>Lista spitalelor raionale selectate pentru sprijin în vederea creării de paturi pe termen lung și de geriatrie, pe baza unor criterii de selecție specifice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35E83AD" w14:textId="7EE1CA71" w:rsidR="00A60DDE" w:rsidRDefault="00095506">
            <w:pPr>
              <w:pStyle w:val="P68B1DB1-Normal34"/>
              <w:pBdr>
                <w:top w:val="nil"/>
                <w:left w:val="nil"/>
                <w:bottom w:val="nil"/>
                <w:right w:val="nil"/>
                <w:between w:val="nil"/>
              </w:pBdr>
              <w:spacing w:after="0" w:line="240" w:lineRule="auto"/>
              <w:rPr>
                <w:noProof/>
                <w:color w:val="006100"/>
              </w:rPr>
            </w:pPr>
            <w:r>
              <w:rPr>
                <w:noProof/>
              </w:rPr>
              <w:t>Publicarea listei spitalelor selectate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EE3A9E"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4BB722"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BD773B"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B93F124" w14:textId="372059D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96E2B3" w14:textId="6F248D8F"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57A713" w14:textId="77777777" w:rsidR="00A60DDE" w:rsidRDefault="00095506">
            <w:pPr>
              <w:pStyle w:val="P68B1DB1-Normal34"/>
              <w:pBdr>
                <w:top w:val="nil"/>
                <w:left w:val="nil"/>
                <w:bottom w:val="nil"/>
                <w:right w:val="nil"/>
                <w:between w:val="nil"/>
              </w:pBdr>
              <w:spacing w:after="0" w:line="240" w:lineRule="auto"/>
              <w:rPr>
                <w:noProof/>
                <w:color w:val="000000"/>
              </w:rPr>
            </w:pPr>
            <w:r>
              <w:rPr>
                <w:noProof/>
              </w:rPr>
              <w:t xml:space="preserve">Se furnizează o listă a spitalelor districtuale selectate pentru sprijin în vederea creării de paturi pe termen lung și de geriatrie. </w:t>
            </w:r>
          </w:p>
          <w:p w14:paraId="05B1751F" w14:textId="77777777" w:rsidR="00A60DDE" w:rsidRDefault="00A60DDE">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03E6EB59" w14:textId="77777777" w:rsidR="00A60DDE" w:rsidRDefault="00095506">
            <w:pPr>
              <w:pStyle w:val="P68B1DB1-Normal22"/>
              <w:pBdr>
                <w:top w:val="nil"/>
                <w:left w:val="nil"/>
                <w:bottom w:val="nil"/>
                <w:right w:val="nil"/>
                <w:between w:val="nil"/>
              </w:pBdr>
              <w:spacing w:after="0" w:line="240" w:lineRule="auto"/>
              <w:rPr>
                <w:noProof/>
                <w:color w:val="000000" w:themeColor="text1"/>
              </w:rPr>
            </w:pPr>
            <w:r>
              <w:rPr>
                <w:noProof/>
                <w:color w:val="000000" w:themeColor="text1"/>
              </w:rPr>
              <w:t>Selecția se bazează pe un set de criterii care includ condițiile locale pentru:</w:t>
            </w:r>
            <w:r>
              <w:rPr>
                <w:noProof/>
              </w:rPr>
              <w:br/>
            </w:r>
            <w:r>
              <w:rPr>
                <w:noProof/>
                <w:color w:val="000000" w:themeColor="text1"/>
              </w:rPr>
              <w:t>tendințele demografice;</w:t>
            </w:r>
            <w:r>
              <w:rPr>
                <w:noProof/>
              </w:rPr>
              <w:br/>
              <w:t xml:space="preserve"> </w:t>
            </w:r>
            <w:r>
              <w:rPr>
                <w:noProof/>
                <w:color w:val="000000" w:themeColor="text1"/>
              </w:rPr>
              <w:t>densitatea populației;</w:t>
            </w:r>
            <w:r>
              <w:rPr>
                <w:noProof/>
              </w:rPr>
              <w:br/>
              <w:t xml:space="preserve"> </w:t>
            </w:r>
            <w:r>
              <w:rPr>
                <w:noProof/>
                <w:color w:val="000000" w:themeColor="text1"/>
              </w:rPr>
              <w:t xml:space="preserve">nevoile de îngrijire pe termen lung; </w:t>
            </w:r>
          </w:p>
          <w:p w14:paraId="4CDF7AF1" w14:textId="77777777" w:rsidR="00A60DDE" w:rsidRDefault="00095506">
            <w:pPr>
              <w:pStyle w:val="P68B1DB1-Normal22"/>
              <w:pBdr>
                <w:top w:val="nil"/>
                <w:left w:val="nil"/>
                <w:bottom w:val="nil"/>
                <w:right w:val="nil"/>
                <w:between w:val="nil"/>
              </w:pBdr>
              <w:spacing w:after="0" w:line="240" w:lineRule="auto"/>
              <w:rPr>
                <w:noProof/>
                <w:color w:val="000000"/>
              </w:rPr>
            </w:pPr>
            <w:r>
              <w:rPr>
                <w:noProof/>
                <w:color w:val="000000" w:themeColor="text1"/>
              </w:rPr>
              <w:t>- saturarea serviciilor de îngrijire pe termen lung/geriatrie;</w:t>
            </w:r>
            <w:r>
              <w:rPr>
                <w:noProof/>
              </w:rPr>
              <w:br/>
            </w:r>
            <w:r>
              <w:rPr>
                <w:noProof/>
                <w:color w:val="000000" w:themeColor="text1"/>
              </w:rPr>
              <w:t>calitatea asistenței medicale și</w:t>
            </w:r>
            <w:r>
              <w:rPr>
                <w:noProof/>
              </w:rPr>
              <w:br/>
              <w:t xml:space="preserve"> </w:t>
            </w:r>
            <w:r>
              <w:rPr>
                <w:noProof/>
                <w:color w:val="000000" w:themeColor="text1"/>
              </w:rPr>
              <w:t>respectarea planurilor de restructurare sau a documentelor echivalente pentru un anumit spital.</w:t>
            </w:r>
          </w:p>
          <w:p w14:paraId="347C3F93" w14:textId="77777777" w:rsidR="00A60DDE" w:rsidRDefault="00A60DDE">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0883A0BB" w14:textId="464C28AB" w:rsidR="00A60DDE" w:rsidRDefault="00095506">
            <w:pPr>
              <w:pStyle w:val="P68B1DB1-Normal34"/>
              <w:spacing w:after="0" w:line="240" w:lineRule="auto"/>
              <w:textAlignment w:val="baseline"/>
              <w:rPr>
                <w:noProof/>
              </w:rPr>
            </w:pPr>
            <w:r>
              <w:rPr>
                <w:noProof/>
              </w:rPr>
              <w:t>Un document echivalent conține cel puțin: informații privind măsurile de asigurare a unei bune stări financiare a spitalului în cauză, inclusiv detalii privind natura acestor măsuri, calendarul acestora, costurile și rezultatele financiare preconizate ale acestora, organismul responsabil cu punerea în aplicare a acestor măsuri și mecanismele de monitorizare.</w:t>
            </w:r>
          </w:p>
        </w:tc>
      </w:tr>
      <w:tr w:rsidR="00A60DDE" w14:paraId="16224A5B"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6214AE" w14:textId="152CD0B7" w:rsidR="00A60DDE" w:rsidRDefault="00095506">
            <w:pPr>
              <w:pStyle w:val="P68B1DB1-Normal22"/>
              <w:pBdr>
                <w:top w:val="nil"/>
                <w:left w:val="nil"/>
                <w:bottom w:val="nil"/>
                <w:right w:val="nil"/>
                <w:between w:val="nil"/>
              </w:pBdr>
              <w:spacing w:after="0" w:line="240" w:lineRule="auto"/>
              <w:jc w:val="center"/>
              <w:rPr>
                <w:noProof/>
                <w:color w:val="006100"/>
              </w:rPr>
            </w:pPr>
            <w:r>
              <w:rPr>
                <w:noProof/>
              </w:rPr>
              <w:t>D40G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C055D8" w14:textId="734FBFFD" w:rsidR="00A60DDE" w:rsidRDefault="00095506">
            <w:pPr>
              <w:pStyle w:val="P68B1DB1-Normal34"/>
              <w:pBdr>
                <w:top w:val="nil"/>
                <w:left w:val="nil"/>
                <w:bottom w:val="nil"/>
                <w:right w:val="nil"/>
                <w:between w:val="nil"/>
              </w:pBdr>
              <w:spacing w:after="0" w:line="240" w:lineRule="auto"/>
              <w:rPr>
                <w:noProof/>
                <w:color w:val="006100"/>
              </w:rPr>
            </w:pPr>
            <w:r>
              <w:rPr>
                <w:noProof/>
              </w:rPr>
              <w:t>D4.1.1 Creșterea furnizării de servicii de îngrijire pe termen lung prin modernizarea entităților medicale la nivel districtual</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A9F20C" w14:textId="55854000"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Țintă</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B78124" w14:textId="73F519D6" w:rsidR="00A60DDE" w:rsidRDefault="00095506">
            <w:pPr>
              <w:pBdr>
                <w:top w:val="nil"/>
                <w:left w:val="nil"/>
                <w:bottom w:val="nil"/>
                <w:right w:val="nil"/>
                <w:between w:val="nil"/>
              </w:pBdr>
              <w:spacing w:after="0" w:line="240" w:lineRule="auto"/>
              <w:rPr>
                <w:rFonts w:ascii="Times New Roman" w:hAnsi="Times New Roman"/>
                <w:noProof/>
                <w:color w:val="000000"/>
                <w:sz w:val="18"/>
                <w:szCs w:val="18"/>
              </w:rPr>
            </w:pPr>
            <w:r>
              <w:rPr>
                <w:rStyle w:val="CommentReference"/>
                <w:rFonts w:ascii="Times New Roman" w:hAnsi="Times New Roman" w:cs="Times New Roman"/>
                <w:noProof/>
                <w:color w:val="000000" w:themeColor="text1"/>
                <w:sz w:val="18"/>
                <w:szCs w:val="18"/>
              </w:rPr>
              <w:t xml:space="preserve">Spitale cu investiții în construcții sau renovări </w:t>
            </w:r>
            <w:r>
              <w:rPr>
                <w:rStyle w:val="CommentReference"/>
                <w:rFonts w:ascii="Times New Roman" w:hAnsi="Times New Roman" w:cs="Times New Roman"/>
                <w:noProof/>
                <w:sz w:val="18"/>
                <w:szCs w:val="18"/>
              </w:rPr>
              <w:t xml:space="preserve">sau </w:t>
            </w:r>
            <w:r>
              <w:rPr>
                <w:rStyle w:val="CommentReference"/>
                <w:rFonts w:ascii="Times New Roman" w:hAnsi="Times New Roman" w:cs="Times New Roman"/>
                <w:noProof/>
                <w:color w:val="000000" w:themeColor="text1"/>
                <w:sz w:val="18"/>
                <w:szCs w:val="18"/>
              </w:rPr>
              <w:t>echipamente medicale achiziționate</w:t>
            </w:r>
            <w:r>
              <w:rPr>
                <w:rStyle w:val="CommentReference"/>
                <w:rFonts w:ascii="Times New Roman" w:hAnsi="Times New Roman" w:cs="Times New Roman"/>
                <w:noProof/>
                <w:sz w:val="18"/>
                <w:szCs w:val="18"/>
              </w:rPr>
              <w:t xml:space="preserv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E20031" w14:textId="1CED1EC8" w:rsidR="00A60DDE" w:rsidRDefault="00095506">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2E47E4" w14:textId="4FC291D5"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8902D7" w14:textId="7661748A"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A3EEC9C" w14:textId="13C0BC02"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76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081C47" w14:textId="63F96587"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T2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319015" w14:textId="71B8CCD9" w:rsidR="00A60DDE" w:rsidRDefault="00095506">
            <w:pPr>
              <w:pStyle w:val="P68B1DB1-Normal34"/>
              <w:pBdr>
                <w:top w:val="nil"/>
                <w:left w:val="nil"/>
                <w:bottom w:val="nil"/>
                <w:right w:val="nil"/>
                <w:between w:val="nil"/>
              </w:pBdr>
              <w:spacing w:after="0" w:line="240" w:lineRule="auto"/>
              <w:jc w:val="center"/>
              <w:rPr>
                <w:noProof/>
                <w:color w:val="006100"/>
              </w:rPr>
            </w:pPr>
            <w:r>
              <w:rPr>
                <w:noProof/>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571499F" w14:textId="6E6BCC88" w:rsidR="00A60DDE" w:rsidRDefault="00095506">
            <w:pPr>
              <w:pStyle w:val="P68B1DB1-Normal75"/>
              <w:spacing w:after="0" w:line="240" w:lineRule="auto"/>
              <w:textAlignment w:val="baseline"/>
              <w:rPr>
                <w:noProof/>
              </w:rPr>
            </w:pPr>
            <w:r>
              <w:rPr>
                <w:noProof/>
              </w:rPr>
              <w:t>Numărul de spitale cu un certificat care confirmă lucrările de construcție sau de renovare sau cu o dovadă a livrării echipamentelor medicale achiziționate.</w:t>
            </w:r>
          </w:p>
        </w:tc>
      </w:tr>
    </w:tbl>
    <w:p w14:paraId="0C6D327B" w14:textId="77777777" w:rsidR="00A60DDE" w:rsidRDefault="00A60DDE">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ED0" w14:textId="77777777" w:rsidR="00A60DDE" w:rsidRDefault="00A60DDE">
      <w:pPr>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rPr>
        <w:sectPr w:rsidR="00A60DDE" w:rsidSect="006C5441">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299"/>
        </w:sectPr>
      </w:pPr>
    </w:p>
    <w:p w14:paraId="1216BED1" w14:textId="77777777" w:rsidR="00A60DDE" w:rsidRDefault="00095506">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r>
        <w:rPr>
          <w:rFonts w:ascii="Times New Roman" w:hAnsi="Times New Roman"/>
          <w:b/>
          <w:noProof/>
          <w:color w:val="000000" w:themeColor="text1"/>
        </w:rPr>
        <w:t xml:space="preserve">D.3. </w:t>
      </w:r>
      <w:r>
        <w:rPr>
          <w:noProof/>
        </w:rPr>
        <w:t xml:space="preserve"> </w:t>
      </w:r>
      <w:r>
        <w:rPr>
          <w:rFonts w:ascii="Times New Roman" w:hAnsi="Times New Roman"/>
          <w:b/>
          <w:noProof/>
          <w:color w:val="000000" w:themeColor="text1"/>
        </w:rPr>
        <w:t>Descrierea reformelor și a investițiilor pentru împrumut</w:t>
      </w:r>
    </w:p>
    <w:p w14:paraId="1216BED2" w14:textId="77777777" w:rsidR="00A60DDE" w:rsidRDefault="00A60DDE">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p>
    <w:p w14:paraId="1216BED3" w14:textId="77777777" w:rsidR="00A60DDE" w:rsidRDefault="00095506">
      <w:pPr>
        <w:pStyle w:val="P68B1DB1-Normal72"/>
        <w:pBdr>
          <w:top w:val="nil"/>
          <w:left w:val="nil"/>
          <w:bottom w:val="nil"/>
          <w:right w:val="nil"/>
          <w:between w:val="nil"/>
        </w:pBdr>
        <w:spacing w:before="120" w:after="120" w:line="240" w:lineRule="auto"/>
        <w:jc w:val="both"/>
        <w:rPr>
          <w:rFonts w:eastAsia="Times New Roman" w:cs="Times New Roman"/>
          <w:bCs/>
          <w:noProof/>
          <w:color w:val="000000"/>
        </w:rPr>
      </w:pPr>
      <w:r>
        <w:rPr>
          <w:noProof/>
        </w:rPr>
        <w:t>D1.2 Creșterea eficienței, a disponibilității și a calității serviciilor de îngrijire pe termen lung ale furnizorilor de servicii medicale la nivel districtual</w:t>
      </w:r>
    </w:p>
    <w:p w14:paraId="1216BED4" w14:textId="77777777" w:rsidR="00A60DDE" w:rsidRDefault="00095506">
      <w:pPr>
        <w:pStyle w:val="P68B1DB1-Normal71"/>
        <w:pBdr>
          <w:top w:val="nil"/>
          <w:left w:val="nil"/>
          <w:bottom w:val="nil"/>
          <w:right w:val="nil"/>
          <w:between w:val="nil"/>
        </w:pBdr>
        <w:spacing w:before="120" w:after="0" w:line="240" w:lineRule="auto"/>
        <w:jc w:val="both"/>
        <w:rPr>
          <w:noProof/>
        </w:rPr>
      </w:pPr>
      <w:r>
        <w:rPr>
          <w:noProof/>
        </w:rPr>
        <w:t>Obiectivul reformei este de a sprijini transformarea spitalelor districtuale în unități sau centre de îngrijire pe termen lung și de îngrijire geriatrică. Reforma se întemeiază din punct de vedere juridic pe un act legislativ specific care se bazează pe concluziile unei revizuiri a potențialului de înființare a unor unități/centre de îngrijire pe termen lung și de îngrijire geriatrică în spitalele districtuale din Polonia. Reforma este, de asemenea, în conformitate cu Strategia de dezinstituționalizare elaborată de Ministerul Sănătății (anexa la „Cadrul strategic privind dezvoltarea sistemului de sănătate în Polonia 2021-2027 – Un viitor sănătos”).</w:t>
      </w:r>
    </w:p>
    <w:p w14:paraId="1216BED5" w14:textId="77777777" w:rsidR="00A60DDE" w:rsidRDefault="00095506">
      <w:pPr>
        <w:pStyle w:val="P68B1DB1-Normal71"/>
        <w:pBdr>
          <w:top w:val="nil"/>
          <w:left w:val="nil"/>
          <w:bottom w:val="nil"/>
          <w:right w:val="nil"/>
          <w:between w:val="nil"/>
        </w:pBdr>
        <w:spacing w:before="120" w:after="120" w:line="240" w:lineRule="auto"/>
        <w:jc w:val="both"/>
        <w:rPr>
          <w:noProof/>
          <w:sz w:val="18"/>
          <w:szCs w:val="18"/>
        </w:rPr>
      </w:pPr>
      <w:r>
        <w:rPr>
          <w:noProof/>
        </w:rPr>
        <w:t>Punerea în aplicare a reformei se finalizează până la 30 septembrie 2022.</w:t>
      </w:r>
    </w:p>
    <w:p w14:paraId="1216BED6" w14:textId="77777777" w:rsidR="00A60DDE" w:rsidRDefault="00A60DDE">
      <w:p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noProof/>
          <w:color w:val="000000"/>
          <w:u w:val="single"/>
        </w:rPr>
      </w:pPr>
    </w:p>
    <w:p w14:paraId="1216BED7" w14:textId="77777777" w:rsidR="00A60DDE" w:rsidRDefault="00A60DDE">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sectPr w:rsidR="00A60DDE" w:rsidSect="006C5441">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299"/>
        </w:sectPr>
      </w:pPr>
    </w:p>
    <w:p w14:paraId="1216BED8" w14:textId="77777777" w:rsidR="00A60DDE" w:rsidRDefault="00095506">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r>
        <w:rPr>
          <w:rFonts w:ascii="Times New Roman" w:hAnsi="Times New Roman"/>
          <w:b/>
          <w:noProof/>
          <w:color w:val="000000" w:themeColor="text1"/>
        </w:rPr>
        <w:t xml:space="preserve">D.4. </w:t>
      </w:r>
      <w:r>
        <w:rPr>
          <w:noProof/>
        </w:rPr>
        <w:t xml:space="preserve"> </w:t>
      </w:r>
      <w:r>
        <w:rPr>
          <w:rFonts w:ascii="Times New Roman" w:hAnsi="Times New Roman"/>
          <w:b/>
          <w:noProof/>
          <w:color w:val="000000" w:themeColor="text1"/>
        </w:rPr>
        <w:t>Jaloane, ținte, indicatori și calendar pentru monitorizarea și punerea în aplicare a împrumutului</w:t>
      </w:r>
    </w:p>
    <w:tbl>
      <w:tblPr>
        <w:tblW w:w="15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134"/>
        <w:gridCol w:w="1842"/>
        <w:gridCol w:w="1276"/>
        <w:gridCol w:w="992"/>
        <w:gridCol w:w="993"/>
        <w:gridCol w:w="708"/>
        <w:gridCol w:w="993"/>
        <w:gridCol w:w="850"/>
        <w:gridCol w:w="3827"/>
      </w:tblGrid>
      <w:tr w:rsidR="00A60DDE" w14:paraId="1216BEE1" w14:textId="77777777">
        <w:trPr>
          <w:trHeight w:val="873"/>
          <w:tblHeader/>
          <w:jc w:val="cent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9" w14:textId="38CEDB74" w:rsidR="00A60DDE" w:rsidRDefault="005631E2">
            <w:pPr>
              <w:pStyle w:val="P68B1DB1-Normal74"/>
              <w:pBdr>
                <w:top w:val="nil"/>
                <w:left w:val="nil"/>
                <w:bottom w:val="nil"/>
                <w:right w:val="nil"/>
                <w:between w:val="nil"/>
              </w:pBdr>
              <w:spacing w:after="0" w:line="240" w:lineRule="auto"/>
              <w:jc w:val="center"/>
              <w:rPr>
                <w:rFonts w:eastAsia="Times New Roman" w:cs="Times New Roman"/>
                <w:noProof/>
              </w:rPr>
            </w:pPr>
            <w:r>
              <w:rPr>
                <w:noProof/>
              </w:rPr>
              <w:t>Nr. secv</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A"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Măsură conexă (reformă sau investiție)</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B"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Etapa/ținta</w:t>
            </w:r>
          </w:p>
        </w:tc>
        <w:tc>
          <w:tcPr>
            <w:tcW w:w="18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C"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Denumire</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D" w14:textId="6E9BC9CC" w:rsidR="00A60DDE" w:rsidRDefault="00095506">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Indicatori calitativi (pentru obiectivele de etapă)</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E" w14:textId="38D6A3FE" w:rsidR="00A60DDE" w:rsidRDefault="00095506">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Indicatori cantitativi (pentru obiective)</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F"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Calendar orientativ pentru finalizare</w:t>
            </w:r>
          </w:p>
        </w:tc>
        <w:tc>
          <w:tcPr>
            <w:tcW w:w="3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0"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Descrierea fiecărui jalon și a fiecărei ținte</w:t>
            </w:r>
          </w:p>
        </w:tc>
      </w:tr>
      <w:tr w:rsidR="00A60DDE" w14:paraId="1216BEED" w14:textId="77777777">
        <w:trPr>
          <w:trHeight w:val="687"/>
          <w:jc w:val="center"/>
        </w:trPr>
        <w:tc>
          <w:tcPr>
            <w:tcW w:w="949" w:type="dxa"/>
            <w:vMerge/>
            <w:vAlign w:val="center"/>
          </w:tcPr>
          <w:p w14:paraId="1216BEE2" w14:textId="77777777" w:rsidR="00A60DDE" w:rsidRDefault="00A60DDE">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1216BEE3"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EE4" w14:textId="77777777" w:rsidR="00A60DDE" w:rsidRDefault="00A60DDE">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2" w:type="dxa"/>
            <w:vMerge/>
            <w:vAlign w:val="center"/>
          </w:tcPr>
          <w:p w14:paraId="1216BEE5"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EE6"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7"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Unitatea de măsură</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8"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Situația de referință</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9"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Obiectiv</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A"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Trimestrul</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B" w14:textId="77777777" w:rsidR="00A60DDE" w:rsidRDefault="00095506">
            <w:pPr>
              <w:pStyle w:val="P68B1DB1-Normal74"/>
              <w:pBdr>
                <w:top w:val="nil"/>
                <w:left w:val="nil"/>
                <w:bottom w:val="nil"/>
                <w:right w:val="nil"/>
                <w:between w:val="nil"/>
              </w:pBdr>
              <w:spacing w:after="0" w:line="240" w:lineRule="auto"/>
              <w:jc w:val="center"/>
              <w:rPr>
                <w:rFonts w:eastAsia="Times New Roman" w:cs="Times New Roman"/>
                <w:noProof/>
              </w:rPr>
            </w:pPr>
            <w:r>
              <w:rPr>
                <w:noProof/>
              </w:rPr>
              <w:t>Anul</w:t>
            </w:r>
          </w:p>
        </w:tc>
        <w:tc>
          <w:tcPr>
            <w:tcW w:w="3827" w:type="dxa"/>
            <w:vMerge/>
            <w:vAlign w:val="center"/>
          </w:tcPr>
          <w:p w14:paraId="1216BEEC"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BEF9"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E" w14:textId="77777777" w:rsidR="00A60DDE" w:rsidRDefault="00095506">
            <w:pPr>
              <w:pStyle w:val="P68B1DB1-Normal45"/>
              <w:pBdr>
                <w:top w:val="nil"/>
                <w:left w:val="nil"/>
                <w:bottom w:val="nil"/>
                <w:right w:val="nil"/>
                <w:between w:val="nil"/>
              </w:pBdr>
              <w:spacing w:after="0" w:line="240" w:lineRule="auto"/>
              <w:jc w:val="center"/>
              <w:rPr>
                <w:noProof/>
                <w:color w:val="006100"/>
              </w:rPr>
            </w:pPr>
            <w:r>
              <w:rPr>
                <w:noProof/>
              </w:rPr>
              <w:t>D1L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F" w14:textId="77777777" w:rsidR="00A60DDE" w:rsidRDefault="00095506">
            <w:pPr>
              <w:pStyle w:val="P68B1DB1-Normal26"/>
              <w:pBdr>
                <w:top w:val="nil"/>
                <w:left w:val="nil"/>
                <w:bottom w:val="nil"/>
                <w:right w:val="nil"/>
                <w:between w:val="nil"/>
              </w:pBdr>
              <w:spacing w:after="0" w:line="240" w:lineRule="auto"/>
              <w:rPr>
                <w:noProof/>
                <w:color w:val="006100"/>
              </w:rPr>
            </w:pPr>
            <w:r>
              <w:rPr>
                <w:noProof/>
              </w:rPr>
              <w:t>D1.2 Creșterea eficienței, a disponibilității și a calității serviciilor de îngrijire pe termen lung ale furnizorilor de servicii medicale la nivel districtual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0" w14:textId="77777777" w:rsidR="00A60DDE" w:rsidRDefault="00095506">
            <w:pPr>
              <w:pStyle w:val="P68B1DB1-Normal26"/>
              <w:pBdr>
                <w:top w:val="nil"/>
                <w:left w:val="nil"/>
                <w:bottom w:val="nil"/>
                <w:right w:val="nil"/>
                <w:between w:val="nil"/>
              </w:pBdr>
              <w:spacing w:after="0" w:line="240" w:lineRule="auto"/>
              <w:jc w:val="center"/>
              <w:rPr>
                <w:noProof/>
                <w:color w:val="006100"/>
              </w:rPr>
            </w:pPr>
            <w:r>
              <w:rPr>
                <w:noProof/>
              </w:rPr>
              <w:t>Etapa de referință</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1" w14:textId="076D1365" w:rsidR="00A60DDE" w:rsidRDefault="00095506">
            <w:pPr>
              <w:pStyle w:val="P68B1DB1-Normal26"/>
              <w:pBdr>
                <w:top w:val="nil"/>
                <w:left w:val="nil"/>
                <w:bottom w:val="nil"/>
                <w:right w:val="nil"/>
                <w:between w:val="nil"/>
              </w:pBdr>
              <w:spacing w:after="0" w:line="240" w:lineRule="auto"/>
              <w:rPr>
                <w:noProof/>
                <w:color w:val="000000"/>
              </w:rPr>
            </w:pPr>
            <w:r>
              <w:rPr>
                <w:noProof/>
              </w:rPr>
              <w:t>Revizuirea potențialului de înființare a unor unități/centre de îngrijire pe termen lung și geriatrie în spitalele districtuale din Polonia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2" w14:textId="77777777" w:rsidR="00A60DDE" w:rsidRDefault="00095506">
            <w:pPr>
              <w:pStyle w:val="P68B1DB1-Normal26"/>
              <w:pBdr>
                <w:top w:val="nil"/>
                <w:left w:val="nil"/>
                <w:bottom w:val="nil"/>
                <w:right w:val="nil"/>
                <w:between w:val="nil"/>
              </w:pBdr>
              <w:spacing w:after="0" w:line="240" w:lineRule="auto"/>
              <w:rPr>
                <w:noProof/>
                <w:color w:val="006100"/>
              </w:rPr>
            </w:pPr>
            <w:r>
              <w:rPr>
                <w:noProof/>
              </w:rPr>
              <w:t>Publicare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3"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4"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5"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6" w14:textId="77777777" w:rsidR="00A60DDE" w:rsidRDefault="00095506">
            <w:pPr>
              <w:pStyle w:val="P68B1DB1-Normal26"/>
              <w:pBdr>
                <w:top w:val="nil"/>
                <w:left w:val="nil"/>
                <w:bottom w:val="nil"/>
                <w:right w:val="nil"/>
                <w:between w:val="nil"/>
              </w:pBdr>
              <w:spacing w:after="0" w:line="240" w:lineRule="auto"/>
              <w:jc w:val="center"/>
              <w:rPr>
                <w:noProof/>
                <w:color w:val="0061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7" w14:textId="77777777" w:rsidR="00A60DDE" w:rsidRDefault="00095506">
            <w:pPr>
              <w:pStyle w:val="P68B1DB1-Normal26"/>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8" w14:textId="38927B5D" w:rsidR="00A60DDE" w:rsidRDefault="00095506">
            <w:pPr>
              <w:pStyle w:val="P68B1DB1-Normal66"/>
              <w:spacing w:after="0" w:line="240" w:lineRule="auto"/>
              <w:textAlignment w:val="baseline"/>
              <w:rPr>
                <w:rFonts w:ascii="Times New Roman" w:hAnsi="Times New Roman"/>
                <w:noProof/>
              </w:rPr>
            </w:pPr>
            <w:r>
              <w:rPr>
                <w:rFonts w:ascii="Times New Roman" w:hAnsi="Times New Roman"/>
                <w:noProof/>
                <w:color w:val="000000" w:themeColor="text1"/>
              </w:rPr>
              <w:t>Publicarea unei revizuiri, ca parte a analizei strategice globale a îngrijirii pe termen lung în Polonia, prevăzută în cadrul componentei A, cu privire la potențialul de înființare a unor unități/centre de îngrijire pe termen lung și de îngrijire geriatrică în spitalele districtuale (inclusiv transformarea unor părți din spitalele districtuale). Revizuirea analizează, în special, modalitățile posibile de:</w:t>
            </w:r>
            <w:r>
              <w:rPr>
                <w:noProof/>
              </w:rPr>
              <w:br/>
            </w:r>
            <w:r>
              <w:rPr>
                <w:rFonts w:ascii="Times New Roman" w:hAnsi="Times New Roman"/>
                <w:noProof/>
                <w:color w:val="000000" w:themeColor="text1"/>
              </w:rPr>
              <w:t>creșterea disponibilității serviciilor de asistență medicală pe termen lung prin abordarea lacunelor identificate în furnizarea de îngrijire pe termen lung, în special la nivel districtual;</w:t>
            </w:r>
            <w:r>
              <w:rPr>
                <w:noProof/>
              </w:rPr>
              <w:br/>
            </w:r>
            <w:r>
              <w:rPr>
                <w:rFonts w:ascii="Times New Roman" w:hAnsi="Times New Roman"/>
                <w:noProof/>
                <w:color w:val="000000" w:themeColor="text1"/>
              </w:rPr>
              <w:t>eliminarea inegalităților în ceea ce privește accesul la serviciile de asistență medicală pe termen lung;</w:t>
            </w:r>
            <w:r>
              <w:rPr>
                <w:noProof/>
              </w:rPr>
              <w:br/>
            </w:r>
            <w:r>
              <w:rPr>
                <w:rFonts w:ascii="Times New Roman" w:hAnsi="Times New Roman"/>
                <w:noProof/>
                <w:color w:val="000000" w:themeColor="text1"/>
              </w:rPr>
              <w:t>îmbunătățirea condițiilor de muncă pentru personalul medical; și</w:t>
            </w:r>
            <w:r>
              <w:rPr>
                <w:noProof/>
              </w:rPr>
              <w:br/>
              <w:t xml:space="preserve"> </w:t>
            </w:r>
            <w:r>
              <w:rPr>
                <w:rFonts w:ascii="Times New Roman" w:hAnsi="Times New Roman"/>
                <w:noProof/>
                <w:color w:val="000000" w:themeColor="text1"/>
              </w:rPr>
              <w:t>îmbunătățirea calității îngrijirii pe termen lung.</w:t>
            </w:r>
          </w:p>
        </w:tc>
      </w:tr>
      <w:tr w:rsidR="00A60DDE" w14:paraId="1216BF06" w14:textId="7777777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A" w14:textId="77777777" w:rsidR="00A60DDE" w:rsidRDefault="00095506">
            <w:pPr>
              <w:pStyle w:val="P68B1DB1-Normal45"/>
              <w:pBdr>
                <w:top w:val="nil"/>
                <w:left w:val="nil"/>
                <w:bottom w:val="nil"/>
                <w:right w:val="nil"/>
                <w:between w:val="nil"/>
              </w:pBdr>
              <w:spacing w:after="0" w:line="240" w:lineRule="auto"/>
              <w:jc w:val="center"/>
              <w:rPr>
                <w:noProof/>
                <w:color w:val="006100"/>
              </w:rPr>
            </w:pPr>
            <w:r>
              <w:rPr>
                <w:noProof/>
              </w:rPr>
              <w:t>D2L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B" w14:textId="77777777" w:rsidR="00A60DDE" w:rsidRDefault="00095506">
            <w:pPr>
              <w:pStyle w:val="P68B1DB1-Normal26"/>
              <w:pBdr>
                <w:top w:val="nil"/>
                <w:left w:val="nil"/>
                <w:bottom w:val="nil"/>
                <w:right w:val="nil"/>
                <w:between w:val="nil"/>
              </w:pBdr>
              <w:spacing w:after="0" w:line="240" w:lineRule="auto"/>
              <w:rPr>
                <w:noProof/>
                <w:color w:val="006100"/>
              </w:rPr>
            </w:pPr>
            <w:r>
              <w:rPr>
                <w:noProof/>
              </w:rPr>
              <w:t>D1.2 Creșterea eficienței, a disponibilității și a calității serviciilor de îngrijire pe termen lung ale furnizorilor de servicii medicale la nivel districtual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C" w14:textId="77777777" w:rsidR="00A60DDE" w:rsidRDefault="00095506">
            <w:pPr>
              <w:pStyle w:val="P68B1DB1-Normal26"/>
              <w:pBdr>
                <w:top w:val="nil"/>
                <w:left w:val="nil"/>
                <w:bottom w:val="nil"/>
                <w:right w:val="nil"/>
                <w:between w:val="nil"/>
              </w:pBdr>
              <w:spacing w:after="0" w:line="240" w:lineRule="auto"/>
              <w:jc w:val="center"/>
              <w:rPr>
                <w:noProof/>
                <w:color w:val="006100"/>
              </w:rPr>
            </w:pPr>
            <w:r>
              <w:rPr>
                <w:noProof/>
              </w:rPr>
              <w:t>Etapa de referință</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D" w14:textId="7E8DC40F" w:rsidR="00A60DDE" w:rsidRDefault="00095506">
            <w:pPr>
              <w:pStyle w:val="P68B1DB1-Normal26"/>
              <w:pBdr>
                <w:top w:val="nil"/>
                <w:left w:val="nil"/>
                <w:bottom w:val="nil"/>
                <w:right w:val="nil"/>
                <w:between w:val="nil"/>
              </w:pBdr>
              <w:spacing w:after="0" w:line="240" w:lineRule="auto"/>
              <w:rPr>
                <w:noProof/>
                <w:color w:val="006100"/>
              </w:rPr>
            </w:pPr>
            <w:r>
              <w:rPr>
                <w:noProof/>
              </w:rPr>
              <w:t>Intrarea în vigoare a unui act legislativ privind sprijinul pentru înființarea de unități/centre de îngrijire pe termen lung și geriatrie în spitalele raionale, pe baza rezultatelor revizuirii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E" w14:textId="4FA94A9B" w:rsidR="00A60DDE" w:rsidRDefault="00095506">
            <w:pPr>
              <w:pStyle w:val="P68B1DB1-Normal26"/>
              <w:pBdr>
                <w:top w:val="nil"/>
                <w:left w:val="nil"/>
                <w:bottom w:val="nil"/>
                <w:right w:val="nil"/>
                <w:between w:val="nil"/>
              </w:pBdr>
              <w:spacing w:after="0" w:line="240" w:lineRule="auto"/>
              <w:rPr>
                <w:noProof/>
                <w:color w:val="006100"/>
              </w:rPr>
            </w:pPr>
            <w:r>
              <w:rPr>
                <w:noProof/>
              </w:rPr>
              <w:t>Dispoziție din actul legislativ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F"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0"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1" w14:textId="77777777" w:rsidR="00A60DDE" w:rsidRDefault="00A60DDE">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2" w14:textId="77777777" w:rsidR="00A60DDE" w:rsidRDefault="00095506">
            <w:pPr>
              <w:pStyle w:val="P68B1DB1-Normal26"/>
              <w:pBdr>
                <w:top w:val="nil"/>
                <w:left w:val="nil"/>
                <w:bottom w:val="nil"/>
                <w:right w:val="nil"/>
                <w:between w:val="nil"/>
              </w:pBdr>
              <w:spacing w:after="0" w:line="240" w:lineRule="auto"/>
              <w:jc w:val="center"/>
              <w:rPr>
                <w:noProof/>
                <w:color w:val="0061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3" w14:textId="77777777" w:rsidR="00A60DDE" w:rsidRDefault="00095506">
            <w:pPr>
              <w:pStyle w:val="P68B1DB1-Normal26"/>
              <w:pBdr>
                <w:top w:val="nil"/>
                <w:left w:val="nil"/>
                <w:bottom w:val="nil"/>
                <w:right w:val="nil"/>
                <w:between w:val="nil"/>
              </w:pBdr>
              <w:spacing w:after="0" w:line="240" w:lineRule="auto"/>
              <w:jc w:val="center"/>
              <w:rPr>
                <w:noProof/>
                <w:color w:val="0000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4" w14:textId="77777777" w:rsidR="00A60DDE" w:rsidRDefault="00095506">
            <w:pPr>
              <w:pStyle w:val="P68B1DB1-Normal26"/>
              <w:pBdr>
                <w:top w:val="nil"/>
                <w:left w:val="nil"/>
                <w:bottom w:val="nil"/>
                <w:right w:val="nil"/>
                <w:between w:val="nil"/>
              </w:pBdr>
              <w:spacing w:after="0" w:line="240" w:lineRule="auto"/>
              <w:rPr>
                <w:noProof/>
                <w:color w:val="000000"/>
              </w:rPr>
            </w:pPr>
            <w:r>
              <w:rPr>
                <w:noProof/>
              </w:rPr>
              <w:t>Intrarea în vigoare a unui act legislativ, pe baza rezultatelor revizuirii potențialului de înființare a unor unități/centre de îngrijire pe termen lung și geriatrie în spitalele districtuale din Polonia. Actul precizează modul în care sprijinul pentru înființarea de unități de îngrijire pe termen lung și de unități și/sau centre de geriatrie în spitalele districtuale îmbunătățește furnizarea de îngrijire, printre altele, persoanelor în vârstă la nivel local.</w:t>
            </w:r>
          </w:p>
          <w:p w14:paraId="1216BF05" w14:textId="77777777" w:rsidR="00A60DDE" w:rsidRDefault="00095506">
            <w:pPr>
              <w:pStyle w:val="P68B1DB1-Normal26"/>
              <w:pBdr>
                <w:top w:val="nil"/>
                <w:left w:val="nil"/>
                <w:bottom w:val="nil"/>
                <w:right w:val="nil"/>
                <w:between w:val="nil"/>
              </w:pBdr>
              <w:spacing w:after="0" w:line="240" w:lineRule="auto"/>
              <w:rPr>
                <w:noProof/>
                <w:color w:val="000000"/>
              </w:rPr>
            </w:pPr>
            <w:r>
              <w:rPr>
                <w:noProof/>
              </w:rPr>
              <w:t>Actul legislativ este în conformitate cu „Cadrul strategic privind dezvoltarea sistemului de sănătate în Polonia 2021-2027 – Un viitor sănătos”.</w:t>
            </w:r>
          </w:p>
        </w:tc>
      </w:tr>
    </w:tbl>
    <w:p w14:paraId="1216BF07" w14:textId="77777777" w:rsidR="00A60DDE" w:rsidRDefault="00A60DDE">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4F81BD"/>
        </w:rPr>
        <w:sectPr w:rsidR="00A60DDE" w:rsidSect="006C5441">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299"/>
        </w:sectPr>
      </w:pPr>
    </w:p>
    <w:p w14:paraId="1216BF08" w14:textId="77777777" w:rsidR="00A60DDE" w:rsidRDefault="00095506">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E. COMPONENTUL E: MOBILITATE VERDE, INTELIGENTĂ</w:t>
      </w:r>
    </w:p>
    <w:p w14:paraId="1216BF09" w14:textId="77777777" w:rsidR="00A60DDE" w:rsidRDefault="00095506">
      <w:pPr>
        <w:pStyle w:val="P68B1DB1-Normal047"/>
        <w:pBdr>
          <w:top w:val="nil"/>
          <w:left w:val="nil"/>
          <w:bottom w:val="nil"/>
          <w:right w:val="nil"/>
          <w:between w:val="nil"/>
        </w:pBdr>
        <w:spacing w:after="120" w:line="240" w:lineRule="auto"/>
        <w:jc w:val="both"/>
        <w:rPr>
          <w:rFonts w:eastAsia="Times New Roman" w:cs="Times New Roman"/>
          <w:noProof/>
          <w:color w:val="000000"/>
          <w:szCs w:val="24"/>
        </w:rPr>
      </w:pPr>
      <w:r>
        <w:rPr>
          <w:noProof/>
        </w:rPr>
        <w:t>Componenta Planului de redresare și reziliență al Poloniei abordează în primul rând provocările cu care se confruntă sectorul transporturilor din Polonia în ceea ce privește decarbonizarea și poluarea aerului. Din 1990, emisiile generate de transporturi au crescut cu 214%, în principal din cauza unei creșteri semnificative a transportului rutier. Între 2005 și 2019, traficul rutier aproape s-a triplat, în timp ce în sectorul feroviar creșterea corespunzătoare a fost de doar 9 %. Componenta urmărește crearea de sinergii între decarbonizare și agenda industrială. Având în vedere numărul constant ridicat de decese cauzate de accidente rutiere în țară, o altă provocare abordată de componentă este siguranța rutieră. Componenta abordează, de asemenea, excluderea anumitor zone dintr-o ofertă viabilă de transport public.</w:t>
      </w:r>
    </w:p>
    <w:p w14:paraId="1216BF0A" w14:textId="66935F4C" w:rsidR="00A60DDE" w:rsidRDefault="00095506">
      <w:pPr>
        <w:pStyle w:val="P68B1DB1-Normal037"/>
        <w:pBdr>
          <w:top w:val="nil"/>
          <w:left w:val="nil"/>
          <w:bottom w:val="nil"/>
          <w:right w:val="nil"/>
          <w:between w:val="nil"/>
        </w:pBdr>
        <w:spacing w:before="120" w:after="120" w:line="257" w:lineRule="auto"/>
        <w:jc w:val="both"/>
        <w:rPr>
          <w:rFonts w:eastAsia="Times New Roman" w:cs="Times New Roman"/>
          <w:noProof/>
          <w:color w:val="000000"/>
        </w:rPr>
      </w:pPr>
      <w:r>
        <w:rPr>
          <w:noProof/>
        </w:rPr>
        <w:t>Prin urmare, principalul obiectiv al componentei este de a introduce reforme și investiții pentru a promova transportul durabil, prin intermediul transportului urban public, al vehiculelor nepoluante și al infrastructurii corespunzătoare, al transferului modal de la transportul rutier la cel feroviar și al transportului intermodal. Siguranța rutieră este vizată printr-un set cuprinzător de reforme și investiții menite să sporească siguranța anumitor tronsoane rutiere. Investițiile în transportul public rural vizează transformarea acestui tip de transport într-o alternativă viabilă la autoturisme și consolidarea coeziunii și incluziunii economice și sociale.</w:t>
      </w:r>
    </w:p>
    <w:p w14:paraId="1216BF0B" w14:textId="77777777" w:rsidR="00A60DDE" w:rsidRDefault="00095506">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Componenta contribuie la abordarea recomandării specifice fiecărei țări de a concentra politica economică legată de investiții asupra inovării, transporturilor, în special asupra sustenabilității, a infrastructurii digitale și energetice, a asistenței medicale și a energiei mai curate, ținând seama de disparitățile regionale (Recomandarea specifică fiecărei țări 3 2019) și de a concentra investițiile asupra tranziției verzi și a celei digitale, în special asupra infrastructurii digitale, a producției și utilizării curate și eficiente a energiei și a transportului durabil, ceea ce va contribui la decarbonizarea treptată a economiei, inclusiv în regiunile carbonifere (Recomandarea specifică fiecărei țări 3 2020).</w:t>
      </w:r>
    </w:p>
    <w:p w14:paraId="1216BF0C" w14:textId="61F80252" w:rsidR="00A60DDE" w:rsidRDefault="00095506">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 Toate proiectele de investiții finanțate în cadrul acestei componente care necesită o decizie de evaluare a impactului asupra mediului (EIM) respectă Directiva 2011/92/UE, astfel cum a fost modificată prin Directiva 2014/52/UE. Mai precis, toate proiectele noi care necesită o evaluare a impactului asupra mediului sunt autorizate în temeiul</w:t>
      </w:r>
      <w:r>
        <w:rPr>
          <w:i/>
          <w:noProof/>
        </w:rPr>
        <w:t xml:space="preserve"> Legii privind furnizarea de informații privind mediul și protecția acestuia, participarea publicului la protecția mediului și evaluările impactului asupra mediului, astfel cum a fost modificată prin Legea din 30 martie 2021 de modificare a legii respective și a altor acte.</w:t>
      </w:r>
      <w:r>
        <w:rPr>
          <w:noProof/>
        </w:rPr>
        <w:t xml:space="preserve"> Dispozițiile „Orientărilor privind acțiunile de remediere pentru proiectele cofinanțate din fondurile UE afectate de încălcare 2016/2046”, astfel cum au fost comunicate Poloniei la 23 februarie 2021 [ref. Ares(2021)1423319], se iau în considerare pentru punerea în aplicare a tuturor proiectelor de investiții pentru care a fost solicitată sau emisă o decizie de mediu sau o autorizație de construcție sau de dezvoltare înainte de intrarea în vigoare a Legii din 30 martie 2021.</w:t>
      </w:r>
    </w:p>
    <w:p w14:paraId="1216BF0D" w14:textId="77777777" w:rsidR="00A60DDE" w:rsidRDefault="00095506">
      <w:pPr>
        <w:pStyle w:val="Normal0"/>
        <w:pageBreakBefore/>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szCs w:val="24"/>
        </w:rPr>
        <w:t xml:space="preserve">E.1. </w:t>
      </w:r>
      <w:r>
        <w:rPr>
          <w:noProof/>
        </w:rPr>
        <w:t xml:space="preserve"> </w:t>
      </w:r>
      <w:r>
        <w:rPr>
          <w:rFonts w:ascii="Times New Roman" w:hAnsi="Times New Roman"/>
          <w:b/>
          <w:noProof/>
          <w:color w:val="000000" w:themeColor="text1"/>
          <w:sz w:val="24"/>
          <w:szCs w:val="24"/>
        </w:rPr>
        <w:t>Descrierea reformelor și a investițiilor pentru sprijinul financiar nerambursabil</w:t>
      </w:r>
    </w:p>
    <w:p w14:paraId="1216BF0E"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E1.1 Creșterea utilizării transportului ecologic</w:t>
      </w:r>
    </w:p>
    <w:p w14:paraId="1216BF0F" w14:textId="77777777"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măsurii este de a reduce emisiile de gaze cu efect de seră și de poluanți atmosferici proveniți din transporturi și de a crește ponderea combustibililor alternativi.</w:t>
      </w:r>
    </w:p>
    <w:p w14:paraId="1216BF10" w14:textId="5AF14BAD" w:rsidR="00A60DDE" w:rsidRDefault="00095506">
      <w:pPr>
        <w:pStyle w:val="Normal0"/>
        <w:jc w:val="both"/>
        <w:rPr>
          <w:rFonts w:ascii="Times" w:eastAsia="Times New Roman" w:hAnsi="Times" w:cs="Times"/>
          <w:noProof/>
          <w:sz w:val="24"/>
          <w:szCs w:val="24"/>
        </w:rPr>
      </w:pPr>
      <w:r>
        <w:rPr>
          <w:rFonts w:ascii="Times New Roman" w:hAnsi="Times New Roman"/>
          <w:noProof/>
          <w:color w:val="000000" w:themeColor="text1"/>
          <w:sz w:val="24"/>
          <w:szCs w:val="24"/>
        </w:rPr>
        <w:t xml:space="preserve">Această măsură constă în (i) o lege privind achiziționarea de autobuze cu emisii zero, (ii) sprijin pentru elaborarea de planuri de mobilitate urbană durabilă („PMUD”), (iii) </w:t>
      </w:r>
      <w:r>
        <w:rPr>
          <w:rStyle w:val="normaltextrun"/>
          <w:rFonts w:ascii="Times New Roman" w:eastAsia="Times New Roman" w:hAnsi="Times New Roman" w:cs="Times New Roman"/>
          <w:noProof/>
          <w:sz w:val="24"/>
          <w:szCs w:val="24"/>
        </w:rPr>
        <w:t>o schemă de granturi pentru sprijinul acordat vehiculelor electrice, (iv) plata (plățile) fondurilor și (iv) noi înmatriculări de vehicule electrice.</w:t>
      </w:r>
    </w:p>
    <w:p w14:paraId="1216BF11" w14:textId="77777777" w:rsidR="00A60DDE" w:rsidRDefault="00095506">
      <w:pPr>
        <w:pStyle w:val="P68B1DB1-Normal077"/>
        <w:pBdr>
          <w:top w:val="nil"/>
          <w:left w:val="nil"/>
          <w:bottom w:val="nil"/>
          <w:right w:val="nil"/>
          <w:between w:val="nil"/>
        </w:pBdr>
        <w:spacing w:before="120" w:after="120" w:line="240" w:lineRule="auto"/>
        <w:jc w:val="both"/>
        <w:rPr>
          <w:noProof/>
        </w:rPr>
      </w:pPr>
      <w:r>
        <w:rPr>
          <w:noProof/>
        </w:rPr>
        <w:t>E1.1.1 Sprijin pentru o economie cu emisii scăzute de dioxid de carbon</w:t>
      </w:r>
    </w:p>
    <w:p w14:paraId="1216BF12"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 xml:space="preserve">Obiectivul general al investiției este de a contribui la dezvoltarea unei economii cu emisii scăzute și zero de dioxid de carbon prin sprijinirea industriei în favoarea mobilității curate și a sectoarelor energetice. Obiectivul specific al investiției este de a spori potențialul sectoarelor selectate de a dezvolta soluții de produse cu emisii zero și cu emisii scăzute de dioxid de carbon. </w:t>
      </w:r>
    </w:p>
    <w:p w14:paraId="1216BF13"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 xml:space="preserve">Aceste obiective sunt urmărite prin instituirea unui instrument financiar specific (fond) pentru proiectele industriale menționate mai sus. Produsele și tehnologiile sprijinite pot include în special procesele de cercetare și inovare, transferul de tehnologie și cooperarea între întreprinderi axate pe economia cu emisii scăzute de dioxid de carbon, cu accent pe soluțiile inovatoare cu emisii scăzute și cu emisii zero în domeniul mobilității durabile și al surselor de energie cu emisii zero și cu emisii scăzute. </w:t>
      </w:r>
    </w:p>
    <w:p w14:paraId="1216BF14"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 xml:space="preserve">Fondul respectiv, împreună cu strategia sa de investiții, se înființează până la 30 iunie 2022. </w:t>
      </w:r>
    </w:p>
    <w:p w14:paraId="1216BF15" w14:textId="027E01D3" w:rsidR="00A60DDE" w:rsidRDefault="00095506">
      <w:pPr>
        <w:pStyle w:val="P68B1DB1-Normal037"/>
        <w:pBdr>
          <w:top w:val="nil"/>
          <w:left w:val="nil"/>
          <w:bottom w:val="nil"/>
          <w:right w:val="nil"/>
          <w:between w:val="nil"/>
        </w:pBdr>
        <w:spacing w:before="120" w:after="120" w:line="240" w:lineRule="auto"/>
        <w:jc w:val="both"/>
        <w:rPr>
          <w:noProof/>
        </w:rPr>
      </w:pPr>
      <w:r>
        <w:rPr>
          <w:noProof/>
        </w:rPr>
        <w:t>Pentru a se asigura că măsura respectă Orientările tehnice de „a nu prejudicia în mod semnificativ” (2021/C 58/01), criteriile de selecție a instrumentului financiar exclud următoarea listă de activități: (i) activitățile legate de combustibilii fosili, inclusiv utilizarea în aval; (ii) activitățile din cadrul schemei UE de comercializare a certificatelor de emisii (ETS) care generează emisii de gaze cu efect de seră preconizate care nu sunt mai mici decât valorile de referință relevante; (iii) activități legate de depozitele de deșeuri, incineratoare și stații de tratare mecano-biologică; și (iv) activități în care eliminarea pe termen lung a deșeurilor poate dăuna mediului. Mandatul prevede, de asemenea, că pot fi selectate numai activitățile care respectă legislația UE și națională relevantă în domeniul mediului.</w:t>
      </w:r>
    </w:p>
    <w:p w14:paraId="1216BF16" w14:textId="77777777" w:rsidR="00A60DDE" w:rsidRDefault="00095506">
      <w:pPr>
        <w:pStyle w:val="P68B1DB1-Normal037"/>
        <w:pBdr>
          <w:top w:val="nil"/>
          <w:left w:val="nil"/>
          <w:bottom w:val="nil"/>
          <w:right w:val="nil"/>
          <w:between w:val="nil"/>
        </w:pBdr>
        <w:spacing w:before="120" w:after="120" w:line="240" w:lineRule="auto"/>
        <w:jc w:val="both"/>
        <w:rPr>
          <w:noProof/>
        </w:rPr>
      </w:pPr>
      <w:r>
        <w:rPr>
          <w:noProof/>
        </w:rPr>
        <w:t>Această măsură este completată de măsura E3.1.1 Facilitatea de sprijinire a unei economii cu emisii scăzute de dioxid de carbon.</w:t>
      </w:r>
    </w:p>
    <w:p w14:paraId="1216BF17" w14:textId="0B37B9B5" w:rsidR="00A60DDE" w:rsidRDefault="00095506">
      <w:pPr>
        <w:pStyle w:val="P68B1DB1-Normal036"/>
        <w:spacing w:before="120" w:after="120" w:line="240" w:lineRule="auto"/>
        <w:jc w:val="both"/>
        <w:rPr>
          <w:rFonts w:eastAsia="Times New Roman" w:cs="Times New Roman"/>
          <w:noProof/>
        </w:rPr>
      </w:pPr>
      <w:r>
        <w:rPr>
          <w:noProof/>
        </w:rPr>
        <w:t>E1.1.2 Autobuze și tramvaie cu emisii zero și cu emisii scăzute</w:t>
      </w:r>
    </w:p>
    <w:p w14:paraId="1216BF19" w14:textId="67FEB6F2"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acestei investiții este de a face transportul public mai curat și de a-i spori atractivitatea față de autoturismele personale. Această măsură constă în acceptarea sau livrarea de autobuze cu emisii zero (adică electrice sau pe bază de hidrogen) sau cu emisii scăzute (adică hibride, cum ar fi HEV/MHEV sau PHEV reîncărcabil, sau alimentate cu gaz, cum ar fi NLG, PLG sau CNG) și acceptarea sau livrarea sau declarația de pregătire pentru acceptarea tramvaielor.</w:t>
      </w:r>
    </w:p>
    <w:p w14:paraId="1216BF1A" w14:textId="77777777" w:rsidR="00A60DDE" w:rsidRDefault="00095506">
      <w:pPr>
        <w:pStyle w:val="P68B1DB1-Normal048"/>
        <w:pBdr>
          <w:top w:val="nil"/>
          <w:left w:val="nil"/>
          <w:bottom w:val="nil"/>
          <w:right w:val="nil"/>
          <w:between w:val="nil"/>
        </w:pBdr>
        <w:spacing w:before="120" w:after="120" w:line="240" w:lineRule="auto"/>
        <w:jc w:val="both"/>
        <w:rPr>
          <w:noProof/>
        </w:rPr>
      </w:pPr>
      <w:r>
        <w:rPr>
          <w:noProof/>
        </w:rPr>
        <w:t>E2.1 Creșterea competitivității sectorului feroviar</w:t>
      </w:r>
    </w:p>
    <w:p w14:paraId="1216BF1B"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spori reziliența operatorilor feroviari și de a spori competitivitatea și eficiența sectorului feroviar în sectorul transporturilor din Polonia.</w:t>
      </w:r>
    </w:p>
    <w:p w14:paraId="1216BF1C"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Acest lucru se realizează prin stabilirea priorităților pentru transportul intermodal și prin îmbunătățirea capacității de planificare și implementare a proiectelor de transport feroviar. Aceasta se realizează, de asemenea, permițând administratorilor de infrastructură să reducă taxele pentru accesul la infrastructură și să despăgubească administratorii de infrastructură pentru reducerile tarifelor respective.</w:t>
      </w:r>
    </w:p>
    <w:p w14:paraId="1216BF1D" w14:textId="77777777" w:rsidR="00A60DDE" w:rsidRDefault="00095506">
      <w:pPr>
        <w:pStyle w:val="P68B1DB1-Normal047"/>
        <w:spacing w:before="120" w:after="120" w:line="240" w:lineRule="auto"/>
        <w:jc w:val="both"/>
        <w:rPr>
          <w:noProof/>
        </w:rPr>
      </w:pPr>
      <w:r>
        <w:rPr>
          <w:noProof/>
        </w:rPr>
        <w:t>Reforma se finalizează până la 31 decembrie 2022.</w:t>
      </w:r>
    </w:p>
    <w:p w14:paraId="1216BF1E" w14:textId="6ECAD5A9" w:rsidR="00A60DDE" w:rsidRDefault="00095506">
      <w:pPr>
        <w:pStyle w:val="P68B1DB1-Normal047"/>
        <w:spacing w:before="120" w:after="120" w:line="240" w:lineRule="auto"/>
        <w:jc w:val="both"/>
        <w:rPr>
          <w:noProof/>
          <w:color w:val="000000"/>
        </w:rPr>
      </w:pPr>
      <w:r>
        <w:rPr>
          <w:noProof/>
        </w:rPr>
        <w:t>Reforma vizează, de asemenea, creșterea viabilității transportului feroviar în comparație cu alte moduri de transport prin extinderea sistemului de taxare rutieră la încă 1 400 km de autostrăzi și drumuri expres.</w:t>
      </w:r>
    </w:p>
    <w:p w14:paraId="1216BF20"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E2.1.1 Linii de cale ferată</w:t>
      </w:r>
    </w:p>
    <w:p w14:paraId="1216BF21" w14:textId="4B8035D2"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acestei investiții este creșterea capacității și a vitezei pentru transportul feroviar. Această măsură constă în lucrări pe cel puțin 500 km de linii de cale ferată și 180 de treceri la nivel sau alte blocaje.</w:t>
      </w:r>
    </w:p>
    <w:p w14:paraId="1216BF22" w14:textId="77777777" w:rsidR="00A60DDE" w:rsidRDefault="00A60DDE">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3"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E2.1.2 Materialul rulant pentru transportul feroviar de călători</w:t>
      </w:r>
    </w:p>
    <w:p w14:paraId="1216BF24" w14:textId="0185A441" w:rsidR="00A60DDE" w:rsidRDefault="00095506">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acestei investiții este de a spori atractivitatea și viabilitatea transportului feroviar. Această măsură constă în acceptarea (tehnică) sau livrarea materialului rulant.</w:t>
      </w:r>
    </w:p>
    <w:p w14:paraId="1216BF25" w14:textId="77777777" w:rsidR="00A60DDE" w:rsidRDefault="00A60DDE">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6" w14:textId="77777777" w:rsidR="00A60DDE" w:rsidRDefault="00095506">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E2.1.3 Proiecte intermodale</w:t>
      </w:r>
    </w:p>
    <w:p w14:paraId="1216BF27" w14:textId="77777777" w:rsidR="00A60DDE" w:rsidRDefault="00095506">
      <w:pPr>
        <w:pStyle w:val="P68B1DB1-Normal047"/>
        <w:pBdr>
          <w:top w:val="nil"/>
          <w:left w:val="nil"/>
          <w:bottom w:val="nil"/>
          <w:right w:val="nil"/>
          <w:between w:val="nil"/>
        </w:pBdr>
        <w:spacing w:before="120" w:after="120" w:line="240" w:lineRule="auto"/>
        <w:jc w:val="both"/>
        <w:rPr>
          <w:noProof/>
          <w:szCs w:val="24"/>
        </w:rPr>
      </w:pPr>
      <w:r>
        <w:rPr>
          <w:noProof/>
        </w:rPr>
        <w:t xml:space="preserve">Obiectivul acestei investiții este de a sprijini transportul intermodal. </w:t>
      </w:r>
      <w:r>
        <w:rPr>
          <w:noProof/>
          <w:szCs w:val="24"/>
        </w:rPr>
        <w:t>Această măsură constă în investiții în terminale intermodale și în material rulant.</w:t>
      </w:r>
    </w:p>
    <w:p w14:paraId="1216BF28"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29" w14:textId="77777777" w:rsidR="00A60DDE" w:rsidRDefault="00095506">
      <w:pPr>
        <w:pStyle w:val="P68B1DB1-Normal048"/>
        <w:pBdr>
          <w:top w:val="nil"/>
          <w:left w:val="nil"/>
          <w:bottom w:val="nil"/>
          <w:right w:val="nil"/>
          <w:between w:val="nil"/>
        </w:pBdr>
        <w:spacing w:before="120" w:after="120" w:line="240" w:lineRule="auto"/>
        <w:jc w:val="both"/>
        <w:rPr>
          <w:noProof/>
        </w:rPr>
      </w:pPr>
      <w:r>
        <w:rPr>
          <w:noProof/>
        </w:rPr>
        <w:t>E2.2 Îmbunătățirea siguranței transportului</w:t>
      </w:r>
    </w:p>
    <w:p w14:paraId="1216BF2A" w14:textId="77777777" w:rsidR="00A60DDE" w:rsidRDefault="00095506">
      <w:pPr>
        <w:pStyle w:val="P68B1DB1-Normal047"/>
        <w:pBdr>
          <w:top w:val="nil"/>
          <w:left w:val="nil"/>
          <w:bottom w:val="nil"/>
          <w:right w:val="nil"/>
          <w:between w:val="nil"/>
        </w:pBdr>
        <w:spacing w:before="120" w:after="120" w:line="240" w:lineRule="auto"/>
        <w:jc w:val="both"/>
        <w:rPr>
          <w:noProof/>
          <w:color w:val="000000"/>
        </w:rPr>
      </w:pPr>
      <w:r>
        <w:rPr>
          <w:noProof/>
        </w:rPr>
        <w:t>Reforma vizează creșterea siguranței transporturilor, cu accent pe siguranța utilizatorilor de transport vulnerabili.</w:t>
      </w:r>
    </w:p>
    <w:p w14:paraId="1216BF2B" w14:textId="0734A270" w:rsidR="00A60DDE" w:rsidRDefault="00095506">
      <w:pPr>
        <w:pStyle w:val="P68B1DB1-Normal047"/>
        <w:jc w:val="both"/>
        <w:rPr>
          <w:noProof/>
          <w:u w:val="single"/>
        </w:rPr>
      </w:pPr>
      <w:r>
        <w:rPr>
          <w:noProof/>
        </w:rPr>
        <w:t>Reforma constă într-un set de modificări legislative care introduc prioritatea pentru pietoni la treceri, viteza uniformă în zonele construite și distanța minimă dintre vehicule. Aceste modificări legislative urmau să intre în vigoare până la 31 decembrie 2021. Progresele reformei sunt urmărite în raport cu un obiectiv de siguranță rutieră privind o scădere relativă a numărului de decese și de persoane grav rănite, în conformitate cu obiectivele UE privind siguranța rutieră.</w:t>
      </w:r>
    </w:p>
    <w:p w14:paraId="1216BF2C" w14:textId="77777777" w:rsidR="00A60DDE" w:rsidRDefault="00095506">
      <w:pPr>
        <w:pStyle w:val="P68B1DB1-Normal036"/>
        <w:rPr>
          <w:bCs/>
          <w:noProof/>
        </w:rPr>
      </w:pPr>
      <w:r>
        <w:rPr>
          <w:noProof/>
        </w:rPr>
        <w:t>E2.2.1 Investiții în siguranța transporturilor</w:t>
      </w:r>
    </w:p>
    <w:p w14:paraId="1216BF2D" w14:textId="4833E87D" w:rsidR="00A60DDE" w:rsidRDefault="00095506">
      <w:pPr>
        <w:pStyle w:val="P68B1DB1-Normal037"/>
        <w:jc w:val="both"/>
        <w:rPr>
          <w:noProof/>
        </w:rPr>
      </w:pPr>
      <w:r>
        <w:rPr>
          <w:noProof/>
        </w:rPr>
        <w:t>Obiectivul acestei investiții este de a spori siguranța transportului rutier, inclusiv prin promovarea utilizării tahografelor. Această măsură constă în: (i) lucrări privind punctele critice de siguranță rutieră (ii) construirea sau reconstrucția drumurilor naționale, inclusiv a șoselelor ocolitoare și (iii) instalarea de dispozitive de supraveghere rutieră.</w:t>
      </w:r>
    </w:p>
    <w:p w14:paraId="1216BF2E" w14:textId="77777777" w:rsidR="00A60DDE" w:rsidRDefault="00095506">
      <w:pPr>
        <w:pStyle w:val="P68B1DB1-Normal036"/>
        <w:jc w:val="both"/>
        <w:rPr>
          <w:bCs/>
          <w:noProof/>
        </w:rPr>
      </w:pPr>
      <w:r>
        <w:rPr>
          <w:noProof/>
        </w:rPr>
        <w:t>E2.2.2 Digitalizarea transporturilor</w:t>
      </w:r>
    </w:p>
    <w:p w14:paraId="1216BF2F" w14:textId="77777777" w:rsidR="00A60DDE" w:rsidRDefault="00095506">
      <w:pPr>
        <w:pStyle w:val="P68B1DB1-Normal047"/>
        <w:jc w:val="both"/>
        <w:rPr>
          <w:noProof/>
        </w:rPr>
      </w:pPr>
      <w:r>
        <w:rPr>
          <w:noProof/>
        </w:rPr>
        <w:t>Obiectivul acestei investiții este de a introduce soluții digitale pentru ca transportul feroviar și transportul public să devină mai atractive și mai eficiente. Această măsură constă în instalarea sau actualizarea unităților de la bord ale Sistemului european de management al traficului feroviar (ERTMS), instalarea sistemelor dinamice de informații despre pasageri (SDIP), lucrări la sistemele de trecere la nivel și introducerea controlului automat al punctelor de control feroviar.</w:t>
      </w:r>
    </w:p>
    <w:p w14:paraId="1216BF30"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31" w14:textId="77777777" w:rsidR="00A60DDE" w:rsidRDefault="00A60DDE">
      <w:pPr>
        <w:pStyle w:val="Normal0"/>
        <w:pBdr>
          <w:top w:val="nil"/>
          <w:left w:val="nil"/>
          <w:bottom w:val="nil"/>
          <w:right w:val="nil"/>
          <w:between w:val="nil"/>
        </w:pBdr>
        <w:spacing w:before="120" w:after="0" w:line="240" w:lineRule="auto"/>
        <w:jc w:val="both"/>
        <w:rPr>
          <w:rFonts w:ascii="Times New Roman" w:hAnsi="Times New Roman"/>
          <w:noProof/>
          <w:color w:val="000000"/>
          <w:sz w:val="24"/>
        </w:rPr>
      </w:pPr>
    </w:p>
    <w:p w14:paraId="1216BF32"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rPr>
      </w:pPr>
    </w:p>
    <w:p w14:paraId="1216BF33"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A60DDE" w:rsidSect="006C5441">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299"/>
        </w:sectPr>
      </w:pPr>
    </w:p>
    <w:p w14:paraId="1216BF34" w14:textId="77777777" w:rsidR="00A60DDE" w:rsidRDefault="00095506">
      <w:pPr>
        <w:pStyle w:val="Normal0"/>
        <w:pBdr>
          <w:top w:val="nil"/>
          <w:left w:val="nil"/>
          <w:bottom w:val="nil"/>
          <w:right w:val="nil"/>
          <w:between w:val="nil"/>
        </w:pBdr>
        <w:spacing w:after="0" w:line="240" w:lineRule="auto"/>
        <w:jc w:val="both"/>
        <w:rPr>
          <w:rFonts w:ascii="Times New Roman" w:hAnsi="Times New Roman"/>
          <w:b/>
          <w:noProof/>
          <w:color w:val="000000"/>
          <w:sz w:val="24"/>
        </w:rPr>
      </w:pPr>
      <w:r>
        <w:rPr>
          <w:rFonts w:ascii="Times New Roman" w:hAnsi="Times New Roman"/>
          <w:b/>
          <w:noProof/>
          <w:color w:val="000000"/>
          <w:sz w:val="24"/>
        </w:rPr>
        <w:t xml:space="preserve">E.2. </w:t>
      </w:r>
      <w:r>
        <w:rPr>
          <w:noProof/>
        </w:rPr>
        <w:t xml:space="preserve"> </w:t>
      </w:r>
      <w:r>
        <w:rPr>
          <w:rFonts w:ascii="Times New Roman" w:hAnsi="Times New Roman"/>
          <w:b/>
          <w:noProof/>
          <w:color w:val="000000"/>
          <w:sz w:val="24"/>
        </w:rPr>
        <w:t>Jaloane, ținte, indicatori și calendar pentru monitorizarea și punerea în aplicare a sprijinului financiar nerambursabil</w:t>
      </w:r>
    </w:p>
    <w:p w14:paraId="6E82E653" w14:textId="77777777" w:rsidR="00A60DDE" w:rsidRDefault="00A60DDE">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tbl>
      <w:tblPr>
        <w:tblW w:w="1579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51"/>
        <w:gridCol w:w="1432"/>
        <w:gridCol w:w="1027"/>
        <w:gridCol w:w="1872"/>
        <w:gridCol w:w="1436"/>
        <w:gridCol w:w="1221"/>
        <w:gridCol w:w="1228"/>
        <w:gridCol w:w="1204"/>
        <w:gridCol w:w="992"/>
        <w:gridCol w:w="851"/>
        <w:gridCol w:w="3685"/>
      </w:tblGrid>
      <w:tr w:rsidR="00A60DDE" w14:paraId="1216BF3F" w14:textId="77777777">
        <w:trPr>
          <w:trHeight w:val="705"/>
          <w:tblHeader/>
          <w:jc w:val="center"/>
        </w:trPr>
        <w:tc>
          <w:tcPr>
            <w:tcW w:w="851" w:type="dxa"/>
            <w:vMerge w:val="restart"/>
            <w:shd w:val="clear" w:color="auto" w:fill="BDD7EE"/>
            <w:vAlign w:val="center"/>
          </w:tcPr>
          <w:p w14:paraId="1216BF36" w14:textId="2A4DA23E" w:rsidR="00A60DDE" w:rsidRDefault="005631E2">
            <w:pPr>
              <w:pStyle w:val="P68B1DB1-Normal061"/>
              <w:pBdr>
                <w:top w:val="nil"/>
                <w:left w:val="nil"/>
                <w:bottom w:val="nil"/>
                <w:right w:val="nil"/>
                <w:between w:val="nil"/>
              </w:pBdr>
              <w:spacing w:after="0" w:line="240" w:lineRule="auto"/>
              <w:jc w:val="center"/>
              <w:rPr>
                <w:rFonts w:eastAsia="Times New Roman"/>
                <w:noProof/>
              </w:rPr>
            </w:pPr>
            <w:r>
              <w:rPr>
                <w:noProof/>
              </w:rPr>
              <w:t>Nr. secv</w:t>
            </w:r>
          </w:p>
        </w:tc>
        <w:tc>
          <w:tcPr>
            <w:tcW w:w="1432" w:type="dxa"/>
            <w:vMerge w:val="restart"/>
            <w:shd w:val="clear" w:color="auto" w:fill="BDD7EE"/>
            <w:vAlign w:val="center"/>
          </w:tcPr>
          <w:p w14:paraId="1216BF37"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027" w:type="dxa"/>
            <w:vMerge w:val="restart"/>
            <w:shd w:val="clear" w:color="auto" w:fill="BDD7EE"/>
            <w:vAlign w:val="center"/>
          </w:tcPr>
          <w:p w14:paraId="1216BF38"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Etapa/ținta</w:t>
            </w:r>
          </w:p>
        </w:tc>
        <w:tc>
          <w:tcPr>
            <w:tcW w:w="1872" w:type="dxa"/>
            <w:vMerge w:val="restart"/>
            <w:shd w:val="clear" w:color="auto" w:fill="BDD7EE"/>
            <w:vAlign w:val="center"/>
          </w:tcPr>
          <w:p w14:paraId="1216BF39"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436" w:type="dxa"/>
            <w:vMerge w:val="restart"/>
            <w:shd w:val="clear" w:color="auto" w:fill="BDD7EE"/>
            <w:vAlign w:val="center"/>
          </w:tcPr>
          <w:p w14:paraId="1216BF3A" w14:textId="0AC60CFC" w:rsidR="00A60DDE" w:rsidRDefault="00095506">
            <w:pPr>
              <w:pStyle w:val="P68B1DB1-Normal061"/>
              <w:pBdr>
                <w:top w:val="nil"/>
                <w:left w:val="nil"/>
                <w:bottom w:val="nil"/>
                <w:right w:val="nil"/>
                <w:between w:val="nil"/>
              </w:pBdr>
              <w:spacing w:after="0" w:line="240" w:lineRule="auto"/>
              <w:jc w:val="center"/>
              <w:rPr>
                <w:rFonts w:eastAsia="Times New Roman"/>
                <w:bCs/>
                <w:noProof/>
              </w:rPr>
            </w:pPr>
            <w:r>
              <w:rPr>
                <w:noProof/>
              </w:rPr>
              <w:t>Indicatori calitativi (pentru obiectivele de etapă)</w:t>
            </w:r>
          </w:p>
        </w:tc>
        <w:tc>
          <w:tcPr>
            <w:tcW w:w="3653" w:type="dxa"/>
            <w:gridSpan w:val="3"/>
            <w:shd w:val="clear" w:color="auto" w:fill="BDD7EE"/>
            <w:vAlign w:val="center"/>
          </w:tcPr>
          <w:p w14:paraId="1216BF3B" w14:textId="1A851D90" w:rsidR="00A60DDE" w:rsidRDefault="00095506">
            <w:pPr>
              <w:pStyle w:val="P68B1DB1-Normal061"/>
              <w:pBdr>
                <w:top w:val="nil"/>
                <w:left w:val="nil"/>
                <w:bottom w:val="nil"/>
                <w:right w:val="nil"/>
                <w:between w:val="nil"/>
              </w:pBdr>
              <w:spacing w:after="0" w:line="240" w:lineRule="auto"/>
              <w:jc w:val="center"/>
              <w:rPr>
                <w:rFonts w:eastAsia="Times New Roman"/>
                <w:bCs/>
                <w:noProof/>
              </w:rPr>
            </w:pPr>
            <w:r>
              <w:rPr>
                <w:noProof/>
              </w:rPr>
              <w:t>Indicatori cantitativi (pentru obiective)</w:t>
            </w:r>
          </w:p>
        </w:tc>
        <w:tc>
          <w:tcPr>
            <w:tcW w:w="1843" w:type="dxa"/>
            <w:gridSpan w:val="2"/>
            <w:shd w:val="clear" w:color="auto" w:fill="BDD7EE"/>
            <w:vAlign w:val="center"/>
          </w:tcPr>
          <w:p w14:paraId="1216BF3C"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3685" w:type="dxa"/>
            <w:vMerge w:val="restart"/>
            <w:shd w:val="clear" w:color="auto" w:fill="BDD7EE"/>
            <w:vAlign w:val="center"/>
          </w:tcPr>
          <w:p w14:paraId="1216BF3D"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p w14:paraId="1216BF3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A60DDE" w14:paraId="1216BF4B" w14:textId="77777777">
        <w:trPr>
          <w:trHeight w:val="559"/>
          <w:jc w:val="center"/>
        </w:trPr>
        <w:tc>
          <w:tcPr>
            <w:tcW w:w="851" w:type="dxa"/>
            <w:vMerge/>
            <w:vAlign w:val="center"/>
          </w:tcPr>
          <w:p w14:paraId="1216BF4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32" w:type="dxa"/>
            <w:vMerge/>
            <w:vAlign w:val="center"/>
          </w:tcPr>
          <w:p w14:paraId="1216BF41"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027" w:type="dxa"/>
            <w:vMerge/>
            <w:vAlign w:val="center"/>
          </w:tcPr>
          <w:p w14:paraId="1216BF4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872" w:type="dxa"/>
            <w:vMerge/>
            <w:vAlign w:val="center"/>
          </w:tcPr>
          <w:p w14:paraId="1216BF4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36" w:type="dxa"/>
            <w:vMerge/>
            <w:vAlign w:val="center"/>
          </w:tcPr>
          <w:p w14:paraId="1216BF4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rPr>
            </w:pPr>
          </w:p>
        </w:tc>
        <w:tc>
          <w:tcPr>
            <w:tcW w:w="1221" w:type="dxa"/>
            <w:shd w:val="clear" w:color="auto" w:fill="BDD7EE"/>
            <w:vAlign w:val="center"/>
          </w:tcPr>
          <w:p w14:paraId="1216BF45" w14:textId="77777777" w:rsidR="00A60DDE" w:rsidRDefault="00095506">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Unitatea de măsură</w:t>
            </w:r>
          </w:p>
        </w:tc>
        <w:tc>
          <w:tcPr>
            <w:tcW w:w="1228" w:type="dxa"/>
            <w:shd w:val="clear" w:color="auto" w:fill="BDD7EE"/>
            <w:vAlign w:val="center"/>
          </w:tcPr>
          <w:p w14:paraId="1216BF46" w14:textId="77777777" w:rsidR="00A60DDE" w:rsidRDefault="00095506">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Situația de referință</w:t>
            </w:r>
          </w:p>
        </w:tc>
        <w:tc>
          <w:tcPr>
            <w:tcW w:w="1204" w:type="dxa"/>
            <w:shd w:val="clear" w:color="auto" w:fill="BDD7EE"/>
            <w:vAlign w:val="center"/>
          </w:tcPr>
          <w:p w14:paraId="1216BF47" w14:textId="77777777" w:rsidR="00A60DDE" w:rsidRDefault="00095506">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Obiectiv</w:t>
            </w:r>
          </w:p>
        </w:tc>
        <w:tc>
          <w:tcPr>
            <w:tcW w:w="992" w:type="dxa"/>
            <w:shd w:val="clear" w:color="auto" w:fill="BDD7EE"/>
            <w:vAlign w:val="center"/>
          </w:tcPr>
          <w:p w14:paraId="1216BF48"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851" w:type="dxa"/>
            <w:shd w:val="clear" w:color="auto" w:fill="BDD7EE"/>
            <w:vAlign w:val="center"/>
          </w:tcPr>
          <w:p w14:paraId="1216BF49"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3685" w:type="dxa"/>
            <w:vMerge/>
            <w:vAlign w:val="center"/>
          </w:tcPr>
          <w:p w14:paraId="1216BF4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A60DDE" w14:paraId="1216BF57" w14:textId="77777777">
        <w:trPr>
          <w:trHeight w:val="312"/>
          <w:jc w:val="center"/>
        </w:trPr>
        <w:tc>
          <w:tcPr>
            <w:tcW w:w="851" w:type="dxa"/>
            <w:shd w:val="clear" w:color="auto" w:fill="C6EFCE"/>
          </w:tcPr>
          <w:p w14:paraId="1216BF4C" w14:textId="77777777" w:rsidR="00A60DDE" w:rsidRDefault="00095506">
            <w:pPr>
              <w:pStyle w:val="P68B1DB1-Normal021"/>
              <w:spacing w:after="0" w:line="240" w:lineRule="auto"/>
              <w:jc w:val="center"/>
              <w:rPr>
                <w:noProof/>
              </w:rPr>
            </w:pPr>
            <w:r>
              <w:rPr>
                <w:noProof/>
              </w:rPr>
              <w:t>E1G</w:t>
            </w:r>
          </w:p>
        </w:tc>
        <w:tc>
          <w:tcPr>
            <w:tcW w:w="1432" w:type="dxa"/>
            <w:shd w:val="clear" w:color="auto" w:fill="C6EFCE"/>
          </w:tcPr>
          <w:p w14:paraId="1216BF4D"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E1.1 Creșterea utilizării transportului ecologic</w:t>
            </w:r>
          </w:p>
        </w:tc>
        <w:tc>
          <w:tcPr>
            <w:tcW w:w="1027" w:type="dxa"/>
            <w:shd w:val="clear" w:color="auto" w:fill="C6EFCE"/>
          </w:tcPr>
          <w:p w14:paraId="1216BF4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BF4F" w14:textId="229335DA" w:rsidR="00A60DDE" w:rsidRDefault="00095506">
            <w:pPr>
              <w:pStyle w:val="P68B1DB1-Normal062"/>
              <w:spacing w:after="0" w:line="240" w:lineRule="auto"/>
              <w:rPr>
                <w:rFonts w:eastAsia="Times New Roman"/>
                <w:noProof/>
                <w:color w:val="006100"/>
              </w:rPr>
            </w:pPr>
            <w:r>
              <w:rPr>
                <w:noProof/>
              </w:rPr>
              <w:t>Intrarea în vigoare a unei legi privind achiziționarea de autobuze cu emisii zero</w:t>
            </w:r>
          </w:p>
        </w:tc>
        <w:tc>
          <w:tcPr>
            <w:tcW w:w="1436" w:type="dxa"/>
            <w:shd w:val="clear" w:color="auto" w:fill="C6EFCE"/>
          </w:tcPr>
          <w:p w14:paraId="1216BF50"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Dispoziție dintr-o lege care indică intrarea sa în vigoare</w:t>
            </w:r>
          </w:p>
        </w:tc>
        <w:tc>
          <w:tcPr>
            <w:tcW w:w="1221" w:type="dxa"/>
            <w:shd w:val="clear" w:color="auto" w:fill="C6EFCE"/>
          </w:tcPr>
          <w:p w14:paraId="1216BF51"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BF5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BF5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F54" w14:textId="77777777" w:rsidR="00A60DDE" w:rsidRDefault="00095506">
            <w:pPr>
              <w:pStyle w:val="P68B1DB1-Normal062"/>
              <w:spacing w:after="0" w:line="240" w:lineRule="auto"/>
              <w:jc w:val="center"/>
              <w:rPr>
                <w:noProof/>
                <w:color w:val="000000" w:themeColor="text1"/>
              </w:rPr>
            </w:pPr>
            <w:r>
              <w:rPr>
                <w:noProof/>
              </w:rPr>
              <w:t>Q1</w:t>
            </w:r>
          </w:p>
        </w:tc>
        <w:tc>
          <w:tcPr>
            <w:tcW w:w="851" w:type="dxa"/>
            <w:shd w:val="clear" w:color="auto" w:fill="C6EFCE"/>
          </w:tcPr>
          <w:p w14:paraId="1216BF55" w14:textId="77777777" w:rsidR="00A60DDE" w:rsidRDefault="00095506">
            <w:pPr>
              <w:pStyle w:val="P68B1DB1-Normal062"/>
              <w:spacing w:after="0" w:line="240" w:lineRule="auto"/>
              <w:jc w:val="center"/>
              <w:rPr>
                <w:noProof/>
                <w:color w:val="000000" w:themeColor="text1"/>
              </w:rPr>
            </w:pPr>
            <w:r>
              <w:rPr>
                <w:noProof/>
              </w:rPr>
              <w:t>2025</w:t>
            </w:r>
          </w:p>
        </w:tc>
        <w:tc>
          <w:tcPr>
            <w:tcW w:w="3685" w:type="dxa"/>
            <w:shd w:val="clear" w:color="auto" w:fill="C6EFCE"/>
          </w:tcPr>
          <w:p w14:paraId="1216BF56" w14:textId="371E5AEE" w:rsidR="00A60DDE" w:rsidRDefault="00095506">
            <w:pPr>
              <w:pStyle w:val="P68B1DB1-Normal021"/>
              <w:spacing w:after="0" w:line="240" w:lineRule="auto"/>
              <w:jc w:val="both"/>
              <w:rPr>
                <w:noProof/>
                <w:color w:val="000000" w:themeColor="text1"/>
              </w:rPr>
            </w:pPr>
            <w:r>
              <w:rPr>
                <w:noProof/>
                <w:color w:val="000000" w:themeColor="text1"/>
              </w:rPr>
              <w:t xml:space="preserve">Intrarea în vigoare a unei legi care impune municipalităților cu peste 100 000 de locuitori și entităților contractate sau mandatate de municipalitățile respective să furnizeze servicii de transport rutier urban colectiv de călători obligația legală (sub rezerva unor excepții specificate) de a achiziționa autobuze cu emisii zero atunci când își desfășoară serviciile în municipalități cu peste 100 000 de locuitori. </w:t>
            </w:r>
          </w:p>
        </w:tc>
      </w:tr>
      <w:tr w:rsidR="00A60DDE" w14:paraId="1216BF68" w14:textId="77777777">
        <w:trPr>
          <w:trHeight w:val="300"/>
          <w:jc w:val="center"/>
        </w:trPr>
        <w:tc>
          <w:tcPr>
            <w:tcW w:w="851" w:type="dxa"/>
            <w:shd w:val="clear" w:color="auto" w:fill="C6EFCE"/>
          </w:tcPr>
          <w:p w14:paraId="1216BF58" w14:textId="77777777" w:rsidR="00A60DDE" w:rsidRDefault="00095506">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E2G</w:t>
            </w:r>
          </w:p>
        </w:tc>
        <w:tc>
          <w:tcPr>
            <w:tcW w:w="1432" w:type="dxa"/>
            <w:shd w:val="clear" w:color="auto" w:fill="C6EFCE"/>
          </w:tcPr>
          <w:p w14:paraId="1216BF59" w14:textId="77777777" w:rsidR="00A60DDE" w:rsidRDefault="00095506">
            <w:pPr>
              <w:pStyle w:val="P68B1DB1-Normal062"/>
              <w:pBdr>
                <w:top w:val="nil"/>
                <w:left w:val="nil"/>
                <w:bottom w:val="nil"/>
                <w:right w:val="nil"/>
                <w:between w:val="nil"/>
              </w:pBdr>
              <w:spacing w:after="0" w:line="240" w:lineRule="auto"/>
              <w:rPr>
                <w:rFonts w:eastAsia="Times New Roman"/>
                <w:noProof/>
              </w:rPr>
            </w:pPr>
            <w:bookmarkStart w:id="15" w:name="_Hlk200615890"/>
            <w:r>
              <w:rPr>
                <w:noProof/>
              </w:rPr>
              <w:t>E1.1 Creșterea utilizării transportului ecologic</w:t>
            </w:r>
            <w:bookmarkEnd w:id="15"/>
          </w:p>
        </w:tc>
        <w:tc>
          <w:tcPr>
            <w:tcW w:w="1027" w:type="dxa"/>
            <w:shd w:val="clear" w:color="auto" w:fill="C6EFCE"/>
          </w:tcPr>
          <w:p w14:paraId="1216BF5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Etapa de referință</w:t>
            </w:r>
          </w:p>
        </w:tc>
        <w:tc>
          <w:tcPr>
            <w:tcW w:w="1872" w:type="dxa"/>
            <w:shd w:val="clear" w:color="auto" w:fill="C6EFCE"/>
          </w:tcPr>
          <w:p w14:paraId="1216BF5B" w14:textId="77777777"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Măsuri de sprijinire a elaborării planurilor de mobilitate urbană durabilă (PMUD) și adoptarea de către Ministerul Infrastructurii a unor stimulente pentru punerea în aplicare a PMUD care să ofere sprijin tehnic și financiar tuturor zonelor urbane funcționale</w:t>
            </w:r>
          </w:p>
        </w:tc>
        <w:tc>
          <w:tcPr>
            <w:tcW w:w="1436" w:type="dxa"/>
            <w:shd w:val="clear" w:color="auto" w:fill="C6EFCE"/>
          </w:tcPr>
          <w:p w14:paraId="1216BF5C" w14:textId="6C16143D"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Dispoziție care indică intrarea în vigoare</w:t>
            </w:r>
          </w:p>
        </w:tc>
        <w:tc>
          <w:tcPr>
            <w:tcW w:w="1221" w:type="dxa"/>
            <w:shd w:val="clear" w:color="auto" w:fill="C6EFCE"/>
          </w:tcPr>
          <w:p w14:paraId="1216BF5D"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228" w:type="dxa"/>
            <w:shd w:val="clear" w:color="auto" w:fill="C6EFCE"/>
          </w:tcPr>
          <w:p w14:paraId="1216BF5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204" w:type="dxa"/>
            <w:shd w:val="clear" w:color="auto" w:fill="C6EFCE"/>
          </w:tcPr>
          <w:p w14:paraId="1216BF5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shd w:val="clear" w:color="auto" w:fill="C6EFCE"/>
          </w:tcPr>
          <w:p w14:paraId="1216BF6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Q1</w:t>
            </w:r>
          </w:p>
        </w:tc>
        <w:tc>
          <w:tcPr>
            <w:tcW w:w="851" w:type="dxa"/>
            <w:shd w:val="clear" w:color="auto" w:fill="C6EFCE"/>
          </w:tcPr>
          <w:p w14:paraId="1216BF61"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2023</w:t>
            </w:r>
          </w:p>
        </w:tc>
        <w:tc>
          <w:tcPr>
            <w:tcW w:w="3685" w:type="dxa"/>
            <w:shd w:val="clear" w:color="auto" w:fill="C6EFCE"/>
          </w:tcPr>
          <w:p w14:paraId="1216BF62" w14:textId="77777777"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Introducerea unor măsuri de sprijinire a dezvoltării și a punerii în aplicare a planurilor de mobilitate urbană durabilă (PMUD).</w:t>
            </w:r>
          </w:p>
          <w:p w14:paraId="1216BF63" w14:textId="77777777" w:rsidR="00A60DDE" w:rsidRDefault="00095506">
            <w:pPr>
              <w:pStyle w:val="P68B1DB1-Normal062"/>
              <w:pBdr>
                <w:top w:val="nil"/>
                <w:left w:val="nil"/>
                <w:bottom w:val="nil"/>
                <w:right w:val="nil"/>
                <w:between w:val="nil"/>
              </w:pBdr>
              <w:spacing w:after="120" w:line="240" w:lineRule="auto"/>
              <w:rPr>
                <w:noProof/>
              </w:rPr>
            </w:pPr>
            <w:r>
              <w:rPr>
                <w:noProof/>
              </w:rPr>
              <w:t>Aceste măsuri includ:</w:t>
            </w:r>
          </w:p>
          <w:p w14:paraId="1216BF64" w14:textId="77777777" w:rsidR="00A60DDE" w:rsidRDefault="00095506">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 xml:space="preserve">o nouă structură pentru sprijinul pentru punerea în aplicare a PMUD, cu un comitet director al PMUD pentru a stimula dezvoltarea și punerea în aplicare a PMUD; </w:t>
            </w:r>
          </w:p>
          <w:p w14:paraId="1216BF65" w14:textId="77777777" w:rsidR="00A60DDE" w:rsidRDefault="00095506">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 xml:space="preserve">un centru de competență pentru PMUD din cadrul Ministerului Infrastructurii, care oferă consiliere și sprijin financiar unităților administrației locale; </w:t>
            </w:r>
          </w:p>
          <w:p w14:paraId="1216BF66" w14:textId="77777777" w:rsidR="00A60DDE" w:rsidRDefault="00095506">
            <w:pPr>
              <w:pStyle w:val="P68B1DB1-Normal062"/>
              <w:numPr>
                <w:ilvl w:val="0"/>
                <w:numId w:val="22"/>
              </w:numPr>
              <w:spacing w:after="120" w:line="240" w:lineRule="auto"/>
              <w:ind w:left="357" w:hanging="357"/>
              <w:rPr>
                <w:rFonts w:eastAsia="Times New Roman"/>
                <w:noProof/>
                <w:color w:val="000000" w:themeColor="text1"/>
              </w:rPr>
            </w:pPr>
            <w:r>
              <w:rPr>
                <w:noProof/>
              </w:rPr>
              <w:t xml:space="preserve">plenipotențiarul pentru PMUD din cadrul Ministerului Infrastructurii. </w:t>
            </w:r>
          </w:p>
          <w:p w14:paraId="1216BF67" w14:textId="77777777"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Noul cadru permite furnizarea de sprijin tehnic și financiar adecvat entităților interesate de pregătirea PMUD și îmbunătățește activitățile întreprinse în acest domeniu de administrația centrală.</w:t>
            </w:r>
          </w:p>
        </w:tc>
      </w:tr>
      <w:tr w:rsidR="00A60DDE" w14:paraId="1216BF93" w14:textId="77777777">
        <w:trPr>
          <w:trHeight w:val="4656"/>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1" w14:textId="77777777" w:rsidR="00A60DDE" w:rsidRDefault="00095506">
            <w:pPr>
              <w:pStyle w:val="P68B1DB1-Normal021"/>
              <w:spacing w:line="240" w:lineRule="auto"/>
              <w:jc w:val="center"/>
              <w:rPr>
                <w:noProof/>
              </w:rPr>
            </w:pPr>
            <w:r>
              <w:rPr>
                <w:noProof/>
              </w:rPr>
              <w:t>E4aG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2" w14:textId="77777777" w:rsidR="00A60DDE" w:rsidRDefault="00095506">
            <w:pPr>
              <w:pStyle w:val="P68B1DB1-Normal062"/>
              <w:spacing w:after="0" w:line="240" w:lineRule="auto"/>
              <w:rPr>
                <w:noProof/>
                <w:color w:val="000000" w:themeColor="text1"/>
              </w:rPr>
            </w:pPr>
            <w:r>
              <w:rPr>
                <w:noProof/>
              </w:rPr>
              <w:t>E1.1 Creșterea utilizării transportului ecologic</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3" w14:textId="77777777" w:rsidR="00A60DDE" w:rsidRDefault="00095506">
            <w:pPr>
              <w:pStyle w:val="P68B1DB1-Normal062"/>
              <w:spacing w:after="0" w:line="240" w:lineRule="auto"/>
              <w:jc w:val="center"/>
              <w:rPr>
                <w:noProof/>
                <w:color w:val="000000" w:themeColor="text1"/>
              </w:rPr>
            </w:pPr>
            <w:r>
              <w:rPr>
                <w:noProof/>
              </w:rPr>
              <w:t>Etapa de referință</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4" w14:textId="77777777" w:rsidR="00A60DDE" w:rsidRDefault="00095506">
            <w:pPr>
              <w:pStyle w:val="P68B1DB1-Normal062"/>
              <w:spacing w:line="240" w:lineRule="auto"/>
              <w:rPr>
                <w:noProof/>
                <w:color w:val="000000" w:themeColor="text1"/>
              </w:rPr>
            </w:pPr>
            <w:r>
              <w:rPr>
                <w:noProof/>
              </w:rPr>
              <w:t>Schema de granturi pentru sprijinirea vehiculelor electrice</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5" w14:textId="77777777" w:rsidR="00A60DDE" w:rsidRDefault="00095506">
            <w:pPr>
              <w:pStyle w:val="P68B1DB1-Normal062"/>
              <w:spacing w:line="240" w:lineRule="auto"/>
              <w:rPr>
                <w:noProof/>
                <w:color w:val="000000" w:themeColor="text1"/>
              </w:rPr>
            </w:pPr>
            <w:r>
              <w:rPr>
                <w:noProof/>
              </w:rPr>
              <w:t>Publicarea schemei (schemelor) de granturi</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6"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7"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8" w14:textId="77777777" w:rsidR="00A60DDE" w:rsidRDefault="00A60DDE">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9" w14:textId="77777777" w:rsidR="00A60DDE" w:rsidRDefault="00095506">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A" w14:textId="77777777" w:rsidR="00A60DDE" w:rsidRDefault="00095506">
            <w:pPr>
              <w:pStyle w:val="P68B1DB1-Normal062"/>
              <w:spacing w:line="240" w:lineRule="auto"/>
              <w:jc w:val="center"/>
              <w:rPr>
                <w:noProof/>
                <w:color w:val="000000" w:themeColor="text1"/>
              </w:rPr>
            </w:pPr>
            <w:r>
              <w:rPr>
                <w:noProof/>
              </w:rPr>
              <w:t>2025</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B" w14:textId="77777777" w:rsidR="00A60DDE" w:rsidRDefault="00095506">
            <w:pPr>
              <w:pStyle w:val="P68B1DB1-paragraph78"/>
              <w:spacing w:before="0" w:beforeAutospacing="0" w:after="0" w:afterAutospacing="0"/>
              <w:jc w:val="both"/>
              <w:rPr>
                <w:noProof/>
                <w:color w:val="000000" w:themeColor="text1"/>
              </w:rPr>
            </w:pPr>
            <w:r>
              <w:rPr>
                <w:noProof/>
                <w:color w:val="000000" w:themeColor="text1"/>
              </w:rPr>
              <w:t xml:space="preserve">Se publică o cerere de candidaturi pentru schema (schemele) de granturi pentru sprijinirea achiziționării, închirierii sau leasingului de vehicule electrice cu emisii zero din categoriile M1, </w:t>
            </w:r>
            <w:r>
              <w:rPr>
                <w:rFonts w:eastAsia="Calibri"/>
                <w:noProof/>
              </w:rPr>
              <w:t>M2 și N1.</w:t>
            </w:r>
            <w:r>
              <w:rPr>
                <w:noProof/>
                <w:color w:val="000000" w:themeColor="text1"/>
              </w:rPr>
              <w:t xml:space="preserve"> </w:t>
            </w:r>
          </w:p>
          <w:p w14:paraId="1216BF8C" w14:textId="77777777" w:rsidR="00A60DDE" w:rsidRDefault="00A60DDE">
            <w:pPr>
              <w:pStyle w:val="Default"/>
              <w:rPr>
                <w:noProof/>
                <w:color w:val="000000" w:themeColor="text1"/>
                <w:sz w:val="18"/>
                <w:szCs w:val="18"/>
              </w:rPr>
            </w:pPr>
          </w:p>
          <w:p w14:paraId="1216BF8D" w14:textId="77777777" w:rsidR="00A60DDE" w:rsidRDefault="00095506">
            <w:pPr>
              <w:pStyle w:val="P68B1DB1-P68B1DB1-Normalny279"/>
              <w:spacing w:line="240" w:lineRule="auto"/>
              <w:jc w:val="left"/>
              <w:rPr>
                <w:noProof/>
              </w:rPr>
            </w:pPr>
            <w:r>
              <w:rPr>
                <w:noProof/>
              </w:rPr>
              <w:t>Pentru vehiculele din categoria M1, sprijinul:</w:t>
            </w:r>
          </w:p>
          <w:p w14:paraId="1216BF8E" w14:textId="77777777" w:rsidR="00A60DDE" w:rsidRDefault="00095506">
            <w:pPr>
              <w:pStyle w:val="P68B1DB1-P68B1DB1-Normalny279"/>
              <w:numPr>
                <w:ilvl w:val="0"/>
                <w:numId w:val="24"/>
              </w:numPr>
              <w:tabs>
                <w:tab w:val="clear" w:pos="720"/>
              </w:tabs>
              <w:spacing w:after="0" w:line="240" w:lineRule="auto"/>
              <w:ind w:left="521" w:hanging="357"/>
              <w:jc w:val="left"/>
              <w:rPr>
                <w:noProof/>
              </w:rPr>
            </w:pPr>
            <w:r>
              <w:rPr>
                <w:noProof/>
              </w:rPr>
              <w:t xml:space="preserve">nu depășește </w:t>
            </w:r>
            <w:r>
              <w:rPr>
                <w:rFonts w:eastAsia="Calibri"/>
                <w:noProof/>
                <w:color w:val="000000" w:themeColor="text1"/>
              </w:rPr>
              <w:t>40 000 PLN</w:t>
            </w:r>
            <w:r>
              <w:rPr>
                <w:noProof/>
              </w:rPr>
              <w:t xml:space="preserve"> per beneficiar final în cazul persoanelor fizice și al proprietarilor unici. </w:t>
            </w:r>
          </w:p>
          <w:p w14:paraId="1216BF8F" w14:textId="77777777" w:rsidR="00A60DDE" w:rsidRDefault="00095506">
            <w:pPr>
              <w:pStyle w:val="P68B1DB1-P68B1DB1-Normalny279"/>
              <w:numPr>
                <w:ilvl w:val="0"/>
                <w:numId w:val="24"/>
              </w:numPr>
              <w:tabs>
                <w:tab w:val="clear" w:pos="720"/>
              </w:tabs>
              <w:spacing w:line="240" w:lineRule="auto"/>
              <w:ind w:left="526"/>
              <w:jc w:val="left"/>
              <w:rPr>
                <w:noProof/>
              </w:rPr>
            </w:pPr>
            <w:r>
              <w:rPr>
                <w:noProof/>
              </w:rPr>
              <w:t xml:space="preserve">nu depășește </w:t>
            </w:r>
            <w:r>
              <w:rPr>
                <w:rFonts w:eastAsia="Calibri"/>
                <w:noProof/>
                <w:color w:val="000000" w:themeColor="text1"/>
              </w:rPr>
              <w:t>40 000 PLN</w:t>
            </w:r>
            <w:r>
              <w:rPr>
                <w:noProof/>
              </w:rPr>
              <w:t xml:space="preserve"> per vehicul în cazul parcurilor naționale. </w:t>
            </w:r>
          </w:p>
          <w:p w14:paraId="1216BF90" w14:textId="77777777" w:rsidR="00A60DDE" w:rsidRDefault="00095506">
            <w:pPr>
              <w:pStyle w:val="P68B1DB1-P68B1DB1-Normalny279"/>
              <w:spacing w:line="240" w:lineRule="auto"/>
              <w:jc w:val="left"/>
              <w:rPr>
                <w:noProof/>
              </w:rPr>
            </w:pPr>
            <w:r>
              <w:rPr>
                <w:noProof/>
              </w:rPr>
              <w:t>Pentru vehiculele din categoriile M2 și N1, sprijinul:</w:t>
            </w:r>
          </w:p>
          <w:p w14:paraId="1216BF91" w14:textId="77777777" w:rsidR="00A60DDE" w:rsidRDefault="00095506">
            <w:pPr>
              <w:pStyle w:val="P68B1DB1-P68B1DB1-Normalny279"/>
              <w:numPr>
                <w:ilvl w:val="0"/>
                <w:numId w:val="24"/>
              </w:numPr>
              <w:tabs>
                <w:tab w:val="clear" w:pos="720"/>
              </w:tabs>
              <w:spacing w:after="0" w:line="240" w:lineRule="auto"/>
              <w:ind w:left="521" w:hanging="357"/>
              <w:jc w:val="left"/>
              <w:rPr>
                <w:noProof/>
              </w:rPr>
            </w:pPr>
            <w:r>
              <w:rPr>
                <w:noProof/>
              </w:rPr>
              <w:t>se acordă sub formă de granturi proprietarilor individuali, organizațiilor neguvernamentale, instituțiilor și centrelor de îngrijire și educație, unităților medicale și educaționale și parcurilor naționale.</w:t>
            </w:r>
          </w:p>
          <w:p w14:paraId="1216BF92" w14:textId="77777777" w:rsidR="00A60DDE" w:rsidRDefault="00095506">
            <w:pPr>
              <w:pStyle w:val="P68B1DB1-P68B1DB1-Normalny279"/>
              <w:numPr>
                <w:ilvl w:val="0"/>
                <w:numId w:val="24"/>
              </w:numPr>
              <w:tabs>
                <w:tab w:val="clear" w:pos="720"/>
              </w:tabs>
              <w:spacing w:line="240" w:lineRule="auto"/>
              <w:ind w:left="526"/>
              <w:jc w:val="left"/>
              <w:rPr>
                <w:noProof/>
              </w:rPr>
            </w:pPr>
            <w:r>
              <w:rPr>
                <w:noProof/>
              </w:rPr>
              <w:t xml:space="preserve">nu depășește </w:t>
            </w:r>
            <w:r>
              <w:rPr>
                <w:rFonts w:eastAsia="Calibri"/>
                <w:noProof/>
                <w:color w:val="000000" w:themeColor="text1"/>
              </w:rPr>
              <w:t>600 000 PLN</w:t>
            </w:r>
            <w:r>
              <w:rPr>
                <w:noProof/>
              </w:rPr>
              <w:t xml:space="preserve"> per vehicul din categoria M2 </w:t>
            </w:r>
            <w:r>
              <w:rPr>
                <w:rFonts w:eastAsia="Calibri"/>
                <w:noProof/>
                <w:color w:val="000000" w:themeColor="text1"/>
              </w:rPr>
              <w:t>și 70 000 PLN per vehicul din categoria N1.</w:t>
            </w:r>
          </w:p>
        </w:tc>
      </w:tr>
      <w:tr w:rsidR="00A60DDE" w14:paraId="1216BF9F" w14:textId="77777777">
        <w:trPr>
          <w:trHeight w:val="545"/>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4" w14:textId="39F6FD29" w:rsidR="00A60DDE" w:rsidRDefault="00095506">
            <w:pPr>
              <w:pStyle w:val="P68B1DB1-Normal021"/>
              <w:spacing w:line="240" w:lineRule="auto"/>
              <w:jc w:val="center"/>
              <w:rPr>
                <w:noProof/>
              </w:rPr>
            </w:pPr>
            <w:r>
              <w:rPr>
                <w:noProof/>
              </w:rPr>
              <w:t>E4cG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5" w14:textId="77777777" w:rsidR="00A60DDE" w:rsidRDefault="00095506">
            <w:pPr>
              <w:pStyle w:val="P68B1DB1-Normal021"/>
              <w:spacing w:after="0" w:line="240" w:lineRule="auto"/>
              <w:rPr>
                <w:noProof/>
              </w:rPr>
            </w:pPr>
            <w:r>
              <w:rPr>
                <w:noProof/>
              </w:rPr>
              <w:t xml:space="preserve">E1.1. Creșterea utilizării transportului ecologic </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6" w14:textId="77777777" w:rsidR="00A60DDE" w:rsidRDefault="00095506">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Etapa de referință</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7" w14:textId="19E2446A" w:rsidR="00A60DDE" w:rsidRDefault="00095506">
            <w:pPr>
              <w:pStyle w:val="P68B1DB1-Normal021"/>
              <w:spacing w:line="240" w:lineRule="auto"/>
              <w:rPr>
                <w:noProof/>
              </w:rPr>
            </w:pPr>
            <w:r>
              <w:rPr>
                <w:noProof/>
              </w:rPr>
              <w:t xml:space="preserve">Plata (plățile) fondurilor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8" w14:textId="08D5C3B2" w:rsidR="00A60DDE" w:rsidRDefault="00095506">
            <w:pPr>
              <w:pStyle w:val="P68B1DB1-Normal021"/>
              <w:spacing w:line="240" w:lineRule="auto"/>
              <w:rPr>
                <w:noProof/>
              </w:rPr>
            </w:pPr>
            <w:r>
              <w:rPr>
                <w:noProof/>
              </w:rPr>
              <w:t>Plata (plățile) fondurilor</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9" w14:textId="77777777" w:rsidR="00A60DDE" w:rsidRDefault="00A60DDE">
            <w:pPr>
              <w:pStyle w:val="Normal0"/>
              <w:spacing w:line="240" w:lineRule="auto"/>
              <w:jc w:val="center"/>
              <w:rPr>
                <w:rFonts w:ascii="Times New Roman" w:eastAsia="Times New Roman" w:hAnsi="Times New Roman" w:cs="Times New Roman"/>
                <w:noProof/>
                <w:sz w:val="18"/>
                <w:szCs w:val="18"/>
              </w:rPr>
            </w:pP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A" w14:textId="77777777" w:rsidR="00A60DDE" w:rsidRDefault="00A60DDE">
            <w:pPr>
              <w:pStyle w:val="Normal0"/>
              <w:spacing w:line="240" w:lineRule="auto"/>
              <w:jc w:val="center"/>
              <w:rPr>
                <w:rFonts w:ascii="Times New Roman" w:eastAsia="Times New Roman" w:hAnsi="Times New Roman" w:cs="Times New Roman"/>
                <w:noProof/>
                <w:sz w:val="18"/>
                <w:szCs w:val="18"/>
              </w:rPr>
            </w:pP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B" w14:textId="77777777" w:rsidR="00A60DDE" w:rsidRDefault="00A60DDE">
            <w:pPr>
              <w:pStyle w:val="Normal0"/>
              <w:spacing w:line="240" w:lineRule="auto"/>
              <w:jc w:val="center"/>
              <w:rPr>
                <w:rFonts w:ascii="Times New Roman" w:eastAsia="Times New Roman" w:hAnsi="Times New Roman" w:cs="Times New Roman"/>
                <w:noProof/>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C" w14:textId="77777777" w:rsidR="00A60DDE" w:rsidRDefault="00095506">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D" w14:textId="77777777" w:rsidR="00A60DDE" w:rsidRDefault="00095506">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E" w14:textId="3B408FB1" w:rsidR="00A60DDE" w:rsidRDefault="00095506">
            <w:pPr>
              <w:pStyle w:val="P68B1DB1-Normal021"/>
              <w:spacing w:after="0" w:line="240" w:lineRule="auto"/>
              <w:rPr>
                <w:noProof/>
              </w:rPr>
            </w:pPr>
            <w:r>
              <w:rPr>
                <w:noProof/>
              </w:rPr>
              <w:t>Suma de 246 375 000 EUR se plătește sub formă de sprijin pentru VE.</w:t>
            </w:r>
          </w:p>
        </w:tc>
      </w:tr>
      <w:tr w:rsidR="00A60DDE" w14:paraId="1216BFAB" w14:textId="77777777">
        <w:trPr>
          <w:trHeight w:val="300"/>
          <w:jc w:val="center"/>
        </w:trPr>
        <w:tc>
          <w:tcPr>
            <w:tcW w:w="851" w:type="dxa"/>
            <w:shd w:val="clear" w:color="auto" w:fill="C6EFCE"/>
          </w:tcPr>
          <w:p w14:paraId="1216BFA0"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E5G</w:t>
            </w:r>
          </w:p>
        </w:tc>
        <w:tc>
          <w:tcPr>
            <w:tcW w:w="1432" w:type="dxa"/>
            <w:shd w:val="clear" w:color="auto" w:fill="C6EFCE"/>
          </w:tcPr>
          <w:p w14:paraId="1216BFA1"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E1.1 Creșterea utilizării transportului ecologic</w:t>
            </w:r>
          </w:p>
        </w:tc>
        <w:tc>
          <w:tcPr>
            <w:tcW w:w="1027" w:type="dxa"/>
            <w:shd w:val="clear" w:color="auto" w:fill="C6EFCE"/>
          </w:tcPr>
          <w:p w14:paraId="1216BFA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A3"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Orașele cu PMUD adoptate</w:t>
            </w:r>
          </w:p>
        </w:tc>
        <w:tc>
          <w:tcPr>
            <w:tcW w:w="1436" w:type="dxa"/>
            <w:shd w:val="clear" w:color="auto" w:fill="C6EFCE"/>
          </w:tcPr>
          <w:p w14:paraId="1216BFA4"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A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1216BFA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A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30</w:t>
            </w:r>
          </w:p>
        </w:tc>
        <w:tc>
          <w:tcPr>
            <w:tcW w:w="992" w:type="dxa"/>
            <w:shd w:val="clear" w:color="auto" w:fill="C6EFCE"/>
          </w:tcPr>
          <w:p w14:paraId="1216BFA8"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shd w:val="clear" w:color="auto" w:fill="C6EFCE"/>
          </w:tcPr>
          <w:p w14:paraId="1216BFA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685" w:type="dxa"/>
            <w:shd w:val="clear" w:color="auto" w:fill="C6EFCE"/>
          </w:tcPr>
          <w:p w14:paraId="1216BFAA" w14:textId="77777777"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Numărul de orașe care au adoptat un plan de mobilitate urbană durabilă. </w:t>
            </w:r>
          </w:p>
        </w:tc>
      </w:tr>
      <w:tr w:rsidR="00A60DDE" w14:paraId="1216BFB7" w14:textId="77777777">
        <w:trPr>
          <w:trHeight w:val="300"/>
          <w:jc w:val="center"/>
        </w:trPr>
        <w:tc>
          <w:tcPr>
            <w:tcW w:w="851" w:type="dxa"/>
            <w:shd w:val="clear" w:color="auto" w:fill="C6EFCE"/>
          </w:tcPr>
          <w:p w14:paraId="1216BFAC"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E7G</w:t>
            </w:r>
          </w:p>
        </w:tc>
        <w:tc>
          <w:tcPr>
            <w:tcW w:w="1432" w:type="dxa"/>
            <w:shd w:val="clear" w:color="auto" w:fill="C6EFCE"/>
          </w:tcPr>
          <w:p w14:paraId="1216BFAD"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E1.1 Creșterea utilizării transportului ecologic</w:t>
            </w:r>
          </w:p>
        </w:tc>
        <w:tc>
          <w:tcPr>
            <w:tcW w:w="1027" w:type="dxa"/>
            <w:shd w:val="clear" w:color="auto" w:fill="C6EFCE"/>
          </w:tcPr>
          <w:p w14:paraId="1216BFA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AF"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Vehicule electrice</w:t>
            </w:r>
          </w:p>
        </w:tc>
        <w:tc>
          <w:tcPr>
            <w:tcW w:w="1436" w:type="dxa"/>
            <w:shd w:val="clear" w:color="auto" w:fill="C6EFCE"/>
          </w:tcPr>
          <w:p w14:paraId="1216BFB0"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B1"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1216BFB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B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10 041</w:t>
            </w:r>
          </w:p>
        </w:tc>
        <w:tc>
          <w:tcPr>
            <w:tcW w:w="992" w:type="dxa"/>
            <w:shd w:val="clear" w:color="auto" w:fill="C6EFCE"/>
          </w:tcPr>
          <w:p w14:paraId="1216BFB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shd w:val="clear" w:color="auto" w:fill="C6EFCE"/>
          </w:tcPr>
          <w:p w14:paraId="1216BFB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B6" w14:textId="047A4FBB"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Numărul minim de vehicule electrice nou înmatriculate în Polonia (autoturisme, autobuze sau vehicule grele) după 1 februarie 2020. </w:t>
            </w:r>
          </w:p>
        </w:tc>
      </w:tr>
      <w:tr w:rsidR="00A60DDE" w14:paraId="1216BFC3" w14:textId="77777777">
        <w:trPr>
          <w:trHeight w:val="300"/>
          <w:jc w:val="center"/>
        </w:trPr>
        <w:tc>
          <w:tcPr>
            <w:tcW w:w="851" w:type="dxa"/>
            <w:shd w:val="clear" w:color="auto" w:fill="C6EFCE"/>
          </w:tcPr>
          <w:p w14:paraId="1216BFB8" w14:textId="77777777" w:rsidR="00A60DDE" w:rsidRDefault="00095506">
            <w:pPr>
              <w:pStyle w:val="P68B1DB1-Normal021"/>
              <w:spacing w:after="0" w:line="240" w:lineRule="auto"/>
              <w:jc w:val="center"/>
              <w:rPr>
                <w:rFonts w:eastAsia="Times New Roman"/>
                <w:noProof/>
                <w:color w:val="006100"/>
              </w:rPr>
            </w:pPr>
            <w:r>
              <w:rPr>
                <w:noProof/>
              </w:rPr>
              <w:t>E8G</w:t>
            </w:r>
          </w:p>
        </w:tc>
        <w:tc>
          <w:tcPr>
            <w:tcW w:w="1432" w:type="dxa"/>
            <w:shd w:val="clear" w:color="auto" w:fill="C6EFCE"/>
          </w:tcPr>
          <w:p w14:paraId="1216BFB9" w14:textId="77777777" w:rsidR="00A60DDE" w:rsidRDefault="00095506">
            <w:pPr>
              <w:pStyle w:val="P68B1DB1-Normal062"/>
              <w:spacing w:after="0" w:line="240" w:lineRule="auto"/>
              <w:rPr>
                <w:rFonts w:eastAsia="Times New Roman"/>
                <w:noProof/>
                <w:color w:val="006100"/>
              </w:rPr>
            </w:pPr>
            <w:r>
              <w:rPr>
                <w:noProof/>
              </w:rPr>
              <w:t>E1.1.1 Sprijin pentru o economie cu emisii scăzute de dioxid de carbon</w:t>
            </w:r>
          </w:p>
        </w:tc>
        <w:tc>
          <w:tcPr>
            <w:tcW w:w="1027" w:type="dxa"/>
            <w:shd w:val="clear" w:color="auto" w:fill="C6EFCE"/>
          </w:tcPr>
          <w:p w14:paraId="1216BFBA" w14:textId="77777777" w:rsidR="00A60DDE" w:rsidRDefault="00095506">
            <w:pPr>
              <w:pStyle w:val="P68B1DB1-Normal062"/>
              <w:spacing w:after="0" w:line="240" w:lineRule="auto"/>
              <w:jc w:val="center"/>
              <w:rPr>
                <w:rFonts w:eastAsia="Times New Roman"/>
                <w:noProof/>
                <w:color w:val="006100"/>
              </w:rPr>
            </w:pPr>
            <w:r>
              <w:rPr>
                <w:noProof/>
              </w:rPr>
              <w:t>Etapa de referință</w:t>
            </w:r>
          </w:p>
        </w:tc>
        <w:tc>
          <w:tcPr>
            <w:tcW w:w="1872" w:type="dxa"/>
            <w:shd w:val="clear" w:color="auto" w:fill="C6EFCE"/>
          </w:tcPr>
          <w:p w14:paraId="1216BFBB" w14:textId="77777777" w:rsidR="00A60DDE" w:rsidRDefault="00095506">
            <w:pPr>
              <w:pStyle w:val="P68B1DB1-Normal062"/>
              <w:spacing w:after="0" w:line="240" w:lineRule="auto"/>
              <w:rPr>
                <w:rFonts w:eastAsia="Times New Roman"/>
                <w:noProof/>
                <w:color w:val="006100"/>
              </w:rPr>
            </w:pPr>
            <w:r>
              <w:rPr>
                <w:noProof/>
              </w:rPr>
              <w:t>Instituirea unui instrument financiar (fond) pentru mobilitate și energie cu emisii zero/scăzute</w:t>
            </w:r>
          </w:p>
        </w:tc>
        <w:tc>
          <w:tcPr>
            <w:tcW w:w="1436" w:type="dxa"/>
            <w:shd w:val="clear" w:color="auto" w:fill="C6EFCE"/>
          </w:tcPr>
          <w:p w14:paraId="1216BFBC" w14:textId="77777777" w:rsidR="00A60DDE" w:rsidRDefault="00095506">
            <w:pPr>
              <w:pStyle w:val="P68B1DB1-Normal062"/>
              <w:spacing w:after="0" w:line="240" w:lineRule="auto"/>
              <w:rPr>
                <w:rFonts w:eastAsia="Times New Roman"/>
                <w:noProof/>
                <w:color w:val="006100"/>
              </w:rPr>
            </w:pPr>
            <w:r>
              <w:rPr>
                <w:noProof/>
              </w:rPr>
              <w:t>Aprobarea și înregistrarea Fondului, aprobarea strategiei de investiții de către organele de conducere ale Fondului</w:t>
            </w:r>
          </w:p>
        </w:tc>
        <w:tc>
          <w:tcPr>
            <w:tcW w:w="1221" w:type="dxa"/>
            <w:shd w:val="clear" w:color="auto" w:fill="C6EFCE"/>
          </w:tcPr>
          <w:p w14:paraId="1216BFBD" w14:textId="77777777" w:rsidR="00A60DDE" w:rsidRDefault="00A60DDE">
            <w:pPr>
              <w:pStyle w:val="Normal0"/>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BFBE" w14:textId="77777777" w:rsidR="00A60DDE" w:rsidRDefault="00A60DDE">
            <w:pPr>
              <w:pStyle w:val="Normal0"/>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BFBF" w14:textId="77777777" w:rsidR="00A60DDE" w:rsidRDefault="00A60DDE">
            <w:pPr>
              <w:pStyle w:val="Normal0"/>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FC0" w14:textId="77777777" w:rsidR="00A60DDE" w:rsidRDefault="00095506">
            <w:pPr>
              <w:pStyle w:val="P68B1DB1-Normal062"/>
              <w:spacing w:after="0" w:line="240" w:lineRule="auto"/>
              <w:jc w:val="center"/>
              <w:rPr>
                <w:rFonts w:eastAsia="Times New Roman"/>
                <w:noProof/>
                <w:color w:val="006100"/>
              </w:rPr>
            </w:pPr>
            <w:r>
              <w:rPr>
                <w:noProof/>
              </w:rPr>
              <w:t>T2</w:t>
            </w:r>
          </w:p>
        </w:tc>
        <w:tc>
          <w:tcPr>
            <w:tcW w:w="851" w:type="dxa"/>
            <w:shd w:val="clear" w:color="auto" w:fill="C6EFCE"/>
          </w:tcPr>
          <w:p w14:paraId="1216BFC1" w14:textId="77777777" w:rsidR="00A60DDE" w:rsidRDefault="00095506">
            <w:pPr>
              <w:pStyle w:val="P68B1DB1-Normal062"/>
              <w:spacing w:after="0" w:line="240" w:lineRule="auto"/>
              <w:jc w:val="center"/>
              <w:rPr>
                <w:rFonts w:eastAsia="Times New Roman"/>
                <w:noProof/>
                <w:color w:val="006100"/>
              </w:rPr>
            </w:pPr>
            <w:r>
              <w:rPr>
                <w:noProof/>
              </w:rPr>
              <w:t>2022</w:t>
            </w:r>
          </w:p>
        </w:tc>
        <w:tc>
          <w:tcPr>
            <w:tcW w:w="3685" w:type="dxa"/>
            <w:shd w:val="clear" w:color="auto" w:fill="C6EFCE"/>
          </w:tcPr>
          <w:p w14:paraId="1216BFC2" w14:textId="072597E7" w:rsidR="00A60DDE" w:rsidRDefault="00095506">
            <w:pPr>
              <w:pStyle w:val="P68B1DB1-Normal34"/>
              <w:spacing w:after="0" w:line="240" w:lineRule="auto"/>
              <w:rPr>
                <w:noProof/>
              </w:rPr>
            </w:pPr>
            <w:r>
              <w:rPr>
                <w:noProof/>
              </w:rPr>
              <w:t>Instituirea instrumentului financiar („fondul”) pentru a sprijini economia cu emisii scăzute din Polonia, inclusiv strategia/politica de investiții aferentă. Acestea din urmă sunt adoptate de organele de conducere ale fondului, sunt în conformitate cu Nota orientativă a Comisiei din 22 ianuarie 2021 referitoare la instrumentele financiare și includ criterii de selecție pentru a asigura conformitatea cu Orientările tehnice de „a nu prejudicia în mod semnificativ” (2021/C 58/01) a tranzacțiilor sprijinite în cadrul acestei măsuri prin utilizarea evaluării durabilității, a unei liste de excludere și a cerinței de conformitate cu legislația UE și națională relevantă în domeniul mediului. În special, se asigură conformitatea investițiilor care beneficiază de sprijin cu articolul 6 alineatul (3) și cu articolul 12 din Directiva privind habitatele, precum și cu articolul 5 din Directiva privind păsările și, dacă este necesar, se efectuează o evaluare a impactului asupra mediului (EIM) sau o examinare, în conformitate cu Directiva EIM. Fondul oferă sprijin sub formă de instrumente financiare (capitaluri proprii sau datorii) pentru proiecte de investiții legate de procesele de cercetare și inovare, transferul de tehnologie și cooperarea între întreprinderi axate pe economia cu emisii scăzute de dioxid de carbon, reziliența și adaptarea la schimbările climatice, cu accent pe soluții inovatoare cu emisii scăzute și cu emisii zero în domeniul mobilității durabile și al surselor de energie cu emisii zero/cu emisii scăzute (cu excepția gazelor naturale comprimate și a gazelor naturale lichefiate), puse în aplicare în principal de IMM-uri și de întreprinderile cu capitalizare medie. Gestionarea fondului este încredințată unui administrator de fond selectat printr-o licitație deschisă. Comitetul pentru investiții al fondului se înființează și este responsabil de aprobarea proiectelor beneficiarilor finali (investițiilor), astfel cum au fost propuse de administratorul fondului, pe baza nevoilor pieței și într-un mod deschis și conform cu condițiile pieței. Structura fondului permite mobilizarea de fonduri private. Actele juridice subiacente asigură faptul că orice restituire (și anume, dobânzile aferente împrumutului, randamentul capitalurilor proprii sau principalul rambursat, minus costurile asociate) legată de aceste instrumente este utilizată pentru aceleași obiective de politică, inclusiv după 2026, sau pentru rambursarea împrumuturilor MRR.</w:t>
            </w:r>
          </w:p>
        </w:tc>
      </w:tr>
      <w:tr w:rsidR="00A60DDE" w14:paraId="1216BFD0" w14:textId="77777777">
        <w:trPr>
          <w:trHeight w:val="1507"/>
          <w:jc w:val="center"/>
        </w:trPr>
        <w:tc>
          <w:tcPr>
            <w:tcW w:w="851" w:type="dxa"/>
            <w:shd w:val="clear" w:color="auto" w:fill="C6EFCE"/>
          </w:tcPr>
          <w:p w14:paraId="1216BFC4"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E14G</w:t>
            </w:r>
          </w:p>
        </w:tc>
        <w:tc>
          <w:tcPr>
            <w:tcW w:w="1432" w:type="dxa"/>
            <w:shd w:val="clear" w:color="auto" w:fill="C6EFCE"/>
          </w:tcPr>
          <w:p w14:paraId="1216BFC5" w14:textId="4841378F"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E1.1.2 Autobuze și tramvaie cu emisii zero și cu emisii scăzute</w:t>
            </w:r>
          </w:p>
        </w:tc>
        <w:tc>
          <w:tcPr>
            <w:tcW w:w="1027" w:type="dxa"/>
            <w:shd w:val="clear" w:color="auto" w:fill="C6EFCE"/>
          </w:tcPr>
          <w:p w14:paraId="1216BFC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C7" w14:textId="08FD3D19"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Autobuze și tramvaie cu emisii zero și cu emisii scăzute</w:t>
            </w:r>
          </w:p>
        </w:tc>
        <w:tc>
          <w:tcPr>
            <w:tcW w:w="1436" w:type="dxa"/>
            <w:shd w:val="clear" w:color="auto" w:fill="C6EFCE"/>
          </w:tcPr>
          <w:p w14:paraId="1216BFC8"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C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1216BFC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C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388</w:t>
            </w:r>
          </w:p>
        </w:tc>
        <w:tc>
          <w:tcPr>
            <w:tcW w:w="992" w:type="dxa"/>
            <w:shd w:val="clear" w:color="auto" w:fill="C6EFCE"/>
          </w:tcPr>
          <w:p w14:paraId="1216BFCC" w14:textId="77777777" w:rsidR="00A60DDE" w:rsidRDefault="00095506">
            <w:pPr>
              <w:pStyle w:val="P68B1DB1-Normal062"/>
              <w:spacing w:after="0" w:line="240" w:lineRule="auto"/>
              <w:jc w:val="center"/>
              <w:rPr>
                <w:rFonts w:eastAsia="Times New Roman"/>
                <w:noProof/>
                <w:color w:val="006100"/>
              </w:rPr>
            </w:pPr>
            <w:r>
              <w:rPr>
                <w:noProof/>
              </w:rPr>
              <w:t>T3</w:t>
            </w:r>
          </w:p>
        </w:tc>
        <w:tc>
          <w:tcPr>
            <w:tcW w:w="851" w:type="dxa"/>
            <w:shd w:val="clear" w:color="auto" w:fill="C6EFCE"/>
          </w:tcPr>
          <w:p w14:paraId="1216BFC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23C8C412" w14:textId="09909849" w:rsidR="00A60DDE" w:rsidRDefault="00095506">
            <w:pPr>
              <w:pStyle w:val="P68B1DB1-Normal75"/>
              <w:spacing w:after="0" w:line="240" w:lineRule="auto"/>
              <w:rPr>
                <w:noProof/>
                <w:color w:val="000000" w:themeColor="text1"/>
              </w:rPr>
            </w:pPr>
            <w:r>
              <w:rPr>
                <w:noProof/>
              </w:rPr>
              <w:t>Acceptarea și/sau livrarea a cel puțin 356 de autobuze cu emisii zero (adică electrice sau pe bază de hidrogen) sau cu emisii scăzute (adică hibride, cum ar fi HEV/MHEV sau PHEV reîncărcabil, sau alimentate cu gaz, cum ar fi NLG, PLG sau CNG).</w:t>
            </w:r>
          </w:p>
          <w:p w14:paraId="28BA75C3" w14:textId="144485AC" w:rsidR="00A60DDE" w:rsidRDefault="00095506">
            <w:pPr>
              <w:pStyle w:val="P68B1DB1-Normal75"/>
              <w:spacing w:after="0" w:line="240" w:lineRule="auto"/>
              <w:rPr>
                <w:noProof/>
                <w:color w:val="000000" w:themeColor="text1"/>
              </w:rPr>
            </w:pPr>
            <w:r>
              <w:rPr>
                <w:noProof/>
              </w:rPr>
              <w:t xml:space="preserve"> </w:t>
            </w:r>
          </w:p>
          <w:p w14:paraId="1216BFCF" w14:textId="4E658C0C" w:rsidR="00A60DDE" w:rsidRDefault="00095506">
            <w:pPr>
              <w:pStyle w:val="P68B1DB1-Normal75"/>
              <w:spacing w:after="0" w:line="240" w:lineRule="auto"/>
              <w:rPr>
                <w:noProof/>
                <w:color w:val="000000" w:themeColor="text1"/>
              </w:rPr>
            </w:pPr>
            <w:r>
              <w:rPr>
                <w:noProof/>
              </w:rPr>
              <w:t>Cel puțin 32 de tramvaie acceptate și/sau livrate sau declarate pregătite pentru acceptare.</w:t>
            </w:r>
          </w:p>
        </w:tc>
      </w:tr>
      <w:tr w:rsidR="00A60DDE" w14:paraId="1216BFDC" w14:textId="77777777">
        <w:trPr>
          <w:trHeight w:val="300"/>
          <w:jc w:val="center"/>
        </w:trPr>
        <w:tc>
          <w:tcPr>
            <w:tcW w:w="851" w:type="dxa"/>
            <w:shd w:val="clear" w:color="auto" w:fill="C6EFCE"/>
          </w:tcPr>
          <w:p w14:paraId="1216BFD1"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E15G</w:t>
            </w:r>
          </w:p>
        </w:tc>
        <w:tc>
          <w:tcPr>
            <w:tcW w:w="1432" w:type="dxa"/>
            <w:shd w:val="clear" w:color="auto" w:fill="C6EFCE"/>
          </w:tcPr>
          <w:p w14:paraId="1216BFD2"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E2.1 Creșterea competitivității sectorului feroviar</w:t>
            </w:r>
          </w:p>
        </w:tc>
        <w:tc>
          <w:tcPr>
            <w:tcW w:w="1027" w:type="dxa"/>
            <w:shd w:val="clear" w:color="auto" w:fill="C6EFCE"/>
          </w:tcPr>
          <w:p w14:paraId="1216BFD3"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72" w:type="dxa"/>
            <w:shd w:val="clear" w:color="auto" w:fill="C6EFCE"/>
          </w:tcPr>
          <w:p w14:paraId="1216BFD4"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unui act de modificare a Legii privind transportul feroviar care asigură reziliența operatorilor feroviari. Decizie ministerială privind stabilirea priorităților pentru transportul intermodal și eliminarea blocajelor pentru promovarea capacității căilor ferate</w:t>
            </w:r>
          </w:p>
        </w:tc>
        <w:tc>
          <w:tcPr>
            <w:tcW w:w="1436" w:type="dxa"/>
            <w:shd w:val="clear" w:color="auto" w:fill="C6EFCE"/>
          </w:tcPr>
          <w:p w14:paraId="1216BFD5" w14:textId="4C15AF03"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actul de modificare a Legii privind transportul feroviar care indică intrarea sa în vigoare și adoptarea deciziei ministrului infrastructurii privind blocajele</w:t>
            </w:r>
          </w:p>
        </w:tc>
        <w:tc>
          <w:tcPr>
            <w:tcW w:w="1221" w:type="dxa"/>
            <w:shd w:val="clear" w:color="auto" w:fill="C6EFCE"/>
          </w:tcPr>
          <w:p w14:paraId="1216BFD6"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28" w:type="dxa"/>
            <w:shd w:val="clear" w:color="auto" w:fill="C6EFCE"/>
          </w:tcPr>
          <w:p w14:paraId="1216BFD7"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04" w:type="dxa"/>
            <w:shd w:val="clear" w:color="auto" w:fill="C6EFCE"/>
          </w:tcPr>
          <w:p w14:paraId="1216BFD8"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FD9"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shd w:val="clear" w:color="auto" w:fill="C6EFCE"/>
          </w:tcPr>
          <w:p w14:paraId="1216BFDA"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3685" w:type="dxa"/>
            <w:shd w:val="clear" w:color="auto" w:fill="C6EFCE"/>
          </w:tcPr>
          <w:p w14:paraId="1216BFDB" w14:textId="77777777" w:rsidR="00A60DDE" w:rsidRDefault="00095506">
            <w:pPr>
              <w:pStyle w:val="P68B1DB1-Normal062"/>
              <w:spacing w:after="0" w:line="240" w:lineRule="auto"/>
              <w:rPr>
                <w:noProof/>
                <w:color w:val="006100"/>
              </w:rPr>
            </w:pPr>
            <w:r>
              <w:rPr>
                <w:noProof/>
              </w:rPr>
              <w:t>Un act legislativ de modificare a Legii privind transportul feroviar permite administratorilor de infrastructură să reducă taxele pentru accesul la infrastructură și să despăgubească administratorii de infrastructură pentru reducerea tarifelor. Dezvoltarea transportului intermodal este încurajată prin următoarele măsuri: planificarea, coordonarea programelor, inovarea, investițiile, care conduc la creșterea capacității intermodale, împreună cu înființarea unei unități intermodale în cadrul Ministerului Infrastructurii. Starea rețelei este analizată cu accent pe blocaje, iar ministrul infrastructurii adoptă o decizie privind prioritățile pentru eliminarea blocajelor care conduc la creșterea capacității căilor ferate.</w:t>
            </w:r>
          </w:p>
        </w:tc>
      </w:tr>
      <w:tr w:rsidR="00A60DDE" w14:paraId="1216BFE8" w14:textId="77777777">
        <w:trPr>
          <w:trHeight w:val="300"/>
          <w:jc w:val="center"/>
        </w:trPr>
        <w:tc>
          <w:tcPr>
            <w:tcW w:w="851" w:type="dxa"/>
            <w:shd w:val="clear" w:color="auto" w:fill="C6EFCE"/>
          </w:tcPr>
          <w:p w14:paraId="1216BFDD"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E16G</w:t>
            </w:r>
          </w:p>
        </w:tc>
        <w:tc>
          <w:tcPr>
            <w:tcW w:w="1432" w:type="dxa"/>
            <w:shd w:val="clear" w:color="auto" w:fill="C6EFCE"/>
          </w:tcPr>
          <w:p w14:paraId="1216BFDE"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E2.1 Creșterea competitivității sectorului feroviar</w:t>
            </w:r>
          </w:p>
        </w:tc>
        <w:tc>
          <w:tcPr>
            <w:tcW w:w="1027" w:type="dxa"/>
            <w:shd w:val="clear" w:color="auto" w:fill="C6EFCE"/>
          </w:tcPr>
          <w:p w14:paraId="1216BFD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E0" w14:textId="29B12E06"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 xml:space="preserve">Instituirea unui sistem de taxare rutieră pe drumuri noi </w:t>
            </w:r>
          </w:p>
        </w:tc>
        <w:tc>
          <w:tcPr>
            <w:tcW w:w="1436" w:type="dxa"/>
            <w:shd w:val="clear" w:color="auto" w:fill="C6EFCE"/>
          </w:tcPr>
          <w:p w14:paraId="1216BFE1"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E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kilometri</w:t>
            </w:r>
          </w:p>
        </w:tc>
        <w:tc>
          <w:tcPr>
            <w:tcW w:w="1228" w:type="dxa"/>
            <w:shd w:val="clear" w:color="auto" w:fill="C6EFCE"/>
          </w:tcPr>
          <w:p w14:paraId="1216BFE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E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1 400</w:t>
            </w:r>
          </w:p>
        </w:tc>
        <w:tc>
          <w:tcPr>
            <w:tcW w:w="992" w:type="dxa"/>
            <w:shd w:val="clear" w:color="auto" w:fill="C6EFCE"/>
          </w:tcPr>
          <w:p w14:paraId="1216BFE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FE6" w14:textId="77777777" w:rsidR="00A60DDE" w:rsidRDefault="00095506">
            <w:pPr>
              <w:pStyle w:val="P68B1DB1-Normal062"/>
              <w:spacing w:after="0" w:line="240" w:lineRule="auto"/>
              <w:jc w:val="center"/>
              <w:rPr>
                <w:rFonts w:eastAsia="Times New Roman"/>
                <w:noProof/>
                <w:color w:val="006100"/>
              </w:rPr>
            </w:pPr>
            <w:r>
              <w:rPr>
                <w:noProof/>
              </w:rPr>
              <w:t>2024</w:t>
            </w:r>
          </w:p>
        </w:tc>
        <w:tc>
          <w:tcPr>
            <w:tcW w:w="3685" w:type="dxa"/>
            <w:shd w:val="clear" w:color="auto" w:fill="C6EFCE"/>
          </w:tcPr>
          <w:p w14:paraId="1216BFE7"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Lungimea drumurilor noi care fac obiectul sistemului de taxare, acoperind atât autostrăzile, cât și drumurile expres.</w:t>
            </w:r>
          </w:p>
        </w:tc>
      </w:tr>
      <w:tr w:rsidR="00A60DDE" w14:paraId="1216BFF4" w14:textId="77777777">
        <w:trPr>
          <w:trHeight w:val="300"/>
          <w:jc w:val="center"/>
        </w:trPr>
        <w:tc>
          <w:tcPr>
            <w:tcW w:w="851" w:type="dxa"/>
            <w:shd w:val="clear" w:color="auto" w:fill="C6EFCE"/>
          </w:tcPr>
          <w:p w14:paraId="1216BFE9"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E17G</w:t>
            </w:r>
          </w:p>
        </w:tc>
        <w:tc>
          <w:tcPr>
            <w:tcW w:w="1432" w:type="dxa"/>
            <w:shd w:val="clear" w:color="auto" w:fill="C6EFCE"/>
          </w:tcPr>
          <w:p w14:paraId="1216BFEA"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E2.1.1 Linii de cale ferată</w:t>
            </w:r>
          </w:p>
        </w:tc>
        <w:tc>
          <w:tcPr>
            <w:tcW w:w="1027" w:type="dxa"/>
            <w:shd w:val="clear" w:color="auto" w:fill="C6EFCE"/>
          </w:tcPr>
          <w:p w14:paraId="1216BFE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BFEC" w14:textId="77777777"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Semnarea contractelor</w:t>
            </w:r>
          </w:p>
        </w:tc>
        <w:tc>
          <w:tcPr>
            <w:tcW w:w="1436" w:type="dxa"/>
            <w:shd w:val="clear" w:color="auto" w:fill="C6EFCE"/>
          </w:tcPr>
          <w:p w14:paraId="1216BFED"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Contracte semnate </w:t>
            </w:r>
          </w:p>
        </w:tc>
        <w:tc>
          <w:tcPr>
            <w:tcW w:w="1221" w:type="dxa"/>
            <w:shd w:val="clear" w:color="auto" w:fill="C6EFCE"/>
          </w:tcPr>
          <w:p w14:paraId="1216BFEE"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BFEF"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BFF0"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FF1"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FF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85" w:type="dxa"/>
            <w:shd w:val="clear" w:color="auto" w:fill="C6EFCE"/>
          </w:tcPr>
          <w:p w14:paraId="1216BFF3" w14:textId="77777777" w:rsidR="00A60DDE" w:rsidRDefault="00095506">
            <w:pPr>
              <w:pStyle w:val="P68B1DB1-Normal062"/>
              <w:spacing w:after="0" w:line="240" w:lineRule="auto"/>
              <w:rPr>
                <w:rFonts w:eastAsia="Times New Roman"/>
                <w:noProof/>
                <w:color w:val="006100"/>
              </w:rPr>
            </w:pPr>
            <w:r>
              <w:rPr>
                <w:noProof/>
              </w:rPr>
              <w:t>Contracte semnate pentru lucrări pe cel puțin 500 km de linii de cale ferată.</w:t>
            </w:r>
          </w:p>
        </w:tc>
      </w:tr>
      <w:tr w:rsidR="00A60DDE" w14:paraId="1216C000" w14:textId="77777777">
        <w:trPr>
          <w:trHeight w:val="300"/>
          <w:jc w:val="center"/>
        </w:trPr>
        <w:tc>
          <w:tcPr>
            <w:tcW w:w="851" w:type="dxa"/>
            <w:shd w:val="clear" w:color="auto" w:fill="C6EFCE"/>
          </w:tcPr>
          <w:p w14:paraId="1216BFF5"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E18G</w:t>
            </w:r>
          </w:p>
        </w:tc>
        <w:tc>
          <w:tcPr>
            <w:tcW w:w="1432" w:type="dxa"/>
            <w:shd w:val="clear" w:color="auto" w:fill="C6EFCE"/>
          </w:tcPr>
          <w:p w14:paraId="1216BFF6" w14:textId="0AF68024"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E2.1.1 Linii de cale ferată</w:t>
            </w:r>
          </w:p>
        </w:tc>
        <w:tc>
          <w:tcPr>
            <w:tcW w:w="1027" w:type="dxa"/>
            <w:shd w:val="clear" w:color="auto" w:fill="C6EFCE"/>
          </w:tcPr>
          <w:p w14:paraId="1216BFF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F8" w14:textId="62989EEF" w:rsidR="00A60DDE" w:rsidRDefault="00095506">
            <w:pPr>
              <w:pStyle w:val="P68B1DB1-Normal062"/>
              <w:spacing w:after="0" w:line="240" w:lineRule="auto"/>
              <w:rPr>
                <w:noProof/>
                <w:color w:val="000000" w:themeColor="text1"/>
              </w:rPr>
            </w:pPr>
            <w:r>
              <w:rPr>
                <w:noProof/>
              </w:rPr>
              <w:t>Lucrări pe 500 km de linii de cale ferată</w:t>
            </w:r>
          </w:p>
        </w:tc>
        <w:tc>
          <w:tcPr>
            <w:tcW w:w="1436" w:type="dxa"/>
            <w:shd w:val="clear" w:color="auto" w:fill="C6EFCE"/>
          </w:tcPr>
          <w:p w14:paraId="1216BFF9"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F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1216BFF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FC"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500</w:t>
            </w:r>
          </w:p>
        </w:tc>
        <w:tc>
          <w:tcPr>
            <w:tcW w:w="992" w:type="dxa"/>
            <w:shd w:val="clear" w:color="auto" w:fill="C6EFCE"/>
          </w:tcPr>
          <w:p w14:paraId="1216BFF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shd w:val="clear" w:color="auto" w:fill="C6EFCE"/>
          </w:tcPr>
          <w:p w14:paraId="1216BFF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FF" w14:textId="00B83FD0" w:rsidR="00A60DDE" w:rsidRDefault="00095506">
            <w:pPr>
              <w:pStyle w:val="P68B1DB1-Normal062"/>
              <w:spacing w:after="0" w:line="240" w:lineRule="auto"/>
              <w:rPr>
                <w:noProof/>
                <w:color w:val="000000" w:themeColor="text1"/>
              </w:rPr>
            </w:pPr>
            <w:r>
              <w:rPr>
                <w:noProof/>
              </w:rPr>
              <w:t>Recepția (tehnică) a lucrărilor, pentru cel puțin una dintre ramurile: infrastructură, semnalizare sau energie, pe cel puțin 500 km de linii de cale ferată.</w:t>
            </w:r>
          </w:p>
        </w:tc>
      </w:tr>
      <w:tr w:rsidR="00A60DDE" w14:paraId="1216C00C" w14:textId="77777777">
        <w:trPr>
          <w:trHeight w:val="300"/>
          <w:jc w:val="center"/>
        </w:trPr>
        <w:tc>
          <w:tcPr>
            <w:tcW w:w="851" w:type="dxa"/>
            <w:shd w:val="clear" w:color="auto" w:fill="C6EFCE"/>
          </w:tcPr>
          <w:p w14:paraId="1216C001" w14:textId="77777777" w:rsidR="00A60DDE" w:rsidRDefault="00095506">
            <w:pPr>
              <w:pStyle w:val="P68B1DB1-Normal021"/>
              <w:spacing w:line="240" w:lineRule="auto"/>
              <w:jc w:val="center"/>
              <w:rPr>
                <w:noProof/>
              </w:rPr>
            </w:pPr>
            <w:r>
              <w:rPr>
                <w:noProof/>
              </w:rPr>
              <w:t>E18aG</w:t>
            </w:r>
          </w:p>
        </w:tc>
        <w:tc>
          <w:tcPr>
            <w:tcW w:w="1432" w:type="dxa"/>
            <w:shd w:val="clear" w:color="auto" w:fill="C6EFCE"/>
          </w:tcPr>
          <w:p w14:paraId="1216C002" w14:textId="2D9EA884" w:rsidR="00A60DDE" w:rsidRDefault="00095506">
            <w:pPr>
              <w:pStyle w:val="P68B1DB1-Normal062"/>
              <w:spacing w:after="0" w:line="240" w:lineRule="auto"/>
              <w:rPr>
                <w:rFonts w:eastAsia="Times New Roman"/>
                <w:noProof/>
                <w:color w:val="006100"/>
              </w:rPr>
            </w:pPr>
            <w:r>
              <w:rPr>
                <w:noProof/>
              </w:rPr>
              <w:t>E2.1.1 Linii de cale ferată</w:t>
            </w:r>
          </w:p>
        </w:tc>
        <w:tc>
          <w:tcPr>
            <w:tcW w:w="1027" w:type="dxa"/>
            <w:shd w:val="clear" w:color="auto" w:fill="C6EFCE"/>
          </w:tcPr>
          <w:p w14:paraId="1216C003" w14:textId="77777777" w:rsidR="00A60DDE" w:rsidRDefault="00095506">
            <w:pPr>
              <w:pStyle w:val="P68B1DB1-Normal062"/>
              <w:spacing w:after="0" w:line="240" w:lineRule="auto"/>
              <w:jc w:val="center"/>
              <w:rPr>
                <w:noProof/>
                <w:color w:val="000000" w:themeColor="text1"/>
              </w:rPr>
            </w:pPr>
            <w:r>
              <w:rPr>
                <w:noProof/>
              </w:rPr>
              <w:t>Țintă</w:t>
            </w:r>
          </w:p>
        </w:tc>
        <w:tc>
          <w:tcPr>
            <w:tcW w:w="1872" w:type="dxa"/>
            <w:shd w:val="clear" w:color="auto" w:fill="C6EFCE"/>
          </w:tcPr>
          <w:p w14:paraId="1216C004" w14:textId="3813D3B4" w:rsidR="00A60DDE" w:rsidRDefault="00095506">
            <w:pPr>
              <w:pStyle w:val="P68B1DB1-Normal062"/>
              <w:spacing w:line="240" w:lineRule="auto"/>
              <w:rPr>
                <w:noProof/>
                <w:color w:val="000000" w:themeColor="text1"/>
              </w:rPr>
            </w:pPr>
            <w:r>
              <w:rPr>
                <w:noProof/>
              </w:rPr>
              <w:t xml:space="preserve">Lucrări la 180 de treceri la nivel sau alte blocaje </w:t>
            </w:r>
          </w:p>
        </w:tc>
        <w:tc>
          <w:tcPr>
            <w:tcW w:w="1436" w:type="dxa"/>
            <w:shd w:val="clear" w:color="auto" w:fill="C6EFCE"/>
          </w:tcPr>
          <w:p w14:paraId="1216C005" w14:textId="77777777" w:rsidR="00A60DDE" w:rsidRDefault="00A60DDE">
            <w:pPr>
              <w:pStyle w:val="Normal0"/>
              <w:spacing w:line="240" w:lineRule="auto"/>
              <w:rPr>
                <w:rFonts w:ascii="Times New Roman" w:hAnsi="Times New Roman" w:cs="Times New Roman"/>
                <w:noProof/>
                <w:color w:val="000000" w:themeColor="text1"/>
                <w:sz w:val="18"/>
                <w:szCs w:val="18"/>
              </w:rPr>
            </w:pPr>
          </w:p>
        </w:tc>
        <w:tc>
          <w:tcPr>
            <w:tcW w:w="1221" w:type="dxa"/>
            <w:shd w:val="clear" w:color="auto" w:fill="C6EFCE"/>
          </w:tcPr>
          <w:p w14:paraId="1216C006" w14:textId="77777777" w:rsidR="00A60DDE" w:rsidRDefault="00095506">
            <w:pPr>
              <w:pStyle w:val="P68B1DB1-Normal062"/>
              <w:spacing w:line="240" w:lineRule="auto"/>
              <w:jc w:val="center"/>
              <w:rPr>
                <w:noProof/>
                <w:color w:val="000000" w:themeColor="text1"/>
              </w:rPr>
            </w:pPr>
            <w:r>
              <w:rPr>
                <w:noProof/>
              </w:rPr>
              <w:t>Număr</w:t>
            </w:r>
          </w:p>
        </w:tc>
        <w:tc>
          <w:tcPr>
            <w:tcW w:w="1228" w:type="dxa"/>
            <w:shd w:val="clear" w:color="auto" w:fill="C6EFCE"/>
          </w:tcPr>
          <w:p w14:paraId="1216C007" w14:textId="77777777" w:rsidR="00A60DDE" w:rsidRDefault="00095506">
            <w:pPr>
              <w:pStyle w:val="P68B1DB1-Normal062"/>
              <w:spacing w:line="240" w:lineRule="auto"/>
              <w:jc w:val="center"/>
              <w:rPr>
                <w:noProof/>
                <w:color w:val="000000" w:themeColor="text1"/>
              </w:rPr>
            </w:pPr>
            <w:r>
              <w:rPr>
                <w:noProof/>
              </w:rPr>
              <w:t>0</w:t>
            </w:r>
          </w:p>
        </w:tc>
        <w:tc>
          <w:tcPr>
            <w:tcW w:w="1204" w:type="dxa"/>
            <w:shd w:val="clear" w:color="auto" w:fill="C6EFCE"/>
          </w:tcPr>
          <w:p w14:paraId="1216C008" w14:textId="77777777" w:rsidR="00A60DDE" w:rsidRDefault="00095506">
            <w:pPr>
              <w:pStyle w:val="P68B1DB1-Normal062"/>
              <w:spacing w:line="240" w:lineRule="auto"/>
              <w:jc w:val="center"/>
              <w:rPr>
                <w:noProof/>
                <w:color w:val="000000" w:themeColor="text1"/>
              </w:rPr>
            </w:pPr>
            <w:r>
              <w:rPr>
                <w:noProof/>
              </w:rPr>
              <w:t>180</w:t>
            </w:r>
          </w:p>
        </w:tc>
        <w:tc>
          <w:tcPr>
            <w:tcW w:w="992" w:type="dxa"/>
            <w:shd w:val="clear" w:color="auto" w:fill="C6EFCE"/>
          </w:tcPr>
          <w:p w14:paraId="1216C009" w14:textId="77777777" w:rsidR="00A60DDE" w:rsidRDefault="00095506">
            <w:pPr>
              <w:pStyle w:val="P68B1DB1-Normal062"/>
              <w:spacing w:line="240" w:lineRule="auto"/>
              <w:jc w:val="center"/>
              <w:rPr>
                <w:noProof/>
                <w:color w:val="000000" w:themeColor="text1"/>
              </w:rPr>
            </w:pPr>
            <w:r>
              <w:rPr>
                <w:noProof/>
              </w:rPr>
              <w:t>T3</w:t>
            </w:r>
          </w:p>
        </w:tc>
        <w:tc>
          <w:tcPr>
            <w:tcW w:w="851" w:type="dxa"/>
            <w:shd w:val="clear" w:color="auto" w:fill="C6EFCE"/>
          </w:tcPr>
          <w:p w14:paraId="1216C00A" w14:textId="77777777" w:rsidR="00A60DDE" w:rsidRDefault="00095506">
            <w:pPr>
              <w:pStyle w:val="P68B1DB1-Normal062"/>
              <w:spacing w:line="240" w:lineRule="auto"/>
              <w:jc w:val="center"/>
              <w:rPr>
                <w:noProof/>
                <w:color w:val="000000" w:themeColor="text1"/>
              </w:rPr>
            </w:pPr>
            <w:r>
              <w:rPr>
                <w:noProof/>
              </w:rPr>
              <w:t>2026</w:t>
            </w:r>
          </w:p>
        </w:tc>
        <w:tc>
          <w:tcPr>
            <w:tcW w:w="3685" w:type="dxa"/>
            <w:shd w:val="clear" w:color="auto" w:fill="C6EFCE"/>
          </w:tcPr>
          <w:p w14:paraId="1216C00B" w14:textId="753E2E4D" w:rsidR="00A60DDE" w:rsidRDefault="00095506">
            <w:pPr>
              <w:pStyle w:val="P68B1DB1-Normal062"/>
              <w:spacing w:line="240" w:lineRule="auto"/>
              <w:rPr>
                <w:noProof/>
                <w:color w:val="000000" w:themeColor="text1"/>
              </w:rPr>
            </w:pPr>
            <w:r>
              <w:rPr>
                <w:noProof/>
              </w:rPr>
              <w:t>Recepția (tehnică) a lucrărilor pe cel puțin 180 de treceri de nivel sau alte blocaje.</w:t>
            </w:r>
          </w:p>
        </w:tc>
      </w:tr>
      <w:tr w:rsidR="00A60DDE" w14:paraId="1216C01A" w14:textId="77777777">
        <w:trPr>
          <w:trHeight w:val="300"/>
          <w:jc w:val="center"/>
        </w:trPr>
        <w:tc>
          <w:tcPr>
            <w:tcW w:w="851" w:type="dxa"/>
            <w:shd w:val="clear" w:color="auto" w:fill="C6EFCE"/>
          </w:tcPr>
          <w:p w14:paraId="1216C00D"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E19G</w:t>
            </w:r>
          </w:p>
        </w:tc>
        <w:tc>
          <w:tcPr>
            <w:tcW w:w="1432" w:type="dxa"/>
            <w:shd w:val="clear" w:color="auto" w:fill="C6EFCE"/>
          </w:tcPr>
          <w:p w14:paraId="1216C00E"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E2.1.2 Materialul rulant pentru transportul feroviar de călători</w:t>
            </w:r>
          </w:p>
        </w:tc>
        <w:tc>
          <w:tcPr>
            <w:tcW w:w="1027" w:type="dxa"/>
            <w:shd w:val="clear" w:color="auto" w:fill="C6EFCE"/>
          </w:tcPr>
          <w:p w14:paraId="1216C00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C010"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Semnarea contractelor pentru materialul rulant de călători</w:t>
            </w:r>
          </w:p>
        </w:tc>
        <w:tc>
          <w:tcPr>
            <w:tcW w:w="1436" w:type="dxa"/>
            <w:shd w:val="clear" w:color="auto" w:fill="C6EFCE"/>
          </w:tcPr>
          <w:p w14:paraId="1216C011" w14:textId="77777777"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Contracte semnate</w:t>
            </w:r>
          </w:p>
        </w:tc>
        <w:tc>
          <w:tcPr>
            <w:tcW w:w="1221" w:type="dxa"/>
            <w:shd w:val="clear" w:color="auto" w:fill="C6EFCE"/>
          </w:tcPr>
          <w:p w14:paraId="1216C012"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C013"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C014"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015" w14:textId="77777777" w:rsidR="00A60DDE" w:rsidRDefault="00095506">
            <w:pPr>
              <w:pStyle w:val="P68B1DB1-Normal062"/>
              <w:spacing w:after="0" w:line="240" w:lineRule="auto"/>
              <w:jc w:val="center"/>
              <w:rPr>
                <w:rFonts w:eastAsia="Times New Roman"/>
                <w:noProof/>
                <w:color w:val="006100"/>
              </w:rPr>
            </w:pPr>
            <w:r>
              <w:rPr>
                <w:noProof/>
              </w:rPr>
              <w:t>T4</w:t>
            </w:r>
          </w:p>
        </w:tc>
        <w:tc>
          <w:tcPr>
            <w:tcW w:w="851" w:type="dxa"/>
            <w:shd w:val="clear" w:color="auto" w:fill="C6EFCE"/>
          </w:tcPr>
          <w:p w14:paraId="1216C01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85" w:type="dxa"/>
            <w:shd w:val="clear" w:color="auto" w:fill="C6EFCE"/>
          </w:tcPr>
          <w:p w14:paraId="1216C017" w14:textId="53866752" w:rsidR="00A60DDE" w:rsidRDefault="00095506">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Se semnează contracte pentru livrarea a cel puțin 77 de unități regionale de material rulant/unități electrice multiple echipate cu sistem european de management al traficului feroviar (ERTMS) și cu emisii zero.</w:t>
            </w:r>
          </w:p>
          <w:p w14:paraId="1216C018" w14:textId="77777777" w:rsidR="00A60DDE" w:rsidRDefault="00A60DDE">
            <w:pPr>
              <w:pStyle w:val="Normal0"/>
              <w:spacing w:after="0" w:line="240" w:lineRule="auto"/>
              <w:rPr>
                <w:rFonts w:ascii="Times New Roman" w:hAnsi="Times New Roman" w:cs="Times New Roman"/>
                <w:noProof/>
                <w:color w:val="000000" w:themeColor="text1"/>
                <w:sz w:val="18"/>
                <w:szCs w:val="18"/>
              </w:rPr>
            </w:pPr>
          </w:p>
          <w:p w14:paraId="1216C019" w14:textId="061A140C" w:rsidR="00A60DDE" w:rsidRDefault="00095506">
            <w:pPr>
              <w:pStyle w:val="P68B1DB1-Normal062"/>
              <w:spacing w:after="0" w:line="240" w:lineRule="auto"/>
              <w:rPr>
                <w:noProof/>
                <w:color w:val="000000" w:themeColor="text1"/>
              </w:rPr>
            </w:pPr>
            <w:r>
              <w:rPr>
                <w:noProof/>
              </w:rPr>
              <w:t>Contractul (contractele) se semnează pentru livrarea a cel puțin 56 de locomotive cu emisii zero și 248 de vagoane între guvernul polonez și Compania Națională Poloneză de Căi Ferate PKP IC.</w:t>
            </w:r>
          </w:p>
        </w:tc>
      </w:tr>
      <w:tr w:rsidR="00A60DDE" w14:paraId="1216C028" w14:textId="77777777">
        <w:trPr>
          <w:trHeight w:val="300"/>
          <w:jc w:val="center"/>
        </w:trPr>
        <w:tc>
          <w:tcPr>
            <w:tcW w:w="851" w:type="dxa"/>
            <w:shd w:val="clear" w:color="auto" w:fill="C6EFCE"/>
          </w:tcPr>
          <w:p w14:paraId="1216C01B"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E20G</w:t>
            </w:r>
          </w:p>
        </w:tc>
        <w:tc>
          <w:tcPr>
            <w:tcW w:w="1432" w:type="dxa"/>
            <w:shd w:val="clear" w:color="auto" w:fill="C6EFCE"/>
          </w:tcPr>
          <w:p w14:paraId="1216C01C"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E2.1.2 Materialul rulant pentru transportul feroviar de călători</w:t>
            </w:r>
          </w:p>
        </w:tc>
        <w:tc>
          <w:tcPr>
            <w:tcW w:w="1027" w:type="dxa"/>
            <w:shd w:val="clear" w:color="auto" w:fill="C6EFCE"/>
          </w:tcPr>
          <w:p w14:paraId="1216C01D"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1E" w14:textId="78BCB1A4"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Materialul feroviar rulant</w:t>
            </w:r>
          </w:p>
        </w:tc>
        <w:tc>
          <w:tcPr>
            <w:tcW w:w="1436" w:type="dxa"/>
            <w:shd w:val="clear" w:color="auto" w:fill="C6EFCE"/>
          </w:tcPr>
          <w:p w14:paraId="1216C01F"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1216C021" w14:textId="77777777" w:rsidR="00A60DDE" w:rsidRDefault="00095506">
            <w:pPr>
              <w:pStyle w:val="P68B1DB1-Normal062"/>
              <w:spacing w:after="0" w:line="240" w:lineRule="auto"/>
              <w:jc w:val="center"/>
              <w:rPr>
                <w:rFonts w:eastAsia="Times New Roman"/>
                <w:noProof/>
                <w:color w:val="000000" w:themeColor="text1"/>
              </w:rPr>
            </w:pPr>
            <w:r>
              <w:rPr>
                <w:noProof/>
              </w:rPr>
              <w:t>0</w:t>
            </w:r>
          </w:p>
        </w:tc>
        <w:tc>
          <w:tcPr>
            <w:tcW w:w="1204" w:type="dxa"/>
            <w:shd w:val="clear" w:color="auto" w:fill="C6EFCE"/>
          </w:tcPr>
          <w:p w14:paraId="1216C022" w14:textId="745B460D"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400</w:t>
            </w:r>
          </w:p>
        </w:tc>
        <w:tc>
          <w:tcPr>
            <w:tcW w:w="992" w:type="dxa"/>
            <w:shd w:val="clear" w:color="auto" w:fill="C6EFCE"/>
          </w:tcPr>
          <w:p w14:paraId="1216C02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shd w:val="clear" w:color="auto" w:fill="C6EFCE"/>
          </w:tcPr>
          <w:p w14:paraId="1216C02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C025" w14:textId="011971EB" w:rsidR="00A60DDE" w:rsidRDefault="00095506">
            <w:pPr>
              <w:pStyle w:val="P68B1DB1-Normal021"/>
              <w:spacing w:after="0" w:line="240" w:lineRule="auto"/>
              <w:rPr>
                <w:noProof/>
              </w:rPr>
            </w:pPr>
            <w:r>
              <w:rPr>
                <w:noProof/>
              </w:rPr>
              <w:t xml:space="preserve">Acceptarea (tehnică) și/sau livrarea a cel puțin 56 de locomotive și cel puțin 267 de vagoane. </w:t>
            </w:r>
          </w:p>
          <w:p w14:paraId="1216C026" w14:textId="77777777" w:rsidR="00A60DDE" w:rsidRDefault="00A60DDE">
            <w:pPr>
              <w:pStyle w:val="Normal0"/>
              <w:spacing w:after="0" w:line="240" w:lineRule="auto"/>
              <w:rPr>
                <w:rFonts w:ascii="Times New Roman" w:hAnsi="Times New Roman" w:cs="Times New Roman"/>
                <w:noProof/>
                <w:sz w:val="18"/>
                <w:szCs w:val="18"/>
              </w:rPr>
            </w:pPr>
          </w:p>
          <w:p w14:paraId="1216C027" w14:textId="6717A2CE" w:rsidR="00A60DDE" w:rsidRDefault="00095506">
            <w:pPr>
              <w:pStyle w:val="P68B1DB1-Normal021"/>
              <w:spacing w:after="0" w:line="240" w:lineRule="auto"/>
              <w:rPr>
                <w:noProof/>
              </w:rPr>
            </w:pPr>
            <w:r>
              <w:rPr>
                <w:noProof/>
              </w:rPr>
              <w:t>Acceptarea (tehnică) și/sau livrarea a cel puțin 77 de unități regionale de material rulant/multiple electrice.</w:t>
            </w:r>
          </w:p>
        </w:tc>
      </w:tr>
      <w:tr w:rsidR="00A60DDE" w14:paraId="1216C034" w14:textId="77777777">
        <w:trPr>
          <w:trHeight w:val="559"/>
          <w:jc w:val="center"/>
        </w:trPr>
        <w:tc>
          <w:tcPr>
            <w:tcW w:w="851" w:type="dxa"/>
            <w:shd w:val="clear" w:color="auto" w:fill="C6EFCE"/>
          </w:tcPr>
          <w:p w14:paraId="1216C029"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E22G</w:t>
            </w:r>
          </w:p>
        </w:tc>
        <w:tc>
          <w:tcPr>
            <w:tcW w:w="1432" w:type="dxa"/>
            <w:shd w:val="clear" w:color="auto" w:fill="C6EFCE"/>
          </w:tcPr>
          <w:p w14:paraId="1216C02A"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E2.1.3 Proiecte intermodale</w:t>
            </w:r>
          </w:p>
        </w:tc>
        <w:tc>
          <w:tcPr>
            <w:tcW w:w="1027" w:type="dxa"/>
            <w:shd w:val="clear" w:color="auto" w:fill="C6EFCE"/>
          </w:tcPr>
          <w:p w14:paraId="1216C02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2C"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Investiții în terminale intermodale și material rulant</w:t>
            </w:r>
          </w:p>
        </w:tc>
        <w:tc>
          <w:tcPr>
            <w:tcW w:w="1436" w:type="dxa"/>
            <w:shd w:val="clear" w:color="auto" w:fill="C6EFCE"/>
          </w:tcPr>
          <w:p w14:paraId="1216C02D"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1216C02F" w14:textId="252E580B" w:rsidR="00A60DDE" w:rsidRDefault="00095506">
            <w:pPr>
              <w:pStyle w:val="P68B1DB1-Normal029"/>
              <w:pBdr>
                <w:top w:val="nil"/>
                <w:left w:val="nil"/>
                <w:bottom w:val="nil"/>
                <w:right w:val="nil"/>
                <w:between w:val="nil"/>
              </w:pBdr>
              <w:spacing w:after="0"/>
              <w:jc w:val="center"/>
              <w:rPr>
                <w:noProof/>
                <w:color w:val="000000"/>
              </w:rPr>
            </w:pPr>
            <w:r>
              <w:rPr>
                <w:noProof/>
              </w:rPr>
              <w:t>0</w:t>
            </w:r>
          </w:p>
        </w:tc>
        <w:tc>
          <w:tcPr>
            <w:tcW w:w="1204" w:type="dxa"/>
            <w:shd w:val="clear" w:color="auto" w:fill="C6EFCE"/>
          </w:tcPr>
          <w:p w14:paraId="1216C03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200</w:t>
            </w:r>
          </w:p>
        </w:tc>
        <w:tc>
          <w:tcPr>
            <w:tcW w:w="992" w:type="dxa"/>
            <w:shd w:val="clear" w:color="auto" w:fill="C6EFCE"/>
          </w:tcPr>
          <w:p w14:paraId="1216C031" w14:textId="10CDB36C"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T3</w:t>
            </w:r>
          </w:p>
        </w:tc>
        <w:tc>
          <w:tcPr>
            <w:tcW w:w="851" w:type="dxa"/>
            <w:shd w:val="clear" w:color="auto" w:fill="C6EFCE"/>
          </w:tcPr>
          <w:p w14:paraId="1216C03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3685" w:type="dxa"/>
            <w:shd w:val="clear" w:color="auto" w:fill="C6EFCE"/>
          </w:tcPr>
          <w:p w14:paraId="1247F5DC" w14:textId="5FAF02C9" w:rsidR="00A60DDE" w:rsidRDefault="00095506">
            <w:pPr>
              <w:pStyle w:val="P68B1DB1-Normal021"/>
              <w:pBdr>
                <w:top w:val="nil"/>
                <w:left w:val="nil"/>
                <w:bottom w:val="nil"/>
                <w:right w:val="nil"/>
                <w:between w:val="nil"/>
              </w:pBdr>
              <w:spacing w:after="0" w:line="240" w:lineRule="auto"/>
              <w:rPr>
                <w:noProof/>
                <w:color w:val="000000" w:themeColor="text1"/>
              </w:rPr>
            </w:pPr>
            <w:r>
              <w:rPr>
                <w:noProof/>
              </w:rPr>
              <w:t xml:space="preserve">Acceptare (tehnică) și/sau livrare </w:t>
            </w:r>
            <w:r>
              <w:rPr>
                <w:noProof/>
                <w:color w:val="000000" w:themeColor="text1"/>
              </w:rPr>
              <w:t>pentru investiții în cel puțin 5 terminale intermodale [cum ar fi lucrări de (re)construcție, lucrări de asamblare sau achiziții de echipamente sau instalații].</w:t>
            </w:r>
          </w:p>
          <w:p w14:paraId="1216C033" w14:textId="79055267" w:rsidR="00A60DDE" w:rsidRDefault="00095506">
            <w:pPr>
              <w:pStyle w:val="P68B1DB1-Normal021"/>
              <w:pBdr>
                <w:top w:val="nil"/>
                <w:left w:val="nil"/>
                <w:bottom w:val="nil"/>
                <w:right w:val="nil"/>
                <w:between w:val="nil"/>
              </w:pBdr>
              <w:spacing w:after="0" w:line="240" w:lineRule="auto"/>
              <w:rPr>
                <w:rFonts w:eastAsia="Times New Roman"/>
                <w:noProof/>
                <w:color w:val="000000" w:themeColor="text1"/>
              </w:rPr>
            </w:pPr>
            <w:r>
              <w:rPr>
                <w:noProof/>
              </w:rPr>
              <w:t xml:space="preserve">Acceptarea (tehnică) și/sau livrarea </w:t>
            </w:r>
            <w:r>
              <w:rPr>
                <w:noProof/>
                <w:color w:val="000000" w:themeColor="text1"/>
              </w:rPr>
              <w:t xml:space="preserve">a cel puțin 200 de unități de material rulant. </w:t>
            </w:r>
          </w:p>
        </w:tc>
      </w:tr>
      <w:tr w:rsidR="00A60DDE" w14:paraId="1216C040" w14:textId="77777777">
        <w:trPr>
          <w:trHeight w:val="300"/>
          <w:jc w:val="center"/>
        </w:trPr>
        <w:tc>
          <w:tcPr>
            <w:tcW w:w="851" w:type="dxa"/>
            <w:shd w:val="clear" w:color="auto" w:fill="C6EFCE"/>
          </w:tcPr>
          <w:p w14:paraId="1216C035"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E23G</w:t>
            </w:r>
          </w:p>
        </w:tc>
        <w:tc>
          <w:tcPr>
            <w:tcW w:w="1432" w:type="dxa"/>
            <w:shd w:val="clear" w:color="auto" w:fill="C6EFCE"/>
          </w:tcPr>
          <w:p w14:paraId="1216C036"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E2.2 Îmbunătățirea siguranței transportului</w:t>
            </w:r>
          </w:p>
        </w:tc>
        <w:tc>
          <w:tcPr>
            <w:tcW w:w="1027" w:type="dxa"/>
            <w:shd w:val="clear" w:color="auto" w:fill="C6EFCE"/>
          </w:tcPr>
          <w:p w14:paraId="1216C03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C038"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Intrarea în vigoare a actelor juridice care introduc: prioritate pentru pietoni la treceri, viteză uniformă în zonele construite, distanță minimă între vehicule, obiective de siguranță rutieră până în 2030 (-50 % decese în accidente)</w:t>
            </w:r>
          </w:p>
        </w:tc>
        <w:tc>
          <w:tcPr>
            <w:tcW w:w="1436" w:type="dxa"/>
            <w:shd w:val="clear" w:color="auto" w:fill="C6EFCE"/>
          </w:tcPr>
          <w:p w14:paraId="1216C039"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Dispoziții din actele juridice care indică intrarea în vigoare</w:t>
            </w:r>
          </w:p>
        </w:tc>
        <w:tc>
          <w:tcPr>
            <w:tcW w:w="1221" w:type="dxa"/>
            <w:shd w:val="clear" w:color="auto" w:fill="C6EFCE"/>
          </w:tcPr>
          <w:p w14:paraId="1216C03A"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C03B"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C03C"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03D" w14:textId="77777777" w:rsidR="00A60DDE" w:rsidRDefault="00095506">
            <w:pPr>
              <w:pStyle w:val="P68B1DB1-Normal062"/>
              <w:spacing w:after="0" w:line="240" w:lineRule="auto"/>
              <w:jc w:val="center"/>
              <w:rPr>
                <w:rFonts w:eastAsia="Times New Roman"/>
                <w:noProof/>
                <w:color w:val="000000" w:themeColor="text1"/>
              </w:rPr>
            </w:pPr>
            <w:r>
              <w:rPr>
                <w:noProof/>
              </w:rPr>
              <w:t>T4</w:t>
            </w:r>
          </w:p>
        </w:tc>
        <w:tc>
          <w:tcPr>
            <w:tcW w:w="851" w:type="dxa"/>
            <w:shd w:val="clear" w:color="auto" w:fill="C6EFCE"/>
          </w:tcPr>
          <w:p w14:paraId="1216C03E"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2021</w:t>
            </w:r>
          </w:p>
        </w:tc>
        <w:tc>
          <w:tcPr>
            <w:tcW w:w="3685" w:type="dxa"/>
            <w:shd w:val="clear" w:color="auto" w:fill="C6EFCE"/>
          </w:tcPr>
          <w:p w14:paraId="1216C03F"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Se introduc următoarele modificări legislative care promovează siguranța rutieră: prioritatea pietonilor la treceri, introducerea unei limite de viteză omogene în zonele urbane (50 km/h) și a unei distanțe minime între vehicule pe autostrăzi și autostrăzi (jumătate din viteza în metri). Obiectivul general privind siguranța rutieră va fi stabilit în Programul național de siguranță rutieră, care vizează reducerea cu 50 % a numărului de decese în accidente rutiere până în 2030 față de 2019, în conformitate cu angajamentul UE.</w:t>
            </w:r>
          </w:p>
        </w:tc>
      </w:tr>
      <w:tr w:rsidR="00A60DDE" w14:paraId="1216C04C" w14:textId="77777777">
        <w:trPr>
          <w:trHeight w:val="300"/>
          <w:jc w:val="center"/>
        </w:trPr>
        <w:tc>
          <w:tcPr>
            <w:tcW w:w="851" w:type="dxa"/>
            <w:shd w:val="clear" w:color="auto" w:fill="C6EFCE"/>
          </w:tcPr>
          <w:p w14:paraId="1216C041"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E24G</w:t>
            </w:r>
          </w:p>
        </w:tc>
        <w:tc>
          <w:tcPr>
            <w:tcW w:w="1432" w:type="dxa"/>
            <w:shd w:val="clear" w:color="auto" w:fill="C6EFCE"/>
          </w:tcPr>
          <w:p w14:paraId="1216C042"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E2.2.1 Investiții în siguranța transporturilor</w:t>
            </w:r>
          </w:p>
        </w:tc>
        <w:tc>
          <w:tcPr>
            <w:tcW w:w="1027" w:type="dxa"/>
            <w:shd w:val="clear" w:color="auto" w:fill="C6EFCE"/>
          </w:tcPr>
          <w:p w14:paraId="1216C04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44"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Construirea de șosele ocolitoare și îmbunătățirea punctelor de acces în materie de siguranță rutieră</w:t>
            </w:r>
          </w:p>
        </w:tc>
        <w:tc>
          <w:tcPr>
            <w:tcW w:w="1436" w:type="dxa"/>
            <w:shd w:val="clear" w:color="auto" w:fill="C6EFCE"/>
          </w:tcPr>
          <w:p w14:paraId="1216C045"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4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1216C04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C048"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km de șosele ocolitoare, 125 de hotspoturi</w:t>
            </w:r>
          </w:p>
        </w:tc>
        <w:tc>
          <w:tcPr>
            <w:tcW w:w="992" w:type="dxa"/>
            <w:shd w:val="clear" w:color="auto" w:fill="C6EFCE"/>
          </w:tcPr>
          <w:p w14:paraId="1216C049"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C04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3685" w:type="dxa"/>
            <w:shd w:val="clear" w:color="auto" w:fill="C6EFCE"/>
          </w:tcPr>
          <w:p w14:paraId="1216C04B" w14:textId="00966B42"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Îmbunătățirea a 125 de puncte de acces în materie de siguranță rutieră și construirea a 10 km de șosele ocolitoare. </w:t>
            </w:r>
          </w:p>
        </w:tc>
      </w:tr>
      <w:tr w:rsidR="00A60DDE" w14:paraId="1216C05C" w14:textId="77777777">
        <w:trPr>
          <w:trHeight w:val="300"/>
          <w:jc w:val="center"/>
        </w:trPr>
        <w:tc>
          <w:tcPr>
            <w:tcW w:w="851" w:type="dxa"/>
            <w:shd w:val="clear" w:color="auto" w:fill="C6EFCE"/>
          </w:tcPr>
          <w:p w14:paraId="1216C04D"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E25G</w:t>
            </w:r>
          </w:p>
        </w:tc>
        <w:tc>
          <w:tcPr>
            <w:tcW w:w="1432" w:type="dxa"/>
            <w:shd w:val="clear" w:color="auto" w:fill="C6EFCE"/>
          </w:tcPr>
          <w:p w14:paraId="1216C04E"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E2.2.1 Investiții în siguranța transporturilor</w:t>
            </w:r>
          </w:p>
        </w:tc>
        <w:tc>
          <w:tcPr>
            <w:tcW w:w="1027" w:type="dxa"/>
            <w:shd w:val="clear" w:color="auto" w:fill="C6EFCE"/>
          </w:tcPr>
          <w:p w14:paraId="1216C04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50" w14:textId="0A6ACC05"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Lucrări privind punctele de acces în materie de siguranță rutieră, instalarea de dispozitive de supraveghere rutieră</w:t>
            </w:r>
          </w:p>
        </w:tc>
        <w:tc>
          <w:tcPr>
            <w:tcW w:w="1436" w:type="dxa"/>
            <w:shd w:val="clear" w:color="auto" w:fill="C6EFCE"/>
          </w:tcPr>
          <w:p w14:paraId="1216C051"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5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shd w:val="clear" w:color="auto" w:fill="C6EFCE"/>
          </w:tcPr>
          <w:p w14:paraId="7C404592" w14:textId="760C97C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125 de hotspoturi;</w:t>
            </w:r>
          </w:p>
          <w:p w14:paraId="1216C053" w14:textId="77016C6F"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0 dispozitive de supraveghere rutieră</w:t>
            </w:r>
          </w:p>
        </w:tc>
        <w:tc>
          <w:tcPr>
            <w:tcW w:w="1204" w:type="dxa"/>
            <w:shd w:val="clear" w:color="auto" w:fill="C6EFCE"/>
          </w:tcPr>
          <w:p w14:paraId="1216C054" w14:textId="57C5D242"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305 hotspoturi, 128 de dispozitive de supraveghere rutieră</w:t>
            </w:r>
          </w:p>
        </w:tc>
        <w:tc>
          <w:tcPr>
            <w:tcW w:w="992" w:type="dxa"/>
            <w:shd w:val="clear" w:color="auto" w:fill="C6EFCE"/>
          </w:tcPr>
          <w:p w14:paraId="1216C055" w14:textId="77777777"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shd w:val="clear" w:color="auto" w:fill="C6EFCE"/>
          </w:tcPr>
          <w:p w14:paraId="1216C05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C059" w14:textId="534F30AF" w:rsidR="00A60DDE" w:rsidRDefault="00095506">
            <w:pPr>
              <w:pStyle w:val="P68B1DB1-Normal021"/>
              <w:pBdr>
                <w:top w:val="nil"/>
                <w:left w:val="nil"/>
                <w:bottom w:val="nil"/>
                <w:right w:val="nil"/>
                <w:between w:val="nil"/>
              </w:pBdr>
              <w:spacing w:after="0" w:line="240" w:lineRule="auto"/>
              <w:rPr>
                <w:noProof/>
                <w:color w:val="000000" w:themeColor="text1"/>
              </w:rPr>
            </w:pPr>
            <w:r>
              <w:rPr>
                <w:noProof/>
              </w:rPr>
              <w:t>Recepția (tehnică) a</w:t>
            </w:r>
            <w:r>
              <w:rPr>
                <w:noProof/>
                <w:color w:val="000000" w:themeColor="text1"/>
              </w:rPr>
              <w:t xml:space="preserve"> lucrărilor în 305 hotspoturi.</w:t>
            </w:r>
          </w:p>
          <w:p w14:paraId="65E6B031"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C05B" w14:textId="68FEF311" w:rsidR="00A60DDE" w:rsidRDefault="00095506">
            <w:pPr>
              <w:pStyle w:val="P68B1DB1-Normal062"/>
              <w:spacing w:after="0" w:line="240" w:lineRule="auto"/>
              <w:rPr>
                <w:noProof/>
                <w:color w:val="000000" w:themeColor="text1"/>
              </w:rPr>
            </w:pPr>
            <w:r>
              <w:rPr>
                <w:noProof/>
              </w:rPr>
              <w:t>Acceptarea (tehnică) a instalării a 128 de dispozitive de supraveghere rutieră.</w:t>
            </w:r>
          </w:p>
        </w:tc>
      </w:tr>
      <w:tr w:rsidR="00A60DDE" w14:paraId="208CE0DD" w14:textId="77777777">
        <w:trPr>
          <w:trHeight w:val="300"/>
          <w:jc w:val="center"/>
        </w:trPr>
        <w:tc>
          <w:tcPr>
            <w:tcW w:w="851" w:type="dxa"/>
            <w:shd w:val="clear" w:color="auto" w:fill="C6EFCE"/>
          </w:tcPr>
          <w:p w14:paraId="230BBE83" w14:textId="1DDDE264" w:rsidR="00A60DDE" w:rsidRDefault="00095506">
            <w:pPr>
              <w:pStyle w:val="P68B1DB1-Normal021"/>
              <w:pBdr>
                <w:top w:val="nil"/>
                <w:left w:val="nil"/>
                <w:bottom w:val="nil"/>
                <w:right w:val="nil"/>
                <w:between w:val="nil"/>
              </w:pBdr>
              <w:spacing w:after="0" w:line="240" w:lineRule="auto"/>
              <w:jc w:val="center"/>
              <w:rPr>
                <w:noProof/>
              </w:rPr>
            </w:pPr>
            <w:r>
              <w:rPr>
                <w:noProof/>
              </w:rPr>
              <w:t>E25aG</w:t>
            </w:r>
          </w:p>
        </w:tc>
        <w:tc>
          <w:tcPr>
            <w:tcW w:w="1432" w:type="dxa"/>
            <w:shd w:val="clear" w:color="auto" w:fill="C6EFCE"/>
          </w:tcPr>
          <w:p w14:paraId="14987AFD" w14:textId="1DD50C34"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E2.2.1 Investiții în siguranța transporturilor</w:t>
            </w:r>
          </w:p>
        </w:tc>
        <w:tc>
          <w:tcPr>
            <w:tcW w:w="1027" w:type="dxa"/>
            <w:shd w:val="clear" w:color="auto" w:fill="C6EFCE"/>
          </w:tcPr>
          <w:p w14:paraId="38B2F5C1" w14:textId="1141F74B"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72" w:type="dxa"/>
            <w:shd w:val="clear" w:color="auto" w:fill="C6EFCE"/>
          </w:tcPr>
          <w:p w14:paraId="448ACFA5" w14:textId="588BA785"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Construcția sau reconstrucția drumurilor naționale, inclusiv a șoselelor ocolitoare</w:t>
            </w:r>
          </w:p>
        </w:tc>
        <w:tc>
          <w:tcPr>
            <w:tcW w:w="1436" w:type="dxa"/>
            <w:shd w:val="clear" w:color="auto" w:fill="C6EFCE"/>
          </w:tcPr>
          <w:p w14:paraId="1C4CC150" w14:textId="77777777" w:rsidR="00A60DDE" w:rsidRDefault="00A60DDE">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1221" w:type="dxa"/>
            <w:shd w:val="clear" w:color="auto" w:fill="C6EFCE"/>
          </w:tcPr>
          <w:p w14:paraId="47A0E1C5" w14:textId="2ED15815"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kilometri</w:t>
            </w:r>
          </w:p>
        </w:tc>
        <w:tc>
          <w:tcPr>
            <w:tcW w:w="1228" w:type="dxa"/>
            <w:shd w:val="clear" w:color="auto" w:fill="C6EFCE"/>
          </w:tcPr>
          <w:p w14:paraId="020215E4" w14:textId="55A31448"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0</w:t>
            </w:r>
          </w:p>
        </w:tc>
        <w:tc>
          <w:tcPr>
            <w:tcW w:w="1204" w:type="dxa"/>
            <w:shd w:val="clear" w:color="auto" w:fill="C6EFCE"/>
          </w:tcPr>
          <w:p w14:paraId="250E7EB5" w14:textId="4FC4AF2B"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80</w:t>
            </w:r>
          </w:p>
        </w:tc>
        <w:tc>
          <w:tcPr>
            <w:tcW w:w="992" w:type="dxa"/>
            <w:shd w:val="clear" w:color="auto" w:fill="C6EFCE"/>
          </w:tcPr>
          <w:p w14:paraId="381FA60C" w14:textId="5F8E9B2E"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shd w:val="clear" w:color="auto" w:fill="C6EFCE"/>
          </w:tcPr>
          <w:p w14:paraId="3131DEFF" w14:textId="4DCD10EE" w:rsidR="00A60DDE" w:rsidRDefault="00095506">
            <w:pPr>
              <w:pStyle w:val="P68B1DB1-Normal062"/>
              <w:pBdr>
                <w:top w:val="nil"/>
                <w:left w:val="nil"/>
                <w:bottom w:val="nil"/>
                <w:right w:val="nil"/>
                <w:between w:val="nil"/>
              </w:pBdr>
              <w:spacing w:after="0" w:line="240" w:lineRule="auto"/>
              <w:jc w:val="center"/>
              <w:rPr>
                <w:noProof/>
                <w:color w:val="000000" w:themeColor="text1"/>
              </w:rPr>
            </w:pPr>
            <w:r>
              <w:rPr>
                <w:noProof/>
              </w:rPr>
              <w:t>2026</w:t>
            </w:r>
          </w:p>
        </w:tc>
        <w:tc>
          <w:tcPr>
            <w:tcW w:w="3685" w:type="dxa"/>
            <w:shd w:val="clear" w:color="auto" w:fill="C6EFCE"/>
          </w:tcPr>
          <w:p w14:paraId="61449ECC" w14:textId="260F63B8"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Construirea sau reconstrucția a 80 km de drumuri naționale, inclusiv șosele ocolitoare.</w:t>
            </w:r>
          </w:p>
        </w:tc>
      </w:tr>
      <w:tr w:rsidR="00A60DDE" w14:paraId="1216C068" w14:textId="77777777">
        <w:trPr>
          <w:trHeight w:val="1835"/>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D" w14:textId="77777777" w:rsidR="00A60DDE" w:rsidRDefault="00095506">
            <w:pPr>
              <w:pStyle w:val="P68B1DB1-Normal021"/>
              <w:pBdr>
                <w:top w:val="nil"/>
                <w:left w:val="nil"/>
                <w:bottom w:val="nil"/>
                <w:right w:val="nil"/>
                <w:between w:val="nil"/>
              </w:pBdr>
              <w:spacing w:after="0" w:line="240" w:lineRule="auto"/>
              <w:jc w:val="center"/>
              <w:rPr>
                <w:rFonts w:eastAsia="Times New Roman"/>
                <w:b/>
                <w:bCs/>
                <w:noProof/>
                <w:color w:val="000000" w:themeColor="text1"/>
              </w:rPr>
            </w:pPr>
            <w:r>
              <w:rPr>
                <w:noProof/>
              </w:rPr>
              <w:t>E28G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E"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E2.2.2 Digitalizarea transporturilor</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F"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0" w14:textId="77777777" w:rsidR="00A60DDE" w:rsidRDefault="00095506">
            <w:pPr>
              <w:pStyle w:val="P68B1DB1-Normal062"/>
              <w:pBdr>
                <w:top w:val="nil"/>
                <w:left w:val="nil"/>
                <w:bottom w:val="nil"/>
                <w:right w:val="nil"/>
                <w:between w:val="nil"/>
              </w:pBdr>
              <w:spacing w:after="0" w:line="240" w:lineRule="auto"/>
              <w:rPr>
                <w:rFonts w:eastAsia="Times New Roman"/>
                <w:noProof/>
              </w:rPr>
            </w:pPr>
            <w:r>
              <w:rPr>
                <w:noProof/>
              </w:rPr>
              <w:t>Instalarea sau actualizarea unităților ERTMS de la bord, instalarea SDIP, introducerea controlului automat al punctelor de control feroviar și lucrări la sistemele de trecere la nivel</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1"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2"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3" w14:textId="77777777" w:rsidR="00A60DDE" w:rsidRDefault="00095506">
            <w:pPr>
              <w:pStyle w:val="P68B1DB1-Normal062"/>
              <w:spacing w:after="0" w:line="240" w:lineRule="auto"/>
              <w:jc w:val="center"/>
              <w:rPr>
                <w:noProof/>
                <w:color w:val="000000" w:themeColor="text1"/>
              </w:rPr>
            </w:pPr>
            <w:r>
              <w:rPr>
                <w:noProof/>
              </w:rPr>
              <w:t>0</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4" w14:textId="77777777" w:rsidR="00A60DDE" w:rsidRDefault="00095506">
            <w:pPr>
              <w:pStyle w:val="P68B1DB1-Normal062"/>
              <w:spacing w:after="0" w:line="240" w:lineRule="auto"/>
              <w:jc w:val="center"/>
              <w:rPr>
                <w:noProof/>
              </w:rPr>
            </w:pPr>
            <w:r>
              <w:rPr>
                <w:noProof/>
              </w:rPr>
              <w:t>199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5" w14:textId="77777777" w:rsidR="00A60DDE" w:rsidRDefault="00095506">
            <w:pPr>
              <w:pStyle w:val="P68B1DB1-Normal062"/>
              <w:spacing w:after="0" w:line="240" w:lineRule="auto"/>
              <w:jc w:val="center"/>
              <w:rPr>
                <w:rFonts w:eastAsia="Times New Roman"/>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6"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7" w14:textId="7E96B704" w:rsidR="00A60DDE" w:rsidRDefault="00095506">
            <w:pPr>
              <w:pStyle w:val="P68B1DB1-Normal062"/>
              <w:pBdr>
                <w:top w:val="nil"/>
                <w:left w:val="nil"/>
                <w:bottom w:val="nil"/>
                <w:right w:val="nil"/>
                <w:between w:val="nil"/>
              </w:pBdr>
              <w:spacing w:after="0" w:line="240" w:lineRule="auto"/>
              <w:rPr>
                <w:noProof/>
                <w:color w:val="000000" w:themeColor="text1"/>
              </w:rPr>
            </w:pPr>
            <w:r>
              <w:rPr>
                <w:noProof/>
              </w:rPr>
              <w:t>Recepția (tehnică) și/sau livrarea: (i) instalarea sau actualizarea a 7 unități la bord ale Sistemului european de management al traficului feroviar (ERTMS), (ii) instalarea a cel puțin 52 de sisteme dinamice de informații despre pasageri (SDIP), (iii) lucrări la sistemele de trecere la nivel în cel puțin 112 locuri, (iv) introducerea controlului automat al punctelor de control feroviar în cel puțin 28 de locuri.</w:t>
            </w:r>
          </w:p>
        </w:tc>
      </w:tr>
    </w:tbl>
    <w:p w14:paraId="1216C069"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sz w:val="24"/>
          <w:szCs w:val="24"/>
        </w:rPr>
        <w:sectPr w:rsidR="00A60DDE" w:rsidSect="006C5441">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299"/>
        </w:sectPr>
      </w:pPr>
    </w:p>
    <w:p w14:paraId="1216C06A" w14:textId="77777777" w:rsidR="00A60DDE" w:rsidRDefault="00095506">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E.3. </w:t>
      </w:r>
      <w:r>
        <w:rPr>
          <w:noProof/>
        </w:rPr>
        <w:t xml:space="preserve"> </w:t>
      </w:r>
      <w:r>
        <w:rPr>
          <w:rFonts w:ascii="Times New Roman" w:hAnsi="Times New Roman"/>
          <w:b/>
          <w:noProof/>
          <w:color w:val="000000"/>
          <w:sz w:val="24"/>
        </w:rPr>
        <w:t>Descrierea reformelor și a investițiilor pentru împrumut</w:t>
      </w:r>
    </w:p>
    <w:p w14:paraId="1216C06B" w14:textId="77777777" w:rsidR="00A60DDE" w:rsidRDefault="00A60DD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C06C" w14:textId="77777777" w:rsidR="00A60DDE" w:rsidRDefault="00095506">
      <w:pPr>
        <w:pStyle w:val="P68B1DB1-Normal080"/>
        <w:spacing w:before="120" w:after="120" w:line="240" w:lineRule="auto"/>
        <w:jc w:val="both"/>
        <w:rPr>
          <w:rFonts w:eastAsia="Times New Roman" w:cs="Times New Roman"/>
          <w:b/>
          <w:bCs/>
          <w:noProof/>
          <w:szCs w:val="24"/>
        </w:rPr>
      </w:pPr>
      <w:r>
        <w:rPr>
          <w:b/>
          <w:noProof/>
        </w:rPr>
        <w:t>E1.2 Creșterea ponderii transporturilor cu emisii zero și cu emisii scăzute, prevenirea și reducerea impactului negativ al transporturilor asupra mediului</w:t>
      </w:r>
    </w:p>
    <w:p w14:paraId="1216C06D" w14:textId="61CC1A76" w:rsidR="00A60DDE" w:rsidRDefault="00095506">
      <w:pPr>
        <w:pStyle w:val="P68B1DB1-Normal049"/>
        <w:spacing w:before="120" w:after="120" w:line="240" w:lineRule="auto"/>
        <w:jc w:val="both"/>
        <w:rPr>
          <w:rFonts w:eastAsia="Times New Roman" w:cs="Times New Roman"/>
          <w:noProof/>
          <w:szCs w:val="24"/>
        </w:rPr>
      </w:pPr>
      <w:r>
        <w:rPr>
          <w:noProof/>
        </w:rPr>
        <w:t>Obiectivul reformei este de a reduce impactul transporturilor asupra mediului și sănătății.</w:t>
      </w:r>
    </w:p>
    <w:p w14:paraId="1216C06E" w14:textId="77777777" w:rsidR="00A60DDE" w:rsidRDefault="00095506">
      <w:pPr>
        <w:pStyle w:val="P68B1DB1-Normal050"/>
        <w:spacing w:before="120" w:after="120" w:line="240" w:lineRule="auto"/>
        <w:jc w:val="both"/>
        <w:rPr>
          <w:rFonts w:eastAsia="Times New Roman" w:cs="Times New Roman"/>
          <w:noProof/>
        </w:rPr>
      </w:pPr>
      <w:r>
        <w:rPr>
          <w:noProof/>
        </w:rPr>
        <w:t>Această măsură constă în adoptarea unui act juridic care stabilește obligația de a introduce zone de transport cu emisii scăzute în orașele cu peste 100 000 de locuitori, unde există un exces de substanțe nocive (NO2) în comparație cu pragurile de poluare a aerului din UE, precum și în stabilirea unor zone de transport cu emisii scăzute.</w:t>
      </w:r>
    </w:p>
    <w:p w14:paraId="1216C06F" w14:textId="77777777" w:rsidR="00A60DDE" w:rsidRDefault="00A60DDE">
      <w:pPr>
        <w:pStyle w:val="Normal0"/>
        <w:spacing w:before="120" w:after="120" w:line="240" w:lineRule="auto"/>
        <w:jc w:val="both"/>
        <w:rPr>
          <w:rFonts w:ascii="Times New Roman" w:eastAsia="Times New Roman" w:hAnsi="Times New Roman" w:cs="Times New Roman"/>
          <w:noProof/>
          <w:sz w:val="24"/>
          <w:szCs w:val="24"/>
        </w:rPr>
      </w:pPr>
    </w:p>
    <w:p w14:paraId="1216C070" w14:textId="29467003" w:rsidR="00A60DDE" w:rsidRDefault="00095506">
      <w:pPr>
        <w:pStyle w:val="P68B1DB1-Normal081"/>
        <w:spacing w:before="120" w:after="120" w:line="240" w:lineRule="auto"/>
        <w:jc w:val="both"/>
        <w:rPr>
          <w:rFonts w:eastAsia="Times New Roman" w:cs="Times New Roman"/>
          <w:bCs/>
          <w:noProof/>
        </w:rPr>
      </w:pPr>
      <w:r>
        <w:rPr>
          <w:noProof/>
        </w:rPr>
        <w:t>E1.2.1 Transportul public în orașe (tramvaie)</w:t>
      </w:r>
    </w:p>
    <w:p w14:paraId="1216C071" w14:textId="158D88C0" w:rsidR="00A60DDE" w:rsidRDefault="00095506">
      <w:pPr>
        <w:pStyle w:val="P68B1DB1-Normal049"/>
        <w:spacing w:before="120" w:after="120" w:line="240" w:lineRule="auto"/>
        <w:jc w:val="both"/>
        <w:rPr>
          <w:noProof/>
          <w:szCs w:val="24"/>
        </w:rPr>
      </w:pPr>
      <w:r>
        <w:rPr>
          <w:noProof/>
          <w:szCs w:val="24"/>
        </w:rPr>
        <w:t xml:space="preserve">Obiectivul </w:t>
      </w:r>
      <w:r>
        <w:rPr>
          <w:noProof/>
          <w:color w:val="000000" w:themeColor="text1"/>
        </w:rPr>
        <w:t xml:space="preserve">acestei investiții este de a crește </w:t>
      </w:r>
      <w:r>
        <w:rPr>
          <w:noProof/>
          <w:szCs w:val="24"/>
        </w:rPr>
        <w:t>oferta de transport public în orașe. Această măsură constă în acceptarea tramvaielor.</w:t>
      </w:r>
    </w:p>
    <w:p w14:paraId="1216C072" w14:textId="77777777" w:rsidR="00A60DDE" w:rsidRDefault="00A60DDE">
      <w:pPr>
        <w:pStyle w:val="Normal0"/>
        <w:spacing w:before="120" w:after="120" w:line="240" w:lineRule="auto"/>
        <w:jc w:val="both"/>
        <w:rPr>
          <w:rFonts w:ascii="Times New Roman" w:hAnsi="Times New Roman"/>
          <w:noProof/>
          <w:sz w:val="24"/>
          <w:szCs w:val="24"/>
        </w:rPr>
      </w:pPr>
    </w:p>
    <w:p w14:paraId="1216C073" w14:textId="77777777" w:rsidR="00A60DDE" w:rsidRDefault="00095506">
      <w:pPr>
        <w:pStyle w:val="P68B1DB1-Normal051"/>
        <w:spacing w:before="120" w:after="120" w:line="240" w:lineRule="auto"/>
        <w:jc w:val="both"/>
        <w:rPr>
          <w:noProof/>
        </w:rPr>
      </w:pPr>
      <w:r>
        <w:rPr>
          <w:noProof/>
        </w:rPr>
        <w:t>E2.3 Îmbunătățirea accesibilității transporturilor, a securității și a soluțiilor digitale</w:t>
      </w:r>
    </w:p>
    <w:p w14:paraId="1216C074" w14:textId="77777777" w:rsidR="00A60DDE" w:rsidRDefault="00095506">
      <w:pPr>
        <w:pStyle w:val="P68B1DB1-Normal049"/>
        <w:spacing w:before="120" w:after="120" w:line="240" w:lineRule="auto"/>
        <w:jc w:val="both"/>
        <w:rPr>
          <w:noProof/>
        </w:rPr>
      </w:pPr>
      <w:r>
        <w:rPr>
          <w:noProof/>
        </w:rPr>
        <w:t>Reforma vizează creșterea accesibilității transporturilor.</w:t>
      </w:r>
    </w:p>
    <w:p w14:paraId="1216C075" w14:textId="1B755FAA" w:rsidR="00A60DDE" w:rsidRDefault="00095506">
      <w:pPr>
        <w:pStyle w:val="P68B1DB1-Normal049"/>
        <w:spacing w:before="120" w:after="120" w:line="240" w:lineRule="auto"/>
        <w:jc w:val="both"/>
        <w:rPr>
          <w:noProof/>
        </w:rPr>
      </w:pPr>
      <w:r>
        <w:rPr>
          <w:noProof/>
        </w:rPr>
        <w:t>Aceasta constă într-o punere în aplicare accelerată a Regulamentului (CE) nr. 1371/2007 privind drepturile călătorilor din transportul feroviar și adaptările materialului rulant pentru călătorii cu mobilitate redusă. Reforma intră în vigoare până la 31 decembrie 2022.</w:t>
      </w:r>
    </w:p>
    <w:p w14:paraId="1216C076" w14:textId="276F459F" w:rsidR="00A60DDE" w:rsidRDefault="00095506">
      <w:pPr>
        <w:pStyle w:val="P68B1DB1-Normal049"/>
        <w:spacing w:before="120" w:after="120" w:line="240" w:lineRule="auto"/>
        <w:jc w:val="both"/>
        <w:rPr>
          <w:noProof/>
        </w:rPr>
      </w:pPr>
      <w:r>
        <w:rPr>
          <w:noProof/>
        </w:rPr>
        <w:t>Reforma include, de asemenea, dispoziții relevante pentru modernizarea materialului rulant național și internațional cu cerințe pentru pasagerii cu handicap. Reforma intră în vigoare până la 30 iunie 2024.</w:t>
      </w:r>
    </w:p>
    <w:p w14:paraId="35A9D89C" w14:textId="77777777" w:rsidR="00A60DDE" w:rsidRDefault="00A60DDE">
      <w:pPr>
        <w:pStyle w:val="Normal0"/>
        <w:spacing w:before="120" w:after="120" w:line="240" w:lineRule="auto"/>
        <w:jc w:val="both"/>
        <w:rPr>
          <w:rFonts w:ascii="Times New Roman" w:hAnsi="Times New Roman"/>
          <w:noProof/>
          <w:sz w:val="24"/>
        </w:rPr>
      </w:pPr>
    </w:p>
    <w:p w14:paraId="1216C077" w14:textId="77777777" w:rsidR="00A60DDE" w:rsidRDefault="00095506">
      <w:pPr>
        <w:pStyle w:val="P68B1DB1-Normal40"/>
        <w:spacing w:before="120" w:after="120" w:line="240" w:lineRule="auto"/>
        <w:jc w:val="both"/>
        <w:rPr>
          <w:noProof/>
        </w:rPr>
      </w:pPr>
      <w:r>
        <w:rPr>
          <w:noProof/>
        </w:rPr>
        <w:t>E3.1.1 Mecanismul de sprijinire a unei economii cu emisii scăzute de dioxid de carbon</w:t>
      </w:r>
    </w:p>
    <w:p w14:paraId="1216C078" w14:textId="77777777" w:rsidR="00A60DDE" w:rsidRDefault="00095506">
      <w:pPr>
        <w:pStyle w:val="P68B1DB1-Normal049"/>
        <w:spacing w:before="120" w:after="120" w:line="240" w:lineRule="auto"/>
        <w:jc w:val="both"/>
        <w:rPr>
          <w:noProof/>
          <w:szCs w:val="24"/>
        </w:rPr>
      </w:pPr>
      <w:r>
        <w:rPr>
          <w:noProof/>
          <w:szCs w:val="24"/>
        </w:rPr>
        <w:t xml:space="preserve">Obiectivul </w:t>
      </w:r>
      <w:r>
        <w:rPr>
          <w:noProof/>
          <w:color w:val="000000"/>
        </w:rPr>
        <w:t xml:space="preserve">acestei investiții este de a contribui la </w:t>
      </w:r>
      <w:r>
        <w:rPr>
          <w:noProof/>
          <w:szCs w:val="24"/>
        </w:rPr>
        <w:t>dezvoltarea economiei cu emisii scăzute și cu emisii zero de dioxid de carbon prin sprijinirea proiectelor industriale pentru mobilitatea curată și sectoarele energetice. Această măsură constă într-o investiție publică într-o facilitate care funcționează prin furnizarea de investiții de capital direct sectorului privat, precum și sectorului public implicat în activități similare.</w:t>
      </w:r>
    </w:p>
    <w:p w14:paraId="1216C079" w14:textId="77777777" w:rsidR="00A60DDE" w:rsidRDefault="00A60DDE">
      <w:pPr>
        <w:pStyle w:val="Normal0"/>
        <w:spacing w:before="120" w:after="120" w:line="240" w:lineRule="auto"/>
        <w:jc w:val="both"/>
        <w:rPr>
          <w:rFonts w:ascii="Times New Roman" w:hAnsi="Times New Roman"/>
          <w:noProof/>
          <w:sz w:val="24"/>
          <w:szCs w:val="24"/>
        </w:rPr>
      </w:pPr>
    </w:p>
    <w:p w14:paraId="1216C07A" w14:textId="77777777" w:rsidR="00A60DDE" w:rsidRDefault="00A60DDE">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C07B" w14:textId="77777777" w:rsidR="00A60DDE" w:rsidRDefault="00A60DDE">
      <w:pPr>
        <w:pStyle w:val="LegalNumPar"/>
        <w:numPr>
          <w:ilvl w:val="0"/>
          <w:numId w:val="0"/>
        </w:numPr>
        <w:spacing w:after="160" w:line="259" w:lineRule="auto"/>
        <w:jc w:val="both"/>
        <w:rPr>
          <w:rFonts w:ascii="Times New Roman" w:eastAsia="Times New Roman" w:hAnsi="Times New Roman" w:cs="Times New Roman"/>
          <w:noProof/>
        </w:rPr>
        <w:sectPr w:rsidR="00A60DDE" w:rsidSect="006C5441">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299"/>
        </w:sectPr>
      </w:pPr>
    </w:p>
    <w:p w14:paraId="1216C07C" w14:textId="77777777" w:rsidR="00A60DDE" w:rsidRDefault="00095506">
      <w:pPr>
        <w:pStyle w:val="LegalNumPar"/>
        <w:numPr>
          <w:ilvl w:val="0"/>
          <w:numId w:val="0"/>
        </w:numPr>
        <w:spacing w:after="160" w:line="259" w:lineRule="auto"/>
        <w:jc w:val="both"/>
        <w:rPr>
          <w:rFonts w:ascii="Times New Roman" w:hAnsi="Times New Roman" w:cs="Times New Roman"/>
          <w:noProof/>
        </w:rPr>
      </w:pPr>
      <w:r>
        <w:rPr>
          <w:rFonts w:ascii="Times New Roman" w:hAnsi="Times New Roman"/>
          <w:b/>
          <w:noProof/>
          <w:color w:val="000000"/>
        </w:rPr>
        <w:t xml:space="preserve">E.4. </w:t>
      </w:r>
      <w:r>
        <w:rPr>
          <w:noProof/>
        </w:rPr>
        <w:t xml:space="preserve"> </w:t>
      </w:r>
      <w:r>
        <w:rPr>
          <w:rFonts w:ascii="Times New Roman" w:hAnsi="Times New Roman"/>
          <w:b/>
          <w:noProof/>
          <w:color w:val="000000"/>
        </w:rPr>
        <w:t>Jaloane, ținte, indicatori și calendar pentru monitorizarea și punerea în aplicare a împrumutului</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2"/>
        <w:gridCol w:w="1519"/>
        <w:gridCol w:w="1245"/>
        <w:gridCol w:w="1932"/>
        <w:gridCol w:w="1519"/>
        <w:gridCol w:w="969"/>
        <w:gridCol w:w="969"/>
        <w:gridCol w:w="1363"/>
        <w:gridCol w:w="990"/>
        <w:gridCol w:w="705"/>
        <w:gridCol w:w="3266"/>
      </w:tblGrid>
      <w:tr w:rsidR="00A60DDE" w14:paraId="1216C085" w14:textId="77777777">
        <w:trPr>
          <w:trHeight w:val="696"/>
          <w:tblHeader/>
          <w:jc w:val="center"/>
        </w:trPr>
        <w:tc>
          <w:tcPr>
            <w:tcW w:w="832" w:type="dxa"/>
            <w:vMerge w:val="restart"/>
            <w:shd w:val="clear" w:color="auto" w:fill="BDD7EE"/>
            <w:vAlign w:val="center"/>
          </w:tcPr>
          <w:p w14:paraId="1216C07D" w14:textId="2031914A" w:rsidR="00A60DDE" w:rsidRDefault="005631E2">
            <w:pPr>
              <w:pStyle w:val="P68B1DB1-Normal061"/>
              <w:pBdr>
                <w:top w:val="nil"/>
                <w:left w:val="nil"/>
                <w:bottom w:val="nil"/>
                <w:right w:val="nil"/>
                <w:between w:val="nil"/>
              </w:pBdr>
              <w:spacing w:after="0" w:line="240" w:lineRule="auto"/>
              <w:jc w:val="center"/>
              <w:rPr>
                <w:rFonts w:eastAsia="Times New Roman"/>
                <w:noProof/>
              </w:rPr>
            </w:pPr>
            <w:r>
              <w:rPr>
                <w:noProof/>
              </w:rPr>
              <w:t>Nr. secv</w:t>
            </w:r>
          </w:p>
        </w:tc>
        <w:tc>
          <w:tcPr>
            <w:tcW w:w="1519" w:type="dxa"/>
            <w:vMerge w:val="restart"/>
            <w:shd w:val="clear" w:color="auto" w:fill="BDD7EE"/>
            <w:vAlign w:val="center"/>
          </w:tcPr>
          <w:p w14:paraId="1216C07E"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245" w:type="dxa"/>
            <w:vMerge w:val="restart"/>
            <w:shd w:val="clear" w:color="auto" w:fill="BDD7EE"/>
            <w:vAlign w:val="center"/>
          </w:tcPr>
          <w:p w14:paraId="1216C07F"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Etapa/ținta</w:t>
            </w:r>
          </w:p>
        </w:tc>
        <w:tc>
          <w:tcPr>
            <w:tcW w:w="1932" w:type="dxa"/>
            <w:vMerge w:val="restart"/>
            <w:shd w:val="clear" w:color="auto" w:fill="BDD7EE"/>
            <w:vAlign w:val="center"/>
          </w:tcPr>
          <w:p w14:paraId="1216C080"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519" w:type="dxa"/>
            <w:vMerge w:val="restart"/>
            <w:shd w:val="clear" w:color="auto" w:fill="BDD7EE"/>
            <w:vAlign w:val="center"/>
          </w:tcPr>
          <w:p w14:paraId="1216C081" w14:textId="00C86114"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Indicatori calitativi (pentru obiectivele de etapă)</w:t>
            </w:r>
          </w:p>
        </w:tc>
        <w:tc>
          <w:tcPr>
            <w:tcW w:w="3301" w:type="dxa"/>
            <w:gridSpan w:val="3"/>
            <w:shd w:val="clear" w:color="auto" w:fill="BDD7EE"/>
            <w:vAlign w:val="center"/>
          </w:tcPr>
          <w:p w14:paraId="1216C082" w14:textId="3211887D"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Indicatori cantitativi (pentru obiective)</w:t>
            </w:r>
          </w:p>
        </w:tc>
        <w:tc>
          <w:tcPr>
            <w:tcW w:w="1695" w:type="dxa"/>
            <w:gridSpan w:val="2"/>
            <w:shd w:val="clear" w:color="auto" w:fill="BDD7EE"/>
            <w:vAlign w:val="center"/>
          </w:tcPr>
          <w:p w14:paraId="1216C083"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3266" w:type="dxa"/>
            <w:vMerge w:val="restart"/>
            <w:shd w:val="clear" w:color="auto" w:fill="BDD7EE"/>
            <w:vAlign w:val="center"/>
          </w:tcPr>
          <w:p w14:paraId="1216C084"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A60DDE" w14:paraId="1216C091" w14:textId="77777777">
        <w:trPr>
          <w:trHeight w:val="694"/>
          <w:jc w:val="center"/>
        </w:trPr>
        <w:tc>
          <w:tcPr>
            <w:tcW w:w="832" w:type="dxa"/>
            <w:vMerge/>
            <w:vAlign w:val="center"/>
          </w:tcPr>
          <w:p w14:paraId="1216C086"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519" w:type="dxa"/>
            <w:vMerge/>
            <w:vAlign w:val="center"/>
          </w:tcPr>
          <w:p w14:paraId="1216C087"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45" w:type="dxa"/>
            <w:vMerge/>
            <w:vAlign w:val="center"/>
          </w:tcPr>
          <w:p w14:paraId="1216C088" w14:textId="77777777" w:rsidR="00A60DDE" w:rsidRDefault="00A60DDE">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32" w:type="dxa"/>
            <w:vMerge/>
            <w:vAlign w:val="center"/>
          </w:tcPr>
          <w:p w14:paraId="1216C089"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19" w:type="dxa"/>
            <w:vMerge/>
            <w:vAlign w:val="center"/>
          </w:tcPr>
          <w:p w14:paraId="1216C08A"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69" w:type="dxa"/>
            <w:shd w:val="clear" w:color="auto" w:fill="BDD7EE"/>
            <w:vAlign w:val="center"/>
          </w:tcPr>
          <w:p w14:paraId="1216C08B"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969" w:type="dxa"/>
            <w:shd w:val="clear" w:color="auto" w:fill="BDD7EE"/>
            <w:vAlign w:val="center"/>
          </w:tcPr>
          <w:p w14:paraId="1216C08C"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1363" w:type="dxa"/>
            <w:shd w:val="clear" w:color="auto" w:fill="BDD7EE"/>
            <w:vAlign w:val="center"/>
          </w:tcPr>
          <w:p w14:paraId="1216C08D"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990" w:type="dxa"/>
            <w:shd w:val="clear" w:color="auto" w:fill="BDD7EE"/>
            <w:vAlign w:val="center"/>
          </w:tcPr>
          <w:p w14:paraId="1216C08E"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705" w:type="dxa"/>
            <w:shd w:val="clear" w:color="auto" w:fill="BDD7EE"/>
            <w:vAlign w:val="center"/>
          </w:tcPr>
          <w:p w14:paraId="1216C08F" w14:textId="77777777" w:rsidR="00A60DDE" w:rsidRDefault="00095506">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3266" w:type="dxa"/>
            <w:vMerge/>
            <w:vAlign w:val="center"/>
          </w:tcPr>
          <w:p w14:paraId="1216C090" w14:textId="77777777" w:rsidR="00A60DDE" w:rsidRDefault="00A60DDE">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C0A1" w14:textId="77777777">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2"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E1L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3"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E1.2 Creșterea ponderii transporturilor cu emisii zero și cu emisii scăzute, prevenirea și reducerea impactului negativ al transporturilor asupra mediului</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5" w14:textId="23C64B55"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Intrarea în vigoare a unui act juridic care introduce obligația privind zonele cu emisii scăzute pentru orașele selectate și cele mai poluate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6" w14:textId="0944CE3B" w:rsidR="00A60DDE" w:rsidRDefault="00095506">
            <w:pPr>
              <w:pStyle w:val="P68B1DB1-Normal062"/>
              <w:pBdr>
                <w:top w:val="nil"/>
                <w:left w:val="nil"/>
                <w:bottom w:val="nil"/>
                <w:right w:val="nil"/>
                <w:between w:val="nil"/>
              </w:pBdr>
              <w:spacing w:after="0" w:line="240" w:lineRule="auto"/>
              <w:rPr>
                <w:rFonts w:eastAsia="Times New Roman"/>
                <w:noProof/>
                <w:color w:val="000000" w:themeColor="text1"/>
              </w:rPr>
            </w:pPr>
            <w:r>
              <w:rPr>
                <w:noProof/>
              </w:rPr>
              <w:t>Dispoziție din actul juridic care indică intrarea sa în vigoare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9"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C" w14:textId="200B939A" w:rsidR="00A60DDE" w:rsidRDefault="00095506">
            <w:pPr>
              <w:pStyle w:val="P68B1DB1-Normal021"/>
              <w:spacing w:after="0" w:line="240" w:lineRule="auto"/>
              <w:rPr>
                <w:noProof/>
                <w:color w:val="000000" w:themeColor="text1"/>
              </w:rPr>
            </w:pPr>
            <w:r>
              <w:rPr>
                <w:noProof/>
                <w:color w:val="000000" w:themeColor="text1"/>
              </w:rPr>
              <w:t xml:space="preserve">Actul juridic stabilește obligația, începând cu T1 2025, de a crea zone de transport cu emisii scăzute în orașele cu peste 100 000 de locuitori, unde există un </w:t>
            </w:r>
            <w:r>
              <w:rPr>
                <w:noProof/>
              </w:rPr>
              <w:t>exces</w:t>
            </w:r>
            <w:r>
              <w:rPr>
                <w:noProof/>
                <w:color w:val="000000" w:themeColor="text1"/>
              </w:rPr>
              <w:t xml:space="preserve"> de substanțe nocive (NO2) față de pragurile UE de poluare a aerului.</w:t>
            </w:r>
          </w:p>
          <w:p w14:paraId="1216C09D" w14:textId="77777777" w:rsidR="00A60DDE" w:rsidRDefault="00A60DDE">
            <w:pPr>
              <w:pStyle w:val="Normal0"/>
              <w:spacing w:after="0" w:line="240" w:lineRule="auto"/>
              <w:rPr>
                <w:rFonts w:ascii="Times New Roman" w:hAnsi="Times New Roman" w:cs="Times New Roman"/>
                <w:noProof/>
                <w:color w:val="000000" w:themeColor="text1"/>
                <w:sz w:val="18"/>
                <w:szCs w:val="18"/>
              </w:rPr>
            </w:pPr>
          </w:p>
          <w:p w14:paraId="1216C09E" w14:textId="1FAFB105" w:rsidR="00A60DDE" w:rsidRDefault="00095506">
            <w:pPr>
              <w:pStyle w:val="P68B1DB1-Normal062"/>
              <w:spacing w:after="0" w:line="240" w:lineRule="auto"/>
              <w:rPr>
                <w:noProof/>
                <w:color w:val="000000" w:themeColor="text1"/>
              </w:rPr>
            </w:pPr>
            <w:r>
              <w:rPr>
                <w:noProof/>
              </w:rPr>
              <w:t>Actul juridic precizează că această obligație se aplică tuturor orașelor cu peste 100 000 de locuitori care depășesc limitele privind calitatea aerului identificate în raportul privind calitatea aerului care urmează să fie elaborat până la data de 30 aprilie a fiecărui an de către Inspectoratul General pentru Protecția Mediului și că zonele de transport cu emisii scăzute se stabilesc în aceste orașe începând cu data de 1 ianuarie a anului următor.</w:t>
            </w:r>
          </w:p>
          <w:p w14:paraId="1216C09F" w14:textId="77777777" w:rsidR="00A60DDE" w:rsidRDefault="00A60DDE">
            <w:pPr>
              <w:pStyle w:val="Normal0"/>
              <w:spacing w:after="0" w:line="240" w:lineRule="auto"/>
              <w:rPr>
                <w:rFonts w:ascii="Times New Roman" w:hAnsi="Times New Roman" w:cs="Times New Roman"/>
                <w:noProof/>
                <w:color w:val="000000" w:themeColor="text1"/>
                <w:sz w:val="18"/>
                <w:szCs w:val="18"/>
              </w:rPr>
            </w:pPr>
          </w:p>
          <w:p w14:paraId="1216C0A0" w14:textId="772A2F3E" w:rsidR="00A60DDE" w:rsidRDefault="00095506">
            <w:pPr>
              <w:pStyle w:val="P68B1DB1-Normal062"/>
              <w:spacing w:after="0" w:line="240" w:lineRule="auto"/>
              <w:rPr>
                <w:noProof/>
                <w:color w:val="000000" w:themeColor="text1"/>
              </w:rPr>
            </w:pPr>
            <w:r>
              <w:rPr>
                <w:noProof/>
              </w:rPr>
              <w:t>Actul juridic continuă, de asemenea, să prevadă posibilitatea introducerii unor zone de transport cu emisii scăzute în toate zonele urbane, indiferent de numărul de locuitori.</w:t>
            </w:r>
          </w:p>
        </w:tc>
      </w:tr>
      <w:tr w:rsidR="00A60DDE" w14:paraId="1216C0AD" w14:textId="77777777">
        <w:trPr>
          <w:trHeight w:val="173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2"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E2L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3"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E1.2 Creșterea ponderii transporturilor cu emisii zero și cu emisii scăzute, prevenirea și reducerea impactului negativ al transporturilor asupra mediului</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5" w14:textId="3226CDB5"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Zone de transport cu emisii scăzute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6"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Stabilirea unor zone de transport cu emisii scăzute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7"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8"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9" w14:textId="77777777" w:rsidR="00A60DDE" w:rsidRDefault="00A60DDE">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A"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B"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C" w14:textId="15AE57C6" w:rsidR="00A60DDE" w:rsidRDefault="00095506">
            <w:pPr>
              <w:pStyle w:val="P68B1DB1-Normal062"/>
              <w:spacing w:after="0" w:line="240" w:lineRule="auto"/>
              <w:rPr>
                <w:noProof/>
                <w:color w:val="000000" w:themeColor="text1"/>
              </w:rPr>
            </w:pPr>
            <w:r>
              <w:rPr>
                <w:noProof/>
              </w:rPr>
              <w:t>Zonele de transport cu emisii scăzute se stabilesc în orașe cu peste 100 000 de locuitori în care pragurile de calitate a aerului sunt depășite, astfel cum au fost identificate în cel mai recent raport privind calitatea aerului al Inspectoratului General pentru Protecția Mediului disponibil începând din 2025.</w:t>
            </w:r>
          </w:p>
        </w:tc>
      </w:tr>
      <w:tr w:rsidR="00A60DDE" w14:paraId="1216C0B9" w14:textId="77777777">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E" w14:textId="77777777" w:rsidR="00A60DDE" w:rsidRDefault="00095506">
            <w:pPr>
              <w:pStyle w:val="P68B1DB1-Normal021"/>
              <w:pBdr>
                <w:top w:val="nil"/>
                <w:left w:val="nil"/>
                <w:bottom w:val="nil"/>
                <w:right w:val="nil"/>
                <w:between w:val="nil"/>
              </w:pBdr>
              <w:spacing w:after="0" w:line="240" w:lineRule="auto"/>
              <w:jc w:val="center"/>
              <w:rPr>
                <w:rFonts w:eastAsia="Times New Roman"/>
                <w:noProof/>
                <w:color w:val="006100"/>
              </w:rPr>
            </w:pPr>
            <w:r>
              <w:rPr>
                <w:noProof/>
              </w:rPr>
              <w:t>E4L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F" w14:textId="71C3DF46"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E1.2.1 Transportul public în orașe (tramvaie)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0"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1" w14:textId="0259831C" w:rsidR="00A60DDE" w:rsidRDefault="00095506">
            <w:pPr>
              <w:pStyle w:val="P68B1DB1-Normal062"/>
              <w:spacing w:after="0" w:line="240" w:lineRule="auto"/>
              <w:rPr>
                <w:rFonts w:eastAsia="Times New Roman"/>
                <w:noProof/>
                <w:color w:val="006100"/>
              </w:rPr>
            </w:pPr>
            <w:r>
              <w:rPr>
                <w:noProof/>
              </w:rPr>
              <w:t xml:space="preserve">Tramvaiele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2" w14:textId="77777777" w:rsidR="00A60DDE" w:rsidRDefault="00095506">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3"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4"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5"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88</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6" w14:textId="3F077442" w:rsidR="00A60DDE" w:rsidRDefault="00095506">
            <w:pPr>
              <w:pStyle w:val="P68B1DB1-Normal062"/>
              <w:spacing w:after="0" w:line="240" w:lineRule="auto"/>
              <w:jc w:val="center"/>
              <w:rPr>
                <w:rFonts w:eastAsia="Times New Roman"/>
                <w:noProof/>
                <w:color w:val="006100"/>
              </w:rPr>
            </w:pPr>
            <w:r>
              <w:rPr>
                <w:noProof/>
              </w:rPr>
              <w:t>Q1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7" w14:textId="77777777" w:rsidR="00A60DDE" w:rsidRDefault="00095506">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8" w14:textId="6756A95C" w:rsidR="00A60DDE" w:rsidRDefault="00095506">
            <w:pPr>
              <w:pStyle w:val="P68B1DB1-Normal82"/>
              <w:spacing w:line="240" w:lineRule="auto"/>
              <w:rPr>
                <w:noProof/>
              </w:rPr>
            </w:pPr>
            <w:r>
              <w:rPr>
                <w:noProof/>
              </w:rPr>
              <w:t>Protocoale care confirmă acceptarea a 88 de tramvaie.</w:t>
            </w:r>
          </w:p>
        </w:tc>
      </w:tr>
      <w:tr w:rsidR="00A60DDE" w14:paraId="1216C0C5" w14:textId="77777777">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A"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E5L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B"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E2.3 Îmbunătățirea accesibilității transporturilor, a securității și a soluțiilor digitale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C"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D"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unui act juridic care introduce îmbunătățiri ale drepturilor pasagerilor în domeniul cerințelor privind materialul rulant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E"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actele juridice care indică intrarea în vigoare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F"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0"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1"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2"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3"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2022</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4" w14:textId="1592D5D0" w:rsidR="00A60DDE" w:rsidRDefault="00095506">
            <w:pPr>
              <w:pStyle w:val="P68B1DB1-Normal021"/>
              <w:pBdr>
                <w:top w:val="nil"/>
                <w:left w:val="nil"/>
                <w:bottom w:val="nil"/>
                <w:right w:val="nil"/>
                <w:between w:val="nil"/>
              </w:pBdr>
              <w:spacing w:after="0" w:line="240" w:lineRule="auto"/>
              <w:rPr>
                <w:noProof/>
              </w:rPr>
            </w:pPr>
            <w:r>
              <w:rPr>
                <w:noProof/>
                <w:color w:val="000000" w:themeColor="text1"/>
              </w:rPr>
              <w:t>Standardele tehnice și funcționale pentru investițiile feroviare</w:t>
            </w:r>
            <w:r>
              <w:rPr>
                <w:noProof/>
              </w:rPr>
              <w:t xml:space="preserve"> sunt introduse printr-un act juridic pentru a asigura soluții adecvate de infrastructură care să răspundă nevoilor călătorilor cu mobilitate redusă. În acest scop, actul juridic abrogă dispozițiile naționale relevante pentru derogarea de la Regulamentul (CE) nr. 1371/2007 privind drepturile și obligațiile călătorilor din transportul feroviar.</w:t>
            </w:r>
          </w:p>
        </w:tc>
      </w:tr>
      <w:tr w:rsidR="00A60DDE" w14:paraId="1216C0D1" w14:textId="77777777">
        <w:trPr>
          <w:trHeight w:val="2178"/>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6" w14:textId="77777777" w:rsidR="00A60DDE" w:rsidRDefault="00095506">
            <w:pPr>
              <w:pStyle w:val="P68B1DB1-Normal021"/>
              <w:pBdr>
                <w:top w:val="nil"/>
                <w:left w:val="nil"/>
                <w:bottom w:val="nil"/>
                <w:right w:val="nil"/>
                <w:between w:val="nil"/>
              </w:pBdr>
              <w:spacing w:after="0" w:line="240" w:lineRule="auto"/>
              <w:jc w:val="center"/>
              <w:rPr>
                <w:noProof/>
                <w:color w:val="006100"/>
              </w:rPr>
            </w:pPr>
            <w:r>
              <w:rPr>
                <w:noProof/>
              </w:rPr>
              <w:t>E6L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7"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E2.3 Îmbunătățirea accesibilității transporturilor, a securității și a soluțiilor digitale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8"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9"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Obligația de a moderniza materialul rulant național și internațional cu cerințe pentru pasagerii cu handicap</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A" w14:textId="77777777" w:rsidR="00A60DDE" w:rsidRDefault="00095506">
            <w:pPr>
              <w:pStyle w:val="P68B1DB1-Normal062"/>
              <w:pBdr>
                <w:top w:val="nil"/>
                <w:left w:val="nil"/>
                <w:bottom w:val="nil"/>
                <w:right w:val="nil"/>
                <w:between w:val="nil"/>
              </w:pBdr>
              <w:spacing w:after="0" w:line="240" w:lineRule="auto"/>
              <w:rPr>
                <w:noProof/>
                <w:color w:val="006100"/>
              </w:rPr>
            </w:pPr>
            <w:r>
              <w:rPr>
                <w:noProof/>
              </w:rPr>
              <w:t>Dispoziție din actul juridic care indică intrarea în vigoare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B"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C"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D" w14:textId="77777777" w:rsidR="00A60DDE" w:rsidRDefault="00A60DDE">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E"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T2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F" w14:textId="77777777" w:rsidR="00A60DDE" w:rsidRDefault="00095506">
            <w:pPr>
              <w:pStyle w:val="P68B1DB1-Normal062"/>
              <w:pBdr>
                <w:top w:val="nil"/>
                <w:left w:val="nil"/>
                <w:bottom w:val="nil"/>
                <w:right w:val="nil"/>
                <w:between w:val="nil"/>
              </w:pBdr>
              <w:spacing w:after="0" w:line="240" w:lineRule="auto"/>
              <w:jc w:val="center"/>
              <w:rPr>
                <w:noProof/>
                <w:color w:val="006100"/>
              </w:rPr>
            </w:pPr>
            <w:r>
              <w:rPr>
                <w:noProof/>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0" w14:textId="5E19BD57" w:rsidR="00A60DDE" w:rsidRDefault="00095506">
            <w:pPr>
              <w:pStyle w:val="P68B1DB1-Normal062"/>
              <w:pBdr>
                <w:top w:val="nil"/>
                <w:left w:val="nil"/>
                <w:bottom w:val="nil"/>
                <w:right w:val="nil"/>
                <w:between w:val="nil"/>
              </w:pBdr>
              <w:spacing w:after="0" w:line="240" w:lineRule="auto"/>
              <w:rPr>
                <w:noProof/>
                <w:color w:val="006100"/>
              </w:rPr>
            </w:pPr>
            <w:r>
              <w:rPr>
                <w:noProof/>
              </w:rPr>
              <w:t>Intrarea în vigoare a dispozițiilor relevante pentru adaptarea materialului rulant feroviar la cerințele privind drepturile călătorilor, adaptarea la articolul 9 alineatul (3) din Regulamentul 2021/782 (în cazul în care modernizarea este justificată și rațională în ceea ce privește durata de exploatare preconizată a materialului rulant) pentru ca materialul rulant național și internațional să fie modernizat pentru a include călători cu handicap și pentru a consolida drepturile călătorilor.</w:t>
            </w:r>
          </w:p>
        </w:tc>
      </w:tr>
      <w:tr w:rsidR="00A60DDE" w14:paraId="1216C0E4" w14:textId="77777777">
        <w:trPr>
          <w:trHeight w:val="3090"/>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2" w14:textId="77777777" w:rsidR="00A60DDE" w:rsidRDefault="00095506">
            <w:pPr>
              <w:pStyle w:val="P68B1DB1-Normal82"/>
              <w:spacing w:after="0" w:line="240" w:lineRule="auto"/>
              <w:jc w:val="center"/>
              <w:rPr>
                <w:noProof/>
              </w:rPr>
            </w:pPr>
            <w:r>
              <w:rPr>
                <w:noProof/>
              </w:rPr>
              <w:t>E7L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3" w14:textId="77777777" w:rsidR="00A60DDE" w:rsidRDefault="00095506">
            <w:pPr>
              <w:pStyle w:val="P68B1DB1-Normal82"/>
              <w:spacing w:after="0" w:line="240" w:lineRule="auto"/>
              <w:rPr>
                <w:noProof/>
              </w:rPr>
            </w:pPr>
            <w:r>
              <w:rPr>
                <w:noProof/>
              </w:rPr>
              <w:t>E3.1.1 Mecanismul de sprijinire a unei economii cu emisii scăzute de dioxid de carbon</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4" w14:textId="77777777" w:rsidR="00A60DDE" w:rsidRDefault="00095506">
            <w:pPr>
              <w:pStyle w:val="P68B1DB1-Normal82"/>
              <w:spacing w:after="0" w:line="240" w:lineRule="auto"/>
              <w:jc w:val="center"/>
              <w:rPr>
                <w:noProof/>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5" w14:textId="77777777" w:rsidR="00A60DDE" w:rsidRDefault="00095506">
            <w:pPr>
              <w:pStyle w:val="P68B1DB1-Normal82"/>
              <w:spacing w:after="0" w:line="240" w:lineRule="auto"/>
              <w:rPr>
                <w:noProof/>
              </w:rPr>
            </w:pPr>
            <w:r>
              <w:rPr>
                <w:noProof/>
              </w:rPr>
              <w:t>Acord de punere în aplicare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6" w14:textId="77777777" w:rsidR="00A60DDE" w:rsidRDefault="00095506">
            <w:pPr>
              <w:pStyle w:val="P68B1DB1-Normal82"/>
              <w:spacing w:after="0" w:line="240" w:lineRule="auto"/>
              <w:rPr>
                <w:noProof/>
              </w:rPr>
            </w:pPr>
            <w:r>
              <w:rPr>
                <w:noProof/>
              </w:rPr>
              <w:t>Semnarea acordului de punere în aplicare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7"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8"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9"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A" w14:textId="77777777" w:rsidR="00A60DDE" w:rsidRDefault="00095506">
            <w:pPr>
              <w:pStyle w:val="P68B1DB1-Normal82"/>
              <w:spacing w:after="0" w:line="240" w:lineRule="auto"/>
              <w:jc w:val="center"/>
              <w:rPr>
                <w:noProof/>
              </w:rPr>
            </w:pPr>
            <w:r>
              <w:rPr>
                <w:noProof/>
              </w:rPr>
              <w:t>Q1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B" w14:textId="77777777" w:rsidR="00A60DDE" w:rsidRDefault="00095506">
            <w:pPr>
              <w:pStyle w:val="P68B1DB1-Normal82"/>
              <w:spacing w:after="0" w:line="240" w:lineRule="auto"/>
              <w:jc w:val="center"/>
              <w:rPr>
                <w:noProof/>
              </w:rPr>
            </w:pPr>
            <w:r>
              <w:rPr>
                <w:noProof/>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C" w14:textId="77777777" w:rsidR="00A60DDE" w:rsidRDefault="00095506">
            <w:pPr>
              <w:pStyle w:val="P68B1DB1-Normal82"/>
              <w:spacing w:after="0" w:line="240" w:lineRule="auto"/>
              <w:rPr>
                <w:noProof/>
              </w:rPr>
            </w:pPr>
            <w:r>
              <w:rPr>
                <w:noProof/>
              </w:rPr>
              <w:t>Semnarea acordului de implementare cu Fondul Național pentru Protecția Mediului și Gospodărirea Apelor. Acordul de punere în aplicare include politica de investiții a facilității, care precizează că:</w:t>
            </w:r>
          </w:p>
          <w:p w14:paraId="1216C0DD" w14:textId="77777777" w:rsidR="00A60DDE" w:rsidRDefault="00095506">
            <w:pPr>
              <w:pStyle w:val="P68B1DB1-ListParagraph83"/>
              <w:numPr>
                <w:ilvl w:val="0"/>
                <w:numId w:val="25"/>
              </w:numPr>
              <w:spacing w:after="0" w:line="240" w:lineRule="auto"/>
              <w:rPr>
                <w:noProof/>
              </w:rPr>
            </w:pPr>
            <w:r>
              <w:rPr>
                <w:noProof/>
              </w:rPr>
              <w:t>facilitatea este gestionată de Fondul național pentru protecția mediului și gestionarea apei (NFOŚiGW);</w:t>
            </w:r>
          </w:p>
          <w:p w14:paraId="1216C0DE" w14:textId="77777777" w:rsidR="00A60DDE" w:rsidRDefault="00095506">
            <w:pPr>
              <w:pStyle w:val="P68B1DB1-ListParagraph83"/>
              <w:numPr>
                <w:ilvl w:val="0"/>
                <w:numId w:val="25"/>
              </w:numPr>
              <w:spacing w:after="0" w:line="240" w:lineRule="auto"/>
              <w:rPr>
                <w:noProof/>
              </w:rPr>
            </w:pPr>
            <w:r>
              <w:rPr>
                <w:noProof/>
              </w:rPr>
              <w:t>mecanismul funcționează prin furnizarea de investiții de capital direct sectorului privat, precum și sectorului public implicat în activități similare;</w:t>
            </w:r>
          </w:p>
          <w:p w14:paraId="1216C0DF" w14:textId="77777777" w:rsidR="00A60DDE" w:rsidRDefault="00095506">
            <w:pPr>
              <w:pStyle w:val="P68B1DB1-ListParagraph83"/>
              <w:numPr>
                <w:ilvl w:val="0"/>
                <w:numId w:val="25"/>
              </w:numPr>
              <w:spacing w:after="0" w:line="240" w:lineRule="auto"/>
              <w:rPr>
                <w:noProof/>
              </w:rPr>
            </w:pPr>
            <w:r>
              <w:rPr>
                <w:noProof/>
              </w:rPr>
              <w:t>obiectivul facilității este de a contribui la creșterea capacității de producție a noilor vehicule și infrastructuri cu emisii zero pentru dezvoltarea electromobilității, precum și a instalațiilor și soluțiilor industriale orientate către producția și stocarea de energie cu emisii zero;</w:t>
            </w:r>
          </w:p>
          <w:p w14:paraId="1216C0E0" w14:textId="77777777" w:rsidR="00A60DDE" w:rsidRDefault="00095506">
            <w:pPr>
              <w:pStyle w:val="P68B1DB1-ListParagraph83"/>
              <w:numPr>
                <w:ilvl w:val="0"/>
                <w:numId w:val="25"/>
              </w:numPr>
              <w:spacing w:after="0" w:line="240" w:lineRule="auto"/>
              <w:rPr>
                <w:noProof/>
              </w:rPr>
            </w:pPr>
            <w:r>
              <w:rPr>
                <w:noProof/>
              </w:rPr>
              <w:t>produsele și tehnologiile care beneficiază de sprijin pot include, în special, procese de cercetare și inovare; transferul de tehnologie și cooperarea între întreprinderi axate pe economia cu emisii scăzute de dioxid de carbon, cu accent pe soluțiile inovatoare cu emisii scăzute și cu emisii zero în domeniul mobilității durabile și al surselor de energie cu emisii zero și cu emisii scăzute;</w:t>
            </w:r>
          </w:p>
          <w:p w14:paraId="1216C0E1" w14:textId="77777777" w:rsidR="00A60DDE" w:rsidRDefault="00095506">
            <w:pPr>
              <w:pStyle w:val="P68B1DB1-ListParagraph83"/>
              <w:numPr>
                <w:ilvl w:val="0"/>
                <w:numId w:val="25"/>
              </w:numPr>
              <w:spacing w:after="0" w:line="240" w:lineRule="auto"/>
              <w:rPr>
                <w:noProof/>
              </w:rPr>
            </w:pPr>
            <w:r>
              <w:rPr>
                <w:noProof/>
              </w:rPr>
              <w:t>beneficiarii sprijinului sunt întreprinderi, inclusiv IMM-uri și întreprinderi cu capitalizare medie;</w:t>
            </w:r>
          </w:p>
          <w:p w14:paraId="1216C0E2" w14:textId="3D2153D2" w:rsidR="00A60DDE" w:rsidRDefault="00095506">
            <w:pPr>
              <w:pStyle w:val="P68B1DB1-ListParagraph83"/>
              <w:numPr>
                <w:ilvl w:val="0"/>
                <w:numId w:val="25"/>
              </w:numPr>
              <w:spacing w:after="0" w:line="240" w:lineRule="auto"/>
              <w:rPr>
                <w:noProof/>
              </w:rPr>
            </w:pPr>
            <w:r>
              <w:rPr>
                <w:noProof/>
              </w:rPr>
              <w:t>în conformitate cu principiul nediscriminării, entitățile publice care desfășoară activități similare cu cele ale entităților private care beneficiază de sistemul financiar ar putea fi, de asemenea, acceptate ca beneficiari finali ai sistemului financiar;</w:t>
            </w:r>
          </w:p>
          <w:p w14:paraId="1216C0E3" w14:textId="77777777" w:rsidR="00A60DDE" w:rsidRDefault="00095506">
            <w:pPr>
              <w:pStyle w:val="P68B1DB1-ListParagraph83"/>
              <w:numPr>
                <w:ilvl w:val="0"/>
                <w:numId w:val="25"/>
              </w:numPr>
              <w:spacing w:after="0" w:line="240" w:lineRule="auto"/>
              <w:rPr>
                <w:noProof/>
              </w:rPr>
            </w:pPr>
            <w:r>
              <w:rPr>
                <w:noProof/>
              </w:rPr>
              <w:t>decizia finală de investiții a facilității este luată de un comitet pentru investiții sau de un alt organ de conducere echivalent relevant și este aprobată cu majoritatea voturilor membrilor independenți de guvern.</w:t>
            </w:r>
          </w:p>
        </w:tc>
      </w:tr>
      <w:tr w:rsidR="00A60DDE" w14:paraId="1216C0F0" w14:textId="77777777">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5" w14:textId="77777777" w:rsidR="00A60DDE" w:rsidRDefault="00095506">
            <w:pPr>
              <w:pStyle w:val="P68B1DB1-Normal82"/>
              <w:spacing w:after="0" w:line="240" w:lineRule="auto"/>
              <w:jc w:val="center"/>
              <w:rPr>
                <w:noProof/>
              </w:rPr>
            </w:pPr>
            <w:r>
              <w:rPr>
                <w:noProof/>
              </w:rPr>
              <w:t>E9L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6" w14:textId="77777777" w:rsidR="00A60DDE" w:rsidRDefault="00095506">
            <w:pPr>
              <w:pStyle w:val="P68B1DB1-Normal82"/>
              <w:spacing w:after="0" w:line="240" w:lineRule="auto"/>
              <w:rPr>
                <w:noProof/>
              </w:rPr>
            </w:pPr>
            <w:r>
              <w:rPr>
                <w:noProof/>
              </w:rPr>
              <w:t>E3.1.1 Mecanismul de sprijinire a unei economii cu emisii scăzute de dioxid de carbon</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7" w14:textId="77777777" w:rsidR="00A60DDE" w:rsidRDefault="00095506">
            <w:pPr>
              <w:pStyle w:val="P68B1DB1-Normal82"/>
              <w:spacing w:after="0" w:line="240" w:lineRule="auto"/>
              <w:jc w:val="center"/>
              <w:rPr>
                <w:noProof/>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8" w14:textId="77777777" w:rsidR="00A60DDE" w:rsidRDefault="00095506">
            <w:pPr>
              <w:pStyle w:val="P68B1DB1-Normal82"/>
              <w:spacing w:after="0" w:line="240" w:lineRule="auto"/>
              <w:rPr>
                <w:noProof/>
              </w:rPr>
            </w:pPr>
            <w:r>
              <w:rPr>
                <w:noProof/>
              </w:rPr>
              <w:t>Semnarea acordurilor de finanțare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9" w14:textId="77777777" w:rsidR="00A60DDE" w:rsidRDefault="00095506">
            <w:pPr>
              <w:pStyle w:val="P68B1DB1-Normal82"/>
              <w:spacing w:after="0" w:line="240" w:lineRule="auto"/>
              <w:rPr>
                <w:noProof/>
              </w:rPr>
            </w:pPr>
            <w:r>
              <w:rPr>
                <w:noProof/>
              </w:rPr>
              <w:t>Semnarea acordurilor de finanțare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A"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B"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C"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D" w14:textId="77777777" w:rsidR="00A60DDE" w:rsidRDefault="00095506">
            <w:pPr>
              <w:pStyle w:val="P68B1DB1-Normal82"/>
              <w:spacing w:after="0" w:line="240" w:lineRule="auto"/>
              <w:jc w:val="center"/>
              <w:rPr>
                <w:noProof/>
              </w:rPr>
            </w:pPr>
            <w:r>
              <w:rPr>
                <w:noProof/>
              </w:rPr>
              <w:t>Q1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E" w14:textId="77777777" w:rsidR="00A60DDE" w:rsidRDefault="00095506">
            <w:pPr>
              <w:pStyle w:val="P68B1DB1-Normal82"/>
              <w:spacing w:after="0" w:line="240" w:lineRule="auto"/>
              <w:jc w:val="center"/>
              <w:rPr>
                <w:noProof/>
              </w:rPr>
            </w:pPr>
            <w:r>
              <w:rPr>
                <w:noProof/>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F" w14:textId="2FEEFC17" w:rsidR="00A60DDE" w:rsidRDefault="00095506">
            <w:pPr>
              <w:pStyle w:val="P68B1DB1-Normal82"/>
              <w:spacing w:after="0" w:line="240" w:lineRule="auto"/>
              <w:rPr>
                <w:noProof/>
              </w:rPr>
            </w:pPr>
            <w:r>
              <w:rPr>
                <w:noProof/>
              </w:rPr>
              <w:t xml:space="preserve">Semnarea acordurilor de finanțare cu beneficiarii finali pentru o sumă necesară pentru a utiliza </w:t>
            </w:r>
            <w:bookmarkStart w:id="16" w:name="_Hlk229740548"/>
            <w:r>
              <w:rPr>
                <w:noProof/>
              </w:rPr>
              <w:t>cel puțin 75 % din investițiile MRR în mecanism.</w:t>
            </w:r>
            <w:bookmarkEnd w:id="16"/>
          </w:p>
        </w:tc>
      </w:tr>
      <w:tr w:rsidR="00A60DDE" w14:paraId="1216C0FC" w14:textId="77777777">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1" w14:textId="77777777" w:rsidR="00A60DDE" w:rsidRDefault="00095506">
            <w:pPr>
              <w:pStyle w:val="P68B1DB1-Normal82"/>
              <w:spacing w:after="0" w:line="240" w:lineRule="auto"/>
              <w:jc w:val="center"/>
              <w:rPr>
                <w:noProof/>
              </w:rPr>
            </w:pPr>
            <w:r>
              <w:rPr>
                <w:noProof/>
              </w:rPr>
              <w:t>E10L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2" w14:textId="77777777" w:rsidR="00A60DDE" w:rsidRDefault="00095506">
            <w:pPr>
              <w:pStyle w:val="P68B1DB1-Normal82"/>
              <w:spacing w:after="0" w:line="240" w:lineRule="auto"/>
              <w:rPr>
                <w:noProof/>
              </w:rPr>
            </w:pPr>
            <w:r>
              <w:rPr>
                <w:noProof/>
              </w:rPr>
              <w:t>E3.1.1 Mecanismul de sprijinire a unei economii cu emisii scăzute de dioxid de carbon</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3" w14:textId="77777777" w:rsidR="00A60DDE" w:rsidRDefault="00095506">
            <w:pPr>
              <w:pStyle w:val="P68B1DB1-Normal82"/>
              <w:spacing w:after="0" w:line="240" w:lineRule="auto"/>
              <w:jc w:val="center"/>
              <w:rPr>
                <w:noProof/>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4" w14:textId="0408C8C9" w:rsidR="00A60DDE" w:rsidRDefault="00095506">
            <w:pPr>
              <w:pStyle w:val="P68B1DB1-Normal82"/>
              <w:spacing w:after="0" w:line="240" w:lineRule="auto"/>
              <w:rPr>
                <w:noProof/>
              </w:rPr>
            </w:pPr>
            <w:r>
              <w:rPr>
                <w:noProof/>
              </w:rPr>
              <w:t>Finalizarea investițiilor de capital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5" w14:textId="10A1BD50" w:rsidR="00A60DDE" w:rsidRDefault="00095506">
            <w:pPr>
              <w:pStyle w:val="P68B1DB1-Normal82"/>
              <w:spacing w:after="0" w:line="240" w:lineRule="auto"/>
              <w:rPr>
                <w:noProof/>
              </w:rPr>
            </w:pPr>
            <w:r>
              <w:rPr>
                <w:noProof/>
              </w:rPr>
              <w:t>Certificatele de transfer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6"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7"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8"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9" w14:textId="77777777" w:rsidR="00A60DDE" w:rsidRDefault="00095506">
            <w:pPr>
              <w:pStyle w:val="P68B1DB1-Normal82"/>
              <w:spacing w:after="0" w:line="240" w:lineRule="auto"/>
              <w:jc w:val="center"/>
              <w:rPr>
                <w:noProof/>
              </w:rPr>
            </w:pPr>
            <w:r>
              <w:rPr>
                <w:noProof/>
              </w:rPr>
              <w:t>T2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A" w14:textId="77777777" w:rsidR="00A60DDE" w:rsidRDefault="00095506">
            <w:pPr>
              <w:pStyle w:val="P68B1DB1-Normal82"/>
              <w:spacing w:after="0" w:line="240" w:lineRule="auto"/>
              <w:jc w:val="center"/>
              <w:rPr>
                <w:noProof/>
              </w:rPr>
            </w:pPr>
            <w:r>
              <w:rPr>
                <w:noProof/>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9A017F" w14:textId="42996F2A" w:rsidR="00A60DDE" w:rsidRDefault="00095506">
            <w:pPr>
              <w:pStyle w:val="P68B1DB1-Normal22"/>
              <w:spacing w:after="0" w:line="240" w:lineRule="auto"/>
              <w:rPr>
                <w:noProof/>
              </w:rPr>
            </w:pPr>
            <w:r>
              <w:rPr>
                <w:noProof/>
              </w:rPr>
              <w:t>Semnarea acordurilor de finanțare cu beneficiarii finali pentru o sumă necesară pentru utilizarea a cel puțin 100 % din investițiile MRR în mecanism, ceea ce corespunde unei sume de cel puțin 1 042 197 050 EUR.</w:t>
            </w:r>
          </w:p>
          <w:p w14:paraId="46E051FF" w14:textId="7A6C1652" w:rsidR="00A60DDE" w:rsidRDefault="00A60DDE">
            <w:pPr>
              <w:spacing w:after="0" w:line="240" w:lineRule="auto"/>
              <w:rPr>
                <w:rFonts w:ascii="Times New Roman" w:hAnsi="Times New Roman" w:cs="Times New Roman"/>
                <w:noProof/>
                <w:sz w:val="18"/>
                <w:szCs w:val="18"/>
              </w:rPr>
            </w:pPr>
          </w:p>
          <w:p w14:paraId="5EAFC974" w14:textId="0AE5759F" w:rsidR="00A60DDE" w:rsidRDefault="00095506">
            <w:pPr>
              <w:pStyle w:val="P68B1DB1-Normal22"/>
              <w:spacing w:after="0" w:line="240" w:lineRule="auto"/>
              <w:rPr>
                <w:noProof/>
              </w:rPr>
            </w:pPr>
            <w:r>
              <w:rPr>
                <w:noProof/>
              </w:rPr>
              <w:t>Transferul sumei de 1 042 197 050 EUR</w:t>
            </w:r>
          </w:p>
          <w:p w14:paraId="1216C0FB" w14:textId="1FDDFC53" w:rsidR="00A60DDE" w:rsidRDefault="00095506">
            <w:pPr>
              <w:pStyle w:val="P68B1DB1-Normal22"/>
              <w:spacing w:after="0" w:line="240" w:lineRule="auto"/>
              <w:rPr>
                <w:rFonts w:eastAsia="Times New Roman"/>
                <w:noProof/>
              </w:rPr>
            </w:pPr>
            <w:r>
              <w:rPr>
                <w:noProof/>
              </w:rPr>
              <w:t>beneficiarilor finali și o taxă de gestiune către Fondul Național pentru Protecția Mediului și Gospodărirea Apelor.</w:t>
            </w:r>
          </w:p>
        </w:tc>
      </w:tr>
    </w:tbl>
    <w:p w14:paraId="1216C0FD" w14:textId="77777777" w:rsidR="00A60DDE" w:rsidRDefault="00A60DDE">
      <w:pPr>
        <w:rPr>
          <w:rFonts w:ascii="Times New Roman" w:hAnsi="Times New Roman" w:cs="Times New Roman"/>
          <w:noProof/>
        </w:rPr>
        <w:sectPr w:rsidR="00A60DDE" w:rsidSect="006C5441">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299"/>
        </w:sectPr>
      </w:pPr>
    </w:p>
    <w:p w14:paraId="1216C0FE" w14:textId="77777777" w:rsidR="00A60DDE" w:rsidRDefault="00095506">
      <w:pPr>
        <w:pStyle w:val="P68B1DB1-Normal84"/>
        <w:keepNext/>
        <w:spacing w:before="360" w:after="120" w:line="240" w:lineRule="auto"/>
        <w:rPr>
          <w:rFonts w:eastAsia="Times New Roman" w:cs="Times New Roman"/>
          <w:noProof/>
        </w:rPr>
      </w:pPr>
      <w:r>
        <w:rPr>
          <w:noProof/>
        </w:rPr>
        <w:t>F. COMPONENTA F: „Îmbunătățirea calității instituțiilor și a condițiilor de punere în aplicare a planului de redresare și reziliență”</w:t>
      </w:r>
    </w:p>
    <w:p w14:paraId="1216C0FF" w14:textId="77777777" w:rsidR="00A60DDE" w:rsidRDefault="00095506">
      <w:pPr>
        <w:pStyle w:val="P68B1DB1-Normal85"/>
        <w:spacing w:before="120" w:after="120" w:line="240" w:lineRule="auto"/>
        <w:jc w:val="both"/>
        <w:rPr>
          <w:rFonts w:eastAsia="Times New Roman" w:cs="Times New Roman"/>
          <w:noProof/>
          <w:color w:val="000000"/>
        </w:rPr>
      </w:pPr>
      <w:r>
        <w:rPr>
          <w:noProof/>
        </w:rPr>
        <w:t xml:space="preserve">Polonia se confruntă cu o serie de provocări de lungă durată legate de climatul de investiții, în special în ceea ce privește sistemul judiciar polonez, precum și procesele decizionale și legislative. </w:t>
      </w:r>
    </w:p>
    <w:p w14:paraId="1216C100" w14:textId="77777777" w:rsidR="00A60DDE" w:rsidRDefault="00095506">
      <w:pPr>
        <w:pStyle w:val="P68B1DB1-Normal71"/>
        <w:spacing w:before="120" w:after="120" w:line="240" w:lineRule="auto"/>
        <w:jc w:val="both"/>
        <w:rPr>
          <w:rFonts w:eastAsia="Times New Roman" w:cs="Times New Roman"/>
          <w:noProof/>
          <w:color w:val="498205"/>
          <w:u w:val="single"/>
        </w:rPr>
      </w:pPr>
      <w:r>
        <w:rPr>
          <w:noProof/>
        </w:rPr>
        <w:t>Prin urmare, această componentă urmărește în primul rând să îmbunătățească climatul de investiții și să instituie condițiile pentru o punere în aplicare eficace a Planului de redresare și reziliență al Poloniei. În acest scop, reformele vizează: consolidarea anumitor aspecte ale independenței și imparțialității instanțelor; să remedieze situația judecătorilor afectați de deciziile Camerei disciplinare a Curții Supreme în cauzele disciplinare și în cauzele privind imunitatea judiciară, în vederea repunerii lor în funcție în urma unei proceduri de revizuire pozitivă de către noua cameră, care să se desfășoare fără întârziere; să consolideze consultarea partenerilor sociali în procesul legislativ; creșterea gradului de utilizare a evaluărilor impactului în procesul legislativ; reducerea utilizării procedurilor accelerate în procesul legislativ; asigură consultarea adecvată a partenerilor sociali și a părților interesate în punerea în aplicare a planului de redresare și reziliență, inclusiv prin crearea unui comitet de monitorizare, și asigură aplicarea instrumentului de evaluare a riscurilor Arachne în punerea în aplicare a planului de redresare și reziliență.</w:t>
      </w:r>
    </w:p>
    <w:p w14:paraId="1216C101" w14:textId="77777777" w:rsidR="00A60DDE" w:rsidRDefault="00095506">
      <w:pPr>
        <w:pStyle w:val="P68B1DB1-Normal71"/>
        <w:spacing w:before="120" w:after="120" w:line="240" w:lineRule="auto"/>
        <w:jc w:val="both"/>
        <w:rPr>
          <w:rFonts w:eastAsia="Times New Roman" w:cs="Times New Roman"/>
          <w:noProof/>
        </w:rPr>
      </w:pPr>
      <w:r>
        <w:rPr>
          <w:noProof/>
        </w:rPr>
        <w:t>Componenta contribuie la abordarea recomandării specifice fiecărei țări de „[î]mbunătățire a mediului de reglementare, în special prin consolidarea rolului consultărilor cu partenerii sociali și al consultărilor publice în procesul legislativ” (Recomandarea specifică fiecărei țări nr. 3 din 2019) și de „[î]mbunătățire a climatului de investiții, în special prin protejarea independenței sistemului judiciar”, precum și de „[a]sigurare a unor consultări publice eficace și a implicării partenerilor sociali în procesul de elaborare a politicilor” (Recomandarea specifică fiecărei țări nr. 4 din 2020).</w:t>
      </w:r>
    </w:p>
    <w:p w14:paraId="1216C102" w14:textId="77777777" w:rsidR="00A60DDE" w:rsidRDefault="00A60DDE">
      <w:pPr>
        <w:spacing w:line="240" w:lineRule="auto"/>
        <w:jc w:val="both"/>
        <w:rPr>
          <w:rFonts w:ascii="Times New Roman" w:eastAsia="Times New Roman" w:hAnsi="Times New Roman" w:cs="Times New Roman"/>
          <w:b/>
          <w:noProof/>
          <w:color w:val="000000"/>
          <w:u w:val="single"/>
        </w:rPr>
      </w:pPr>
    </w:p>
    <w:p w14:paraId="1216C103" w14:textId="77777777" w:rsidR="00A60DDE" w:rsidRDefault="00095506">
      <w:pPr>
        <w:pStyle w:val="P68B1DB1-Normal72"/>
        <w:spacing w:line="240" w:lineRule="auto"/>
        <w:jc w:val="both"/>
        <w:rPr>
          <w:rFonts w:eastAsia="Times New Roman" w:cs="Times New Roman"/>
          <w:noProof/>
          <w:color w:val="000000"/>
        </w:rPr>
      </w:pPr>
      <w:r>
        <w:rPr>
          <w:noProof/>
        </w:rPr>
        <w:t>F1 Sistemul judiciar</w:t>
      </w:r>
    </w:p>
    <w:p w14:paraId="1216C104" w14:textId="77777777" w:rsidR="00A60DDE" w:rsidRDefault="00095506">
      <w:pPr>
        <w:pStyle w:val="P68B1DB1-Normal85"/>
        <w:spacing w:line="240" w:lineRule="auto"/>
        <w:jc w:val="both"/>
        <w:rPr>
          <w:noProof/>
        </w:rPr>
      </w:pPr>
      <w:r>
        <w:rPr>
          <w:noProof/>
        </w:rPr>
        <w:t>Principalul obiectiv al reformelor este de a ridica standardul de protecție judiciară și de a îmbunătăți climatul de investiții din Polonia, precum și de a sprijini sistemul de control intern menționat la articolul 22 din Regulamentul (UE) 2021/241 al Parlamentului European și al Consiliului, prin consolidarea garanțiilor de independență și imparțialitate ale instanțelor.</w:t>
      </w:r>
    </w:p>
    <w:p w14:paraId="1216C105" w14:textId="77777777" w:rsidR="00A60DDE" w:rsidRDefault="00095506">
      <w:pPr>
        <w:pStyle w:val="P68B1DB1-Normal85"/>
        <w:spacing w:line="240" w:lineRule="auto"/>
        <w:jc w:val="both"/>
        <w:rPr>
          <w:noProof/>
        </w:rPr>
      </w:pPr>
      <w:r>
        <w:rPr>
          <w:noProof/>
        </w:rPr>
        <w:t>Reforma are ca rezultat consolidarea independenței și imparțialității instanțelor și judecătorilor instituite prin lege în conformitate cu articolul 19 din TUE și cu acquis-ul relevant al UE. În conformitate cu articolul 24 alineatul (3) din Regulamentul (UE) 2021/241, orice altă reformă se efectuează fără a slăbi acest rezultat și fără a avea un impact negativ asupra elementelor de mai jos.</w:t>
      </w:r>
    </w:p>
    <w:p w14:paraId="1216C106" w14:textId="77777777" w:rsidR="00A60DDE" w:rsidRDefault="00A60DDE">
      <w:pPr>
        <w:spacing w:line="240" w:lineRule="auto"/>
        <w:jc w:val="both"/>
        <w:rPr>
          <w:rFonts w:ascii="Times New Roman" w:hAnsi="Times New Roman"/>
          <w:noProof/>
        </w:rPr>
      </w:pPr>
    </w:p>
    <w:p w14:paraId="1216C107" w14:textId="77777777" w:rsidR="00A60DDE" w:rsidRDefault="00095506">
      <w:pPr>
        <w:pStyle w:val="P68B1DB1-Normal86"/>
        <w:spacing w:line="240" w:lineRule="auto"/>
        <w:jc w:val="both"/>
        <w:rPr>
          <w:rFonts w:eastAsia="Times New Roman" w:cs="Times New Roman"/>
          <w:noProof/>
          <w:color w:val="000000"/>
        </w:rPr>
      </w:pPr>
      <w:r>
        <w:rPr>
          <w:noProof/>
        </w:rPr>
        <w:t>F1.1 Reforma de consolidare a independenței și imparțialității instanțelor</w:t>
      </w:r>
    </w:p>
    <w:p w14:paraId="1216C108" w14:textId="77777777" w:rsidR="00A60DDE" w:rsidRDefault="00095506">
      <w:pPr>
        <w:pStyle w:val="P68B1DB1-Normal85"/>
        <w:spacing w:line="240" w:lineRule="auto"/>
        <w:jc w:val="both"/>
        <w:rPr>
          <w:noProof/>
        </w:rPr>
      </w:pPr>
      <w:r>
        <w:rPr>
          <w:noProof/>
        </w:rPr>
        <w:t>Reforma:</w:t>
      </w:r>
    </w:p>
    <w:p w14:paraId="1216C109" w14:textId="77777777" w:rsidR="00A60DDE" w:rsidRDefault="00095506">
      <w:pPr>
        <w:pStyle w:val="P68B1DB1-Normal85"/>
        <w:numPr>
          <w:ilvl w:val="0"/>
          <w:numId w:val="26"/>
        </w:numPr>
        <w:spacing w:line="240" w:lineRule="auto"/>
        <w:jc w:val="both"/>
        <w:rPr>
          <w:noProof/>
        </w:rPr>
      </w:pPr>
      <w:r>
        <w:rPr>
          <w:noProof/>
        </w:rPr>
        <w:t>în toate cauzele referitoare la judecători, inclusiv în cauzele disciplinare și de ridicare a imunității judiciare, stabilește întinderea competenței Camerei Curții Supreme, alta decât Camera Disciplinară existentă, îndeplinind cerințele care decurg din articolul 19 alineatul (1) din TUE. Acest lucru asigură examinarea cauzelor menționate mai sus de către o instanță independentă și imparțială instituită prin lege, în timp ce competența discreționară de a desemna instanța disciplinară competentă în primă instanță în cauzele privind judecătorii instanțelor de drept comun este limitată,</w:t>
      </w:r>
    </w:p>
    <w:p w14:paraId="1216C10A" w14:textId="77777777" w:rsidR="00A60DDE" w:rsidRDefault="00095506">
      <w:pPr>
        <w:pStyle w:val="P68B1DB1-Normal85"/>
        <w:numPr>
          <w:ilvl w:val="0"/>
          <w:numId w:val="26"/>
        </w:numPr>
        <w:spacing w:line="240" w:lineRule="auto"/>
        <w:jc w:val="both"/>
        <w:rPr>
          <w:noProof/>
        </w:rPr>
      </w:pPr>
      <w:r>
        <w:rPr>
          <w:noProof/>
        </w:rPr>
        <w:t>să clarifice domeniul de aplicare al răspunderii disciplinare a judecătorilor, asigurându-se că dreptul instanțelor poloneze de a adresa CJUE cereri de decizie preliminară nu este restricționat. O astfel de cerere nu constituie un motiv pentru inițierea unei proceduri disciplinare împotriva unui judecător;</w:t>
      </w:r>
    </w:p>
    <w:p w14:paraId="1216C10B" w14:textId="77777777" w:rsidR="00A60DDE" w:rsidRDefault="00095506">
      <w:pPr>
        <w:pStyle w:val="P68B1DB1-Normal85"/>
        <w:numPr>
          <w:ilvl w:val="0"/>
          <w:numId w:val="26"/>
        </w:numPr>
        <w:spacing w:line="240" w:lineRule="auto"/>
        <w:jc w:val="both"/>
        <w:rPr>
          <w:noProof/>
        </w:rPr>
      </w:pPr>
      <w:r>
        <w:rPr>
          <w:noProof/>
        </w:rPr>
        <w:t>în timp ce judecătorii pot fi în continuare trași la răspundere pentru abateri profesionale, inclusiv încălcări evidente și grave ale legii, stabilesc că conținutul hotărârilor judecătorești nu este clasificat drept abatere disciplinară;</w:t>
      </w:r>
    </w:p>
    <w:p w14:paraId="1216C10C" w14:textId="77777777" w:rsidR="00A60DDE" w:rsidRDefault="00095506">
      <w:pPr>
        <w:pStyle w:val="P68B1DB1-Normal85"/>
        <w:numPr>
          <w:ilvl w:val="0"/>
          <w:numId w:val="26"/>
        </w:numPr>
        <w:spacing w:line="240" w:lineRule="auto"/>
        <w:jc w:val="both"/>
        <w:rPr>
          <w:rFonts w:eastAsia="Times New Roman"/>
          <w:noProof/>
        </w:rPr>
      </w:pPr>
      <w:r>
        <w:rPr>
          <w:noProof/>
        </w:rPr>
        <w:t>să se asigure că inițierea verificării, în cadrul procedurilor judiciare, a faptului dacă un judecător îndeplinește cerințele de independență, imparțialitate și „stabilire prin lege”, în conformitate cu articolul 19 din TUE, este posibilă pentru o instanță competentă în cazul în care apare o îndoială serioasă cu privire la acest aspect și că o astfel de verificare nu este calificată drept abatere disciplinară;</w:t>
      </w:r>
    </w:p>
    <w:p w14:paraId="1216C10D" w14:textId="77777777" w:rsidR="00A60DDE" w:rsidRDefault="00095506">
      <w:pPr>
        <w:pStyle w:val="P68B1DB1-Normal85"/>
        <w:numPr>
          <w:ilvl w:val="0"/>
          <w:numId w:val="26"/>
        </w:numPr>
        <w:spacing w:line="240" w:lineRule="auto"/>
        <w:jc w:val="both"/>
        <w:rPr>
          <w:noProof/>
        </w:rPr>
      </w:pPr>
      <w:r>
        <w:rPr>
          <w:noProof/>
        </w:rPr>
        <w:t>consolidarea garanțiilor procedurale și a competențelor părților în procedurile disciplinare privind judecătorii, prin</w:t>
      </w:r>
    </w:p>
    <w:p w14:paraId="1216C10E" w14:textId="77777777" w:rsidR="00A60DDE" w:rsidRDefault="00095506">
      <w:pPr>
        <w:pStyle w:val="P68B1DB1-Normal85"/>
        <w:spacing w:line="240" w:lineRule="auto"/>
        <w:ind w:left="720"/>
        <w:jc w:val="both"/>
        <w:rPr>
          <w:noProof/>
        </w:rPr>
      </w:pPr>
      <w:r>
        <w:rPr>
          <w:noProof/>
        </w:rPr>
        <w:t>(i) asigurarea examinării într-un termen rezonabil a cauzelor disciplinare împotriva judecătorilor de la instanțele de drept comun;</w:t>
      </w:r>
    </w:p>
    <w:p w14:paraId="1216C10F" w14:textId="77777777" w:rsidR="00A60DDE" w:rsidRDefault="00095506">
      <w:pPr>
        <w:pStyle w:val="P68B1DB1-Normal85"/>
        <w:spacing w:line="240" w:lineRule="auto"/>
        <w:ind w:left="720"/>
        <w:jc w:val="both"/>
        <w:rPr>
          <w:noProof/>
        </w:rPr>
      </w:pPr>
      <w:r>
        <w:rPr>
          <w:noProof/>
        </w:rPr>
        <w:t>(ii) elaborarea unor reglementări mai precise privind competența teritorială a instanțelor care examinează cauzele disciplinare pentru a se asigura că instanța relevantă poate fi determinată direct în conformitate cu actul legislativ; și</w:t>
      </w:r>
    </w:p>
    <w:p w14:paraId="1216C110" w14:textId="77777777" w:rsidR="00A60DDE" w:rsidRDefault="00095506">
      <w:pPr>
        <w:pStyle w:val="P68B1DB1-Normal85"/>
        <w:spacing w:line="240" w:lineRule="auto"/>
        <w:ind w:left="720"/>
        <w:jc w:val="both"/>
        <w:rPr>
          <w:noProof/>
        </w:rPr>
      </w:pPr>
      <w:r>
        <w:rPr>
          <w:noProof/>
        </w:rPr>
        <w:t>(iii) asigurarea faptului că numirea unui avocat al apărării în cadrul procedurilor disciplinare privind un judecător se face într-un interval de timp rezonabil, precum și acordarea de timp pentru pregătirea pe fond a avocatului apărării pentru a-și îndeplini funcțiile în cadrul procedurilor respective. În același timp, instanța suspendă derularea procedurii în cazul unei absențe justificate în mod corespunzător a judecătorului acuzat sau a apărătorului acestuia.</w:t>
      </w:r>
    </w:p>
    <w:p w14:paraId="1216C111" w14:textId="77777777" w:rsidR="00A60DDE" w:rsidRDefault="00095506">
      <w:pPr>
        <w:pStyle w:val="P68B1DB1-Normal85"/>
        <w:spacing w:line="240" w:lineRule="auto"/>
        <w:jc w:val="both"/>
        <w:rPr>
          <w:noProof/>
        </w:rPr>
      </w:pPr>
      <w:r>
        <w:rPr>
          <w:noProof/>
        </w:rPr>
        <w:t xml:space="preserve">Reforma intră în vigoare până la sfârșitul celui de al doilea trimestru al anului 2022. </w:t>
      </w:r>
    </w:p>
    <w:p w14:paraId="1216C112" w14:textId="77777777" w:rsidR="00A60DDE" w:rsidRDefault="00A60DDE">
      <w:pPr>
        <w:spacing w:line="240" w:lineRule="auto"/>
        <w:jc w:val="both"/>
        <w:rPr>
          <w:rFonts w:ascii="Times New Roman" w:hAnsi="Times New Roman"/>
          <w:noProof/>
        </w:rPr>
      </w:pPr>
    </w:p>
    <w:p w14:paraId="1216C113" w14:textId="77777777" w:rsidR="00A60DDE" w:rsidRDefault="00095506">
      <w:pPr>
        <w:pStyle w:val="P68B1DB1-Normal86"/>
        <w:spacing w:line="240" w:lineRule="auto"/>
        <w:jc w:val="both"/>
        <w:rPr>
          <w:noProof/>
        </w:rPr>
      </w:pPr>
      <w:r>
        <w:rPr>
          <w:noProof/>
        </w:rPr>
        <w:t>F1.2 Reforma menită să remedieze situația judecătorilor afectați de deciziile Camerei disciplinare a Curții Supreme în cauzele disciplinare și în cauzele privind imunitatea judiciară</w:t>
      </w:r>
    </w:p>
    <w:p w14:paraId="1216C114" w14:textId="77777777" w:rsidR="00A60DDE" w:rsidRDefault="00095506">
      <w:pPr>
        <w:pStyle w:val="P68B1DB1-Normal85"/>
        <w:spacing w:line="240" w:lineRule="auto"/>
        <w:jc w:val="both"/>
        <w:rPr>
          <w:noProof/>
        </w:rPr>
      </w:pPr>
      <w:r>
        <w:rPr>
          <w:noProof/>
        </w:rPr>
        <w:t>Reforma asigură faptul că judecătorii afectați de deciziile Camerei Disciplinare a Curții Supreme au acces la procedurile de revizuire a cauzelor lor. Astfel de cauze deja soluționate de Camera disciplinară sunt examinate de o instanță care îndeplinește cerințele articolului 19 alineatul (1) din TUE, în conformitate cu normele care urmează să fie adoptate pe baza reformei de mai sus. Actul legislativ prevede că prima audiere a instanței care soluționează cauzele respective are loc în termen de trei luni de la primirea moțiunii judecătorului prin care se solicită reexaminarea și că respectivele cauze se soluționează în termen de douăsprezece luni de la primirea unei astfel de moțiuni. Cauzele care sunt încă pendinte în fața Camerei disciplinare sunt trimise spre examinare în instanță și în conformitate cu normele stabilite în cadrul procedurii menționate mai sus.</w:t>
      </w:r>
    </w:p>
    <w:p w14:paraId="1216C115" w14:textId="77777777" w:rsidR="00A60DDE" w:rsidRDefault="00095506">
      <w:pPr>
        <w:pStyle w:val="P68B1DB1-Normal85"/>
        <w:spacing w:line="240" w:lineRule="auto"/>
        <w:jc w:val="both"/>
        <w:rPr>
          <w:noProof/>
        </w:rPr>
      </w:pPr>
      <w:r>
        <w:rPr>
          <w:noProof/>
        </w:rPr>
        <w:t>Reforma intră în vigoare până la sfârșitul celui de al doilea trimestru al anului 2022.</w:t>
      </w:r>
    </w:p>
    <w:p w14:paraId="1216C116" w14:textId="77777777" w:rsidR="00A60DDE" w:rsidRDefault="00095506">
      <w:pPr>
        <w:spacing w:line="240" w:lineRule="auto"/>
        <w:jc w:val="both"/>
        <w:rPr>
          <w:rFonts w:ascii="Times New Roman" w:hAnsi="Times New Roman"/>
          <w:bCs/>
          <w:noProof/>
        </w:rPr>
      </w:pPr>
      <w:r>
        <w:rPr>
          <w:rFonts w:ascii="Times New Roman" w:hAnsi="Times New Roman"/>
          <w:noProof/>
        </w:rPr>
        <w:t>Ambele reforme enumerate mai sus, cu o dată de finalizare în T2 2022, trebuie realizate înainte de transmiterea către Comisie a primei cereri de plată</w:t>
      </w:r>
      <w:r>
        <w:rPr>
          <w:noProof/>
        </w:rPr>
        <w:t xml:space="preserve"> </w:t>
      </w:r>
      <w:r>
        <w:rPr>
          <w:rFonts w:ascii="Times New Roman" w:hAnsi="Times New Roman"/>
          <w:noProof/>
        </w:rPr>
        <w:t>și reprezintă o condiție prealabilă pentru orice plată în temeiul articolului 24 din Regulamentul privind MRR.</w:t>
      </w:r>
    </w:p>
    <w:p w14:paraId="1216C117" w14:textId="77777777" w:rsidR="00A60DDE" w:rsidRDefault="00A60DDE">
      <w:pPr>
        <w:spacing w:line="240" w:lineRule="auto"/>
        <w:jc w:val="both"/>
        <w:rPr>
          <w:rFonts w:ascii="Times New Roman" w:hAnsi="Times New Roman"/>
          <w:bCs/>
          <w:noProof/>
        </w:rPr>
      </w:pPr>
    </w:p>
    <w:p w14:paraId="1216C118" w14:textId="77777777" w:rsidR="00A60DDE" w:rsidRDefault="00095506">
      <w:pPr>
        <w:pStyle w:val="P68B1DB1-Normal86"/>
        <w:spacing w:before="120" w:after="120" w:line="240" w:lineRule="auto"/>
        <w:jc w:val="both"/>
        <w:rPr>
          <w:rFonts w:eastAsia="Times New Roman" w:cs="Times New Roman"/>
          <w:bCs/>
          <w:noProof/>
        </w:rPr>
      </w:pPr>
      <w:r>
        <w:rPr>
          <w:noProof/>
        </w:rPr>
        <w:t>F2.1 Îmbunătățirea procesului legislativ</w:t>
      </w:r>
    </w:p>
    <w:p w14:paraId="1216C119" w14:textId="77777777" w:rsidR="00A60DDE" w:rsidRDefault="00095506">
      <w:pPr>
        <w:pStyle w:val="P68B1DB1-Normal87"/>
        <w:spacing w:before="120" w:after="120" w:line="240" w:lineRule="auto"/>
        <w:jc w:val="both"/>
        <w:rPr>
          <w:noProof/>
        </w:rPr>
      </w:pPr>
      <w:r>
        <w:rPr>
          <w:noProof/>
        </w:rPr>
        <w:t>Obiectivul reformei este adoptarea unei modificări a Regulamentului de procedură al Seimului, al Senatului și al Consiliului de Miniștri.</w:t>
      </w:r>
    </w:p>
    <w:p w14:paraId="1216C11A" w14:textId="77777777" w:rsidR="00A60DDE" w:rsidRDefault="00A60DDE">
      <w:pPr>
        <w:spacing w:before="120" w:after="120" w:line="240" w:lineRule="auto"/>
        <w:jc w:val="both"/>
        <w:rPr>
          <w:rFonts w:ascii="Times New Roman" w:hAnsi="Times New Roman"/>
          <w:b/>
          <w:noProof/>
          <w:color w:val="000000"/>
          <w:u w:val="single"/>
        </w:rPr>
      </w:pPr>
    </w:p>
    <w:p w14:paraId="1216C11B" w14:textId="77777777" w:rsidR="00A60DDE" w:rsidRDefault="00095506">
      <w:pPr>
        <w:pStyle w:val="P68B1DB1-Normal71"/>
        <w:spacing w:before="120" w:after="120" w:line="240" w:lineRule="auto"/>
        <w:jc w:val="both"/>
        <w:rPr>
          <w:rFonts w:eastAsia="Times New Roman" w:cs="Times New Roman"/>
          <w:b/>
          <w:bCs/>
          <w:noProof/>
        </w:rPr>
      </w:pPr>
      <w:r>
        <w:rPr>
          <w:b/>
          <w:noProof/>
          <w:u w:val="single"/>
        </w:rPr>
        <w:t>F3.1 Îmbunătățirea condițiilor de punere în aplicare a planului de redresare și reziliență</w:t>
      </w:r>
      <w:r>
        <w:rPr>
          <w:noProof/>
        </w:rPr>
        <w:t xml:space="preserve"> </w:t>
      </w:r>
    </w:p>
    <w:p w14:paraId="210EAD81" w14:textId="77777777" w:rsidR="00A60DDE" w:rsidRDefault="00095506">
      <w:pPr>
        <w:pStyle w:val="P68B1DB1-Normal85"/>
        <w:spacing w:line="240" w:lineRule="auto"/>
        <w:jc w:val="both"/>
        <w:rPr>
          <w:noProof/>
        </w:rPr>
      </w:pPr>
      <w:r>
        <w:rPr>
          <w:noProof/>
        </w:rPr>
        <w:t xml:space="preserve">Pentru a asigura consultarea adecvată a partenerilor sociali și a părților interesate în punerea în aplicare a planului de redresare și reziliență, reforma include intrarea în vigoare a unui act legislativ de creare a unui comitet de monitorizare format din părțile interesate și partenerii sociali implicați în punerea în aplicare a planului de redresare și reziliență. </w:t>
      </w:r>
    </w:p>
    <w:p w14:paraId="1216C11C" w14:textId="4B22F8B7" w:rsidR="00A60DDE" w:rsidRDefault="00095506">
      <w:pPr>
        <w:pStyle w:val="P68B1DB1-Normal85"/>
        <w:spacing w:line="240" w:lineRule="auto"/>
        <w:jc w:val="both"/>
        <w:rPr>
          <w:noProof/>
        </w:rPr>
      </w:pPr>
      <w:r>
        <w:rPr>
          <w:noProof/>
        </w:rPr>
        <w:t>Comitetul de monitorizare are sarcina de a supraveghea punerea în aplicare eficace a planului de redresare și reziliență. Actul legislativ include o dispoziție care prevede obligația legală de a consulta comitetul de monitorizare în cursul punerii în aplicare a planului de redresare și reziliență. Reforma include, de asemenea, adoptarea orientărilor care stabilesc normele de implicare a părților interesate și a partenerilor sociali în programarea, punerea în aplicare, monitorizarea și evaluarea planului de redresare și reziliență.</w:t>
      </w:r>
    </w:p>
    <w:p w14:paraId="1216C11D" w14:textId="77777777" w:rsidR="00A60DDE" w:rsidRDefault="00095506">
      <w:pPr>
        <w:pStyle w:val="P68B1DB1-Normal85"/>
        <w:spacing w:line="240" w:lineRule="auto"/>
        <w:jc w:val="both"/>
        <w:rPr>
          <w:noProof/>
        </w:rPr>
      </w:pPr>
      <w:r>
        <w:rPr>
          <w:noProof/>
        </w:rPr>
        <w:t>Reforma include, de asemenea, instituirea unui sistem de repertorii în conformitate cu articolul 22 alineatul (2) litera (d) din Regulamentul (UE) 2021/241 pentru a permite colectarea, stocarea și monitorizarea datelor privind jaloanele și țintele, inclusiv la nivelul destinatarilor finali. Datele provenite din acest sistem de repertorii sunt introduse în sistemul Arachne, care este utilizat în cursul auditurilor și al controalelor pentru a preveni, a detecta și a corecta conflictele de interese, frauda, corupția și dubla finanțare. Acest jalon trebuie îndeplinit înainte de transmiterea către Comisie a primei cereri de plată și reprezintă o condiție prealabilă pentru orice plată în temeiul articolului 24 din Regulamentul privind MRR.</w:t>
      </w:r>
    </w:p>
    <w:p w14:paraId="1216C11E" w14:textId="77777777" w:rsidR="00A60DDE" w:rsidRDefault="00095506">
      <w:pPr>
        <w:pStyle w:val="P68B1DB1-Normal85"/>
        <w:spacing w:line="240" w:lineRule="auto"/>
        <w:jc w:val="both"/>
        <w:rPr>
          <w:noProof/>
        </w:rPr>
      </w:pPr>
      <w:r>
        <w:rPr>
          <w:noProof/>
        </w:rPr>
        <w:t xml:space="preserve">În cele din urmă, reforma include, de asemenea, pregătirea unei analize a volumului de muncă pentru evaluarea capacității administrative de coordonare și punere în aplicare a planului de redresare și reziliență. </w:t>
      </w:r>
    </w:p>
    <w:p w14:paraId="1216C11F" w14:textId="77777777" w:rsidR="00A60DDE" w:rsidRDefault="00095506">
      <w:pPr>
        <w:pStyle w:val="P68B1DB1-Normal71"/>
        <w:spacing w:after="0" w:line="240" w:lineRule="auto"/>
        <w:rPr>
          <w:rFonts w:eastAsia="Times New Roman" w:cs="Times New Roman"/>
          <w:noProof/>
        </w:rPr>
        <w:sectPr w:rsidR="00A60DDE" w:rsidSect="006C5441">
          <w:headerReference w:type="even" r:id="rId144"/>
          <w:headerReference w:type="default" r:id="rId145"/>
          <w:footerReference w:type="even" r:id="rId146"/>
          <w:footerReference w:type="default" r:id="rId147"/>
          <w:headerReference w:type="first" r:id="rId148"/>
          <w:footerReference w:type="first" r:id="rId149"/>
          <w:pgSz w:w="11906" w:h="16838"/>
          <w:pgMar w:top="1134" w:right="1134" w:bottom="1134" w:left="1134" w:header="567" w:footer="567" w:gutter="0"/>
          <w:cols w:space="708"/>
          <w:docGrid w:linePitch="360"/>
        </w:sectPr>
      </w:pPr>
      <w:r>
        <w:rPr>
          <w:noProof/>
        </w:rPr>
        <w:t xml:space="preserve">Punerea în aplicare a reformei se finalizează până la 30 iunie 2024. </w:t>
      </w:r>
    </w:p>
    <w:p w14:paraId="1216C120" w14:textId="77777777" w:rsidR="00A60DDE" w:rsidRDefault="00095506">
      <w:pPr>
        <w:spacing w:after="0" w:line="240" w:lineRule="auto"/>
        <w:rPr>
          <w:rFonts w:ascii="Times New Roman" w:eastAsia="Times New Roman" w:hAnsi="Times New Roman" w:cs="Times New Roman"/>
          <w:noProof/>
          <w:color w:val="000000"/>
        </w:rPr>
      </w:pPr>
      <w:r>
        <w:rPr>
          <w:rFonts w:ascii="Times New Roman" w:hAnsi="Times New Roman"/>
          <w:b/>
          <w:noProof/>
          <w:color w:val="000000"/>
        </w:rPr>
        <w:t xml:space="preserve">F.2. </w:t>
      </w:r>
      <w:r>
        <w:rPr>
          <w:noProof/>
        </w:rPr>
        <w:t xml:space="preserve"> </w:t>
      </w:r>
      <w:r>
        <w:rPr>
          <w:rFonts w:ascii="Times New Roman" w:hAnsi="Times New Roman"/>
          <w:b/>
          <w:noProof/>
          <w:color w:val="000000"/>
        </w:rPr>
        <w:t>Jaloane, ținte, indicatori și calendar pentru monitorizarea și punerea în aplicare a sprijinului financiar nerambursabil</w:t>
      </w:r>
    </w:p>
    <w:p w14:paraId="1216C121" w14:textId="77777777" w:rsidR="00A60DDE" w:rsidRDefault="00A60DDE">
      <w:pPr>
        <w:spacing w:after="0" w:line="240" w:lineRule="auto"/>
        <w:rPr>
          <w:rFonts w:ascii="Times New Roman" w:eastAsia="Times New Roman" w:hAnsi="Times New Roman" w:cs="Times New Roman"/>
          <w:noProof/>
          <w:color w:val="000000"/>
        </w:r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83"/>
        <w:gridCol w:w="1325"/>
        <w:gridCol w:w="1018"/>
        <w:gridCol w:w="1452"/>
        <w:gridCol w:w="1578"/>
        <w:gridCol w:w="987"/>
        <w:gridCol w:w="1039"/>
        <w:gridCol w:w="705"/>
        <w:gridCol w:w="7"/>
        <w:gridCol w:w="921"/>
        <w:gridCol w:w="7"/>
        <w:gridCol w:w="790"/>
        <w:gridCol w:w="7"/>
        <w:gridCol w:w="4662"/>
        <w:gridCol w:w="28"/>
      </w:tblGrid>
      <w:tr w:rsidR="00A60DDE" w14:paraId="1216C12A" w14:textId="77777777">
        <w:trPr>
          <w:gridAfter w:val="1"/>
          <w:wAfter w:w="28" w:type="dxa"/>
          <w:trHeight w:val="705"/>
          <w:tblHeader/>
          <w:jc w:val="center"/>
        </w:trPr>
        <w:tc>
          <w:tcPr>
            <w:tcW w:w="783" w:type="dxa"/>
            <w:vMerge w:val="restart"/>
            <w:shd w:val="clear" w:color="auto" w:fill="BDD7EE"/>
            <w:vAlign w:val="center"/>
          </w:tcPr>
          <w:p w14:paraId="1216C122" w14:textId="0998CBC0" w:rsidR="00A60DDE" w:rsidRDefault="005631E2">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Nr. secv</w:t>
            </w:r>
          </w:p>
        </w:tc>
        <w:tc>
          <w:tcPr>
            <w:tcW w:w="1325" w:type="dxa"/>
            <w:vMerge w:val="restart"/>
            <w:shd w:val="clear" w:color="auto" w:fill="BDD7EE"/>
            <w:vAlign w:val="center"/>
          </w:tcPr>
          <w:p w14:paraId="1216C123"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018" w:type="dxa"/>
            <w:vMerge w:val="restart"/>
            <w:shd w:val="clear" w:color="auto" w:fill="BDD7EE"/>
            <w:vAlign w:val="center"/>
          </w:tcPr>
          <w:p w14:paraId="1216C124"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1452" w:type="dxa"/>
            <w:vMerge w:val="restart"/>
            <w:shd w:val="clear" w:color="auto" w:fill="BDD7EE"/>
            <w:vAlign w:val="center"/>
          </w:tcPr>
          <w:p w14:paraId="1216C125"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78" w:type="dxa"/>
            <w:vMerge w:val="restart"/>
            <w:shd w:val="clear" w:color="auto" w:fill="BDD7EE"/>
            <w:vAlign w:val="center"/>
          </w:tcPr>
          <w:p w14:paraId="1216C126" w14:textId="1070F3C0"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Indicatori calitativi (pentru obiectivele de etapă)</w:t>
            </w:r>
          </w:p>
        </w:tc>
        <w:tc>
          <w:tcPr>
            <w:tcW w:w="2738" w:type="dxa"/>
            <w:gridSpan w:val="4"/>
            <w:shd w:val="clear" w:color="auto" w:fill="BDD7EE"/>
            <w:vAlign w:val="center"/>
          </w:tcPr>
          <w:p w14:paraId="1216C127" w14:textId="3DF5376B"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Indicatori cantitativi (pentru obiective)</w:t>
            </w:r>
          </w:p>
        </w:tc>
        <w:tc>
          <w:tcPr>
            <w:tcW w:w="1725" w:type="dxa"/>
            <w:gridSpan w:val="4"/>
            <w:shd w:val="clear" w:color="auto" w:fill="BDD7EE"/>
            <w:vAlign w:val="center"/>
          </w:tcPr>
          <w:p w14:paraId="1216C128"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4662" w:type="dxa"/>
            <w:vMerge w:val="restart"/>
            <w:shd w:val="clear" w:color="auto" w:fill="BDD7EE"/>
            <w:vAlign w:val="center"/>
          </w:tcPr>
          <w:p w14:paraId="1216C129"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A60DDE" w14:paraId="1216C136" w14:textId="77777777">
        <w:trPr>
          <w:gridAfter w:val="1"/>
          <w:wAfter w:w="28" w:type="dxa"/>
          <w:trHeight w:val="662"/>
          <w:jc w:val="center"/>
        </w:trPr>
        <w:tc>
          <w:tcPr>
            <w:tcW w:w="783" w:type="dxa"/>
            <w:vMerge/>
            <w:vAlign w:val="center"/>
          </w:tcPr>
          <w:p w14:paraId="1216C12B" w14:textId="77777777" w:rsidR="00A60DDE" w:rsidRDefault="00A60DDE">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325" w:type="dxa"/>
            <w:vMerge/>
            <w:vAlign w:val="center"/>
          </w:tcPr>
          <w:p w14:paraId="1216C12C"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18" w:type="dxa"/>
            <w:vMerge/>
            <w:vAlign w:val="center"/>
          </w:tcPr>
          <w:p w14:paraId="1216C12D" w14:textId="77777777" w:rsidR="00A60DDE" w:rsidRDefault="00A60DDE">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452" w:type="dxa"/>
            <w:vMerge/>
            <w:vAlign w:val="center"/>
          </w:tcPr>
          <w:p w14:paraId="1216C12E"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78" w:type="dxa"/>
            <w:vMerge/>
            <w:vAlign w:val="center"/>
          </w:tcPr>
          <w:p w14:paraId="1216C12F"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87" w:type="dxa"/>
            <w:shd w:val="clear" w:color="auto" w:fill="BDD7EE"/>
            <w:vAlign w:val="center"/>
          </w:tcPr>
          <w:p w14:paraId="1216C130"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1039" w:type="dxa"/>
            <w:shd w:val="clear" w:color="auto" w:fill="BDD7EE"/>
            <w:vAlign w:val="center"/>
          </w:tcPr>
          <w:p w14:paraId="1216C131"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712" w:type="dxa"/>
            <w:gridSpan w:val="2"/>
            <w:shd w:val="clear" w:color="auto" w:fill="BDD7EE"/>
            <w:vAlign w:val="center"/>
          </w:tcPr>
          <w:p w14:paraId="1216C132"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928" w:type="dxa"/>
            <w:gridSpan w:val="2"/>
            <w:shd w:val="clear" w:color="auto" w:fill="BDD7EE"/>
            <w:vAlign w:val="center"/>
          </w:tcPr>
          <w:p w14:paraId="1216C133"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797" w:type="dxa"/>
            <w:gridSpan w:val="2"/>
            <w:shd w:val="clear" w:color="auto" w:fill="BDD7EE"/>
            <w:vAlign w:val="center"/>
          </w:tcPr>
          <w:p w14:paraId="1216C134" w14:textId="77777777" w:rsidR="00A60DDE" w:rsidRDefault="00095506">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4662" w:type="dxa"/>
            <w:vMerge/>
            <w:vAlign w:val="center"/>
          </w:tcPr>
          <w:p w14:paraId="1216C135" w14:textId="77777777" w:rsidR="00A60DDE" w:rsidRDefault="00A60DDE">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A60DDE" w14:paraId="1216C14C" w14:textId="77777777">
        <w:trPr>
          <w:gridAfter w:val="1"/>
          <w:wAfter w:w="28" w:type="dxa"/>
          <w:trHeight w:val="313"/>
          <w:jc w:val="center"/>
        </w:trPr>
        <w:tc>
          <w:tcPr>
            <w:tcW w:w="783" w:type="dxa"/>
            <w:shd w:val="clear" w:color="auto" w:fill="C6EFCE"/>
          </w:tcPr>
          <w:p w14:paraId="1216C137"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F1G</w:t>
            </w:r>
          </w:p>
        </w:tc>
        <w:tc>
          <w:tcPr>
            <w:tcW w:w="1325" w:type="dxa"/>
            <w:shd w:val="clear" w:color="auto" w:fill="C6EFCE"/>
          </w:tcPr>
          <w:p w14:paraId="1216C138" w14:textId="77777777" w:rsidR="00A60DDE" w:rsidRDefault="00095506">
            <w:pPr>
              <w:pStyle w:val="P68B1DB1-Normal89"/>
              <w:spacing w:line="240" w:lineRule="auto"/>
              <w:rPr>
                <w:rFonts w:eastAsia="Times New Roman" w:cs="Times New Roman"/>
                <w:noProof/>
                <w:color w:val="006100"/>
                <w:szCs w:val="18"/>
              </w:rPr>
            </w:pPr>
            <w:r>
              <w:rPr>
                <w:noProof/>
              </w:rPr>
              <w:t>F1.1 Reforma de consolidare a independenței și imparțialității instanțelor</w:t>
            </w:r>
          </w:p>
        </w:tc>
        <w:tc>
          <w:tcPr>
            <w:tcW w:w="1018" w:type="dxa"/>
            <w:shd w:val="clear" w:color="auto" w:fill="C6EFCE"/>
          </w:tcPr>
          <w:p w14:paraId="1216C139"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52" w:type="dxa"/>
            <w:shd w:val="clear" w:color="auto" w:fill="C6EFCE"/>
          </w:tcPr>
          <w:p w14:paraId="1216C13A" w14:textId="77777777" w:rsidR="00A60DDE" w:rsidRDefault="00095506">
            <w:pPr>
              <w:pStyle w:val="P68B1DB1-Normal89"/>
              <w:spacing w:line="240" w:lineRule="auto"/>
              <w:rPr>
                <w:rFonts w:eastAsia="Times New Roman" w:cs="Times New Roman"/>
                <w:noProof/>
                <w:color w:val="006100"/>
                <w:szCs w:val="18"/>
              </w:rPr>
            </w:pPr>
            <w:r>
              <w:rPr>
                <w:noProof/>
              </w:rPr>
              <w:t>Intrarea în vigoare a unei reforme de consolidare a independenței și imparțialității instanțelor</w:t>
            </w:r>
          </w:p>
        </w:tc>
        <w:tc>
          <w:tcPr>
            <w:tcW w:w="1578" w:type="dxa"/>
            <w:shd w:val="clear" w:color="auto" w:fill="C6EFCE"/>
          </w:tcPr>
          <w:p w14:paraId="1216C13B" w14:textId="77777777" w:rsidR="00A60DDE" w:rsidRDefault="00095506">
            <w:pPr>
              <w:pStyle w:val="P68B1DB1-Normal89"/>
              <w:spacing w:after="0" w:line="240" w:lineRule="auto"/>
              <w:rPr>
                <w:rFonts w:eastAsia="Times New Roman" w:cs="Times New Roman"/>
                <w:noProof/>
                <w:color w:val="006100"/>
                <w:szCs w:val="18"/>
              </w:rPr>
            </w:pPr>
            <w:r>
              <w:rPr>
                <w:noProof/>
              </w:rPr>
              <w:t>Dispoziție din actul juridic care indică intrarea în vigoare</w:t>
            </w:r>
          </w:p>
        </w:tc>
        <w:tc>
          <w:tcPr>
            <w:tcW w:w="987" w:type="dxa"/>
            <w:shd w:val="clear" w:color="auto" w:fill="C6EFCE"/>
          </w:tcPr>
          <w:p w14:paraId="1216C13C"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3D"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3E"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3F"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797" w:type="dxa"/>
            <w:gridSpan w:val="2"/>
            <w:shd w:val="clear" w:color="auto" w:fill="C6EFCE"/>
          </w:tcPr>
          <w:p w14:paraId="1216C140"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41" w14:textId="77777777" w:rsidR="00A60DDE" w:rsidRDefault="00095506">
            <w:pPr>
              <w:pStyle w:val="P68B1DB1-Normal89"/>
              <w:spacing w:line="240" w:lineRule="auto"/>
              <w:rPr>
                <w:rFonts w:cs="Times New Roman"/>
                <w:noProof/>
                <w:szCs w:val="18"/>
              </w:rPr>
            </w:pPr>
            <w:r>
              <w:rPr>
                <w:noProof/>
              </w:rPr>
              <w:t>Intrarea în vigoare a unei reforme, care:</w:t>
            </w:r>
          </w:p>
          <w:p w14:paraId="1216C142" w14:textId="3FD005F0" w:rsidR="00A60DDE" w:rsidRDefault="00095506">
            <w:pPr>
              <w:pStyle w:val="P68B1DB1-Normal89"/>
              <w:numPr>
                <w:ilvl w:val="0"/>
                <w:numId w:val="27"/>
              </w:numPr>
              <w:spacing w:line="240" w:lineRule="auto"/>
              <w:ind w:left="468" w:hanging="394"/>
              <w:rPr>
                <w:rFonts w:cs="Times New Roman"/>
                <w:noProof/>
                <w:szCs w:val="18"/>
              </w:rPr>
            </w:pPr>
            <w:r>
              <w:rPr>
                <w:noProof/>
              </w:rPr>
              <w:t>în toate cauzele referitoare la judecători, inclusiv în cauzele disciplinare și de ridicare a imunității judiciare, stabilește întinderea competenței Camerei Curții Supreme, alta decât Camera Disciplinară existentă, îndeplinind cerințele care decurg din articolul 19 alineatul (1) din TUE. Acest lucru asigură examinarea cauzelor menționate mai sus de către o instanță independentă și imparțială instituită prin lege, în timp ce competența discreționară de a desemna instanța disciplinară competentă în primă instanță în cauzele privind judecătorii instanțelor de drept comun este limitată,</w:t>
            </w:r>
          </w:p>
          <w:p w14:paraId="1216C143" w14:textId="77777777" w:rsidR="00A60DDE" w:rsidRDefault="00095506">
            <w:pPr>
              <w:pStyle w:val="P68B1DB1-Normal89"/>
              <w:numPr>
                <w:ilvl w:val="0"/>
                <w:numId w:val="27"/>
              </w:numPr>
              <w:spacing w:line="240" w:lineRule="auto"/>
              <w:ind w:left="468" w:hanging="394"/>
              <w:rPr>
                <w:rFonts w:cs="Times New Roman"/>
                <w:noProof/>
                <w:szCs w:val="18"/>
              </w:rPr>
            </w:pPr>
            <w:r>
              <w:rPr>
                <w:noProof/>
              </w:rPr>
              <w:t>să clarifice domeniul de aplicare al răspunderii disciplinare a judecătorilor, asigurându-se că dreptul instanțelor poloneze de a adresa CJUE cereri de decizie preliminară nu este restricționat. O astfel de cerere nu constituie un motiv pentru inițierea unei proceduri disciplinare împotriva unui judecător;</w:t>
            </w:r>
          </w:p>
          <w:p w14:paraId="1216C144" w14:textId="77777777" w:rsidR="00A60DDE" w:rsidRDefault="00095506">
            <w:pPr>
              <w:pStyle w:val="P68B1DB1-Normal89"/>
              <w:numPr>
                <w:ilvl w:val="0"/>
                <w:numId w:val="27"/>
              </w:numPr>
              <w:spacing w:line="240" w:lineRule="auto"/>
              <w:ind w:left="468" w:hanging="394"/>
              <w:rPr>
                <w:rFonts w:cs="Times New Roman"/>
                <w:noProof/>
                <w:szCs w:val="18"/>
              </w:rPr>
            </w:pPr>
            <w:r>
              <w:rPr>
                <w:noProof/>
              </w:rPr>
              <w:t>în timp ce judecătorii pot fi în continuare trași la răspundere pentru abateri profesionale, inclusiv încălcări evidente și grave ale legii, stabilesc că conținutul hotărârilor judecătorești nu este clasificat drept abatere disciplinară;</w:t>
            </w:r>
          </w:p>
          <w:p w14:paraId="1216C145" w14:textId="22801794" w:rsidR="00A60DDE" w:rsidRDefault="00095506">
            <w:pPr>
              <w:pStyle w:val="P68B1DB1-Normal89"/>
              <w:numPr>
                <w:ilvl w:val="0"/>
                <w:numId w:val="27"/>
              </w:numPr>
              <w:spacing w:line="240" w:lineRule="auto"/>
              <w:ind w:left="468" w:hanging="394"/>
              <w:rPr>
                <w:rFonts w:cs="Times New Roman"/>
                <w:noProof/>
                <w:szCs w:val="18"/>
              </w:rPr>
            </w:pPr>
            <w:r>
              <w:rPr>
                <w:noProof/>
              </w:rPr>
              <w:t>să se asigure că inițierea verificării, în cadrul procedurilor judiciare, a faptului dacă un judecător îndeplinește cerințele de independență, imparțialitate și „stabilire prin lege”, în conformitate cu articolul 19 din TUE, este posibilă pentru o instanță competentă în cazul în care apare o îndoială serioasă cu privire la acest aspect și că o astfel de verificare nu este calificată drept abatere disciplinară;</w:t>
            </w:r>
          </w:p>
          <w:p w14:paraId="1216C146" w14:textId="77777777" w:rsidR="00A60DDE" w:rsidRDefault="00095506">
            <w:pPr>
              <w:pStyle w:val="P68B1DB1-Normal89"/>
              <w:numPr>
                <w:ilvl w:val="0"/>
                <w:numId w:val="27"/>
              </w:numPr>
              <w:spacing w:line="240" w:lineRule="auto"/>
              <w:ind w:left="468" w:hanging="394"/>
              <w:rPr>
                <w:rFonts w:cs="Times New Roman"/>
                <w:noProof/>
                <w:szCs w:val="18"/>
              </w:rPr>
            </w:pPr>
            <w:r>
              <w:rPr>
                <w:noProof/>
              </w:rPr>
              <w:t>consolidarea garanțiilor procedurale și a competențelor părților în procedurile disciplinare privind judecătorii, prin</w:t>
            </w:r>
          </w:p>
          <w:p w14:paraId="1216C147" w14:textId="77777777" w:rsidR="00A60DDE" w:rsidRDefault="00095506">
            <w:pPr>
              <w:pStyle w:val="P68B1DB1-Normal89"/>
              <w:numPr>
                <w:ilvl w:val="0"/>
                <w:numId w:val="28"/>
              </w:numPr>
              <w:spacing w:line="240" w:lineRule="auto"/>
              <w:ind w:left="893" w:hanging="284"/>
              <w:contextualSpacing/>
              <w:rPr>
                <w:rFonts w:cs="Times New Roman"/>
                <w:noProof/>
                <w:szCs w:val="18"/>
              </w:rPr>
            </w:pPr>
            <w:r>
              <w:rPr>
                <w:noProof/>
              </w:rPr>
              <w:t>asigurarea examinării într-un termen rezonabil a cauzelor disciplinare împotriva judecătorilor de la instanțele de drept comun;</w:t>
            </w:r>
          </w:p>
          <w:p w14:paraId="1216C148" w14:textId="77777777" w:rsidR="00A60DDE" w:rsidRDefault="00A60DDE">
            <w:pPr>
              <w:spacing w:line="240" w:lineRule="auto"/>
              <w:ind w:left="893" w:hanging="284"/>
              <w:contextualSpacing/>
              <w:rPr>
                <w:rFonts w:ascii="Times New Roman" w:hAnsi="Times New Roman" w:cs="Times New Roman"/>
                <w:noProof/>
                <w:sz w:val="18"/>
                <w:szCs w:val="18"/>
              </w:rPr>
            </w:pPr>
          </w:p>
          <w:p w14:paraId="1216C149" w14:textId="77777777" w:rsidR="00A60DDE" w:rsidRDefault="00095506">
            <w:pPr>
              <w:pStyle w:val="P68B1DB1-Normal89"/>
              <w:numPr>
                <w:ilvl w:val="0"/>
                <w:numId w:val="28"/>
              </w:numPr>
              <w:spacing w:line="240" w:lineRule="auto"/>
              <w:ind w:left="893" w:hanging="284"/>
              <w:contextualSpacing/>
              <w:rPr>
                <w:rFonts w:cs="Times New Roman"/>
                <w:noProof/>
                <w:szCs w:val="18"/>
              </w:rPr>
            </w:pPr>
            <w:r>
              <w:rPr>
                <w:noProof/>
              </w:rPr>
              <w:t>elaborarea unor reglementări mai precise privind competența teritorială a instanțelor care examinează cauzele disciplinare pentru a se asigura că instanța relevantă poate fi determinată direct în conformitate cu actul legislativ; și</w:t>
            </w:r>
          </w:p>
          <w:p w14:paraId="1216C14A" w14:textId="77777777" w:rsidR="00A60DDE" w:rsidRDefault="00A60DDE">
            <w:pPr>
              <w:spacing w:line="240" w:lineRule="auto"/>
              <w:ind w:left="893" w:hanging="284"/>
              <w:contextualSpacing/>
              <w:rPr>
                <w:rFonts w:ascii="Times New Roman" w:hAnsi="Times New Roman" w:cs="Times New Roman"/>
                <w:noProof/>
                <w:sz w:val="18"/>
                <w:szCs w:val="18"/>
              </w:rPr>
            </w:pPr>
          </w:p>
          <w:p w14:paraId="1216C14B" w14:textId="77777777" w:rsidR="00A60DDE" w:rsidRDefault="00095506">
            <w:pPr>
              <w:pStyle w:val="P68B1DB1-Normal89"/>
              <w:numPr>
                <w:ilvl w:val="0"/>
                <w:numId w:val="28"/>
              </w:numPr>
              <w:spacing w:line="240" w:lineRule="auto"/>
              <w:ind w:left="893" w:hanging="284"/>
              <w:contextualSpacing/>
              <w:rPr>
                <w:rFonts w:eastAsia="Times New Roman" w:cs="Times New Roman"/>
                <w:noProof/>
                <w:color w:val="006100"/>
                <w:szCs w:val="18"/>
              </w:rPr>
            </w:pPr>
            <w:r>
              <w:rPr>
                <w:noProof/>
              </w:rPr>
              <w:t>asigurarea faptului că numirea unui avocat al apărării în cadrul procedurilor disciplinare privind un judecător se face într-un interval de timp rezonabil, precum și acordarea de timp pentru pregătirea pe fond a avocatului apărării pentru a-și îndeplini funcțiile în cadrul procedurilor respective. În același timp, instanța suspendă derularea procedurii în cazul unei absențe justificate în mod corespunzător a judecătorului acuzat sau a apărătorului acestuia.</w:t>
            </w:r>
          </w:p>
        </w:tc>
      </w:tr>
      <w:tr w:rsidR="00A60DDE" w14:paraId="1216C158" w14:textId="77777777">
        <w:trPr>
          <w:gridAfter w:val="1"/>
          <w:wAfter w:w="28" w:type="dxa"/>
          <w:trHeight w:val="313"/>
          <w:jc w:val="center"/>
        </w:trPr>
        <w:tc>
          <w:tcPr>
            <w:tcW w:w="783" w:type="dxa"/>
            <w:shd w:val="clear" w:color="auto" w:fill="C6EFCE"/>
          </w:tcPr>
          <w:p w14:paraId="1216C14D"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F2G</w:t>
            </w:r>
          </w:p>
        </w:tc>
        <w:tc>
          <w:tcPr>
            <w:tcW w:w="1325" w:type="dxa"/>
            <w:shd w:val="clear" w:color="auto" w:fill="C6EFCE"/>
          </w:tcPr>
          <w:p w14:paraId="1216C14E" w14:textId="77777777" w:rsidR="00A60DDE" w:rsidRDefault="00095506">
            <w:pPr>
              <w:pStyle w:val="P68B1DB1-Normal89"/>
              <w:spacing w:after="0" w:line="240" w:lineRule="auto"/>
              <w:rPr>
                <w:rFonts w:cs="Times New Roman"/>
                <w:noProof/>
                <w:szCs w:val="18"/>
              </w:rPr>
            </w:pPr>
            <w:r>
              <w:rPr>
                <w:noProof/>
              </w:rPr>
              <w:t>F1.2 Reforma menită să remedieze situația judecătorilor afectați de deciziile Camerei disciplinare a Curții Supreme în cauzele disciplinare și în cauzele privind imunitatea judiciară</w:t>
            </w:r>
          </w:p>
        </w:tc>
        <w:tc>
          <w:tcPr>
            <w:tcW w:w="1018" w:type="dxa"/>
            <w:shd w:val="clear" w:color="auto" w:fill="C6EFCE"/>
          </w:tcPr>
          <w:p w14:paraId="1216C14F"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52" w:type="dxa"/>
            <w:shd w:val="clear" w:color="auto" w:fill="C6EFCE"/>
          </w:tcPr>
          <w:p w14:paraId="1216C150" w14:textId="42C699F3" w:rsidR="00A60DDE" w:rsidRDefault="00095506">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Intrarea în vigoare a unei reforme menite să remedieze situația judecătorilor afectați de deciziile Camerei disciplinare a Curții Supreme în cauzele disciplinare și în cauzele privind imunitatea judiciară</w:t>
            </w:r>
          </w:p>
        </w:tc>
        <w:tc>
          <w:tcPr>
            <w:tcW w:w="1578" w:type="dxa"/>
            <w:shd w:val="clear" w:color="auto" w:fill="C6EFCE"/>
          </w:tcPr>
          <w:p w14:paraId="1216C151" w14:textId="77777777" w:rsidR="00A60DDE" w:rsidRDefault="00095506">
            <w:pPr>
              <w:pStyle w:val="P68B1DB1-Normal89"/>
              <w:spacing w:after="0" w:line="240" w:lineRule="auto"/>
              <w:rPr>
                <w:rFonts w:eastAsia="Times New Roman" w:cs="Times New Roman"/>
                <w:noProof/>
                <w:color w:val="006100"/>
                <w:szCs w:val="18"/>
              </w:rPr>
            </w:pPr>
            <w:r>
              <w:rPr>
                <w:noProof/>
              </w:rPr>
              <w:t>Dispoziție din actul juridic care indică intrarea în vigoare</w:t>
            </w:r>
          </w:p>
        </w:tc>
        <w:tc>
          <w:tcPr>
            <w:tcW w:w="987" w:type="dxa"/>
            <w:shd w:val="clear" w:color="auto" w:fill="C6EFCE"/>
          </w:tcPr>
          <w:p w14:paraId="1216C152"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53"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54"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55"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T2</w:t>
            </w:r>
          </w:p>
        </w:tc>
        <w:tc>
          <w:tcPr>
            <w:tcW w:w="797" w:type="dxa"/>
            <w:gridSpan w:val="2"/>
            <w:shd w:val="clear" w:color="auto" w:fill="C6EFCE"/>
          </w:tcPr>
          <w:p w14:paraId="1216C156"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57" w14:textId="152B8CD6" w:rsidR="00A60DDE" w:rsidRDefault="00095506">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Intrarea în vigoare a unei reforme care asigură că judecătorii afectați de deciziile Camerei Disciplinare a Curții Supreme au acces la procedurile de revizuire a cauzelor lor. Astfel de cauze deja soluționate de Camera disciplinară sunt examinate de o instanță care îndeplinește cerințele prevăzute la articolul 19 alineatul (1) din TUE, în conformitate cu normele care urmează să fie adoptate pe baza jalonului F1G de mai sus. Actul legislativ prevede că prima audiere a instanței care soluționează cauzele respective are loc în termen de trei luni de la primirea moțiunii judecătorului prin care se solicită reexaminarea și că respectivele cauze se soluționează în termen de douăsprezece luni de la primirea unei astfel de moțiuni. Cauzele care sunt încă pendinte în fața Camerei disciplinare sunt trimise spre examinare în instanță și în conformitate cu normele stabilite în cadrul procedurii menționate mai sus.</w:t>
            </w:r>
          </w:p>
        </w:tc>
      </w:tr>
      <w:tr w:rsidR="00A60DDE" w14:paraId="1216C164" w14:textId="77777777">
        <w:trPr>
          <w:gridAfter w:val="1"/>
          <w:wAfter w:w="28" w:type="dxa"/>
          <w:trHeight w:val="313"/>
          <w:jc w:val="center"/>
        </w:trPr>
        <w:tc>
          <w:tcPr>
            <w:tcW w:w="783" w:type="dxa"/>
            <w:tcBorders>
              <w:top w:val="single" w:sz="4" w:space="0" w:color="000000"/>
              <w:left w:val="single" w:sz="4" w:space="0" w:color="000000"/>
              <w:bottom w:val="single" w:sz="4" w:space="0" w:color="000000"/>
              <w:right w:val="single" w:sz="4" w:space="0" w:color="000000"/>
            </w:tcBorders>
            <w:shd w:val="clear" w:color="auto" w:fill="C6EFCE"/>
          </w:tcPr>
          <w:p w14:paraId="1216C159" w14:textId="77777777" w:rsidR="00A60DDE" w:rsidRDefault="00095506">
            <w:pPr>
              <w:pStyle w:val="P68B1DB1-Normal89"/>
              <w:pBdr>
                <w:top w:val="nil"/>
                <w:left w:val="nil"/>
                <w:bottom w:val="nil"/>
                <w:right w:val="nil"/>
                <w:between w:val="nil"/>
              </w:pBdr>
              <w:spacing w:after="0" w:line="240" w:lineRule="auto"/>
              <w:jc w:val="center"/>
              <w:rPr>
                <w:rFonts w:cs="Times New Roman"/>
                <w:noProof/>
                <w:szCs w:val="18"/>
              </w:rPr>
            </w:pPr>
            <w:r>
              <w:rPr>
                <w:noProof/>
              </w:rPr>
              <w:t>F3G</w:t>
            </w:r>
          </w:p>
        </w:tc>
        <w:tc>
          <w:tcPr>
            <w:tcW w:w="1325" w:type="dxa"/>
            <w:tcBorders>
              <w:top w:val="single" w:sz="4" w:space="0" w:color="000000"/>
              <w:left w:val="single" w:sz="4" w:space="0" w:color="000000"/>
              <w:bottom w:val="single" w:sz="4" w:space="0" w:color="000000"/>
              <w:right w:val="single" w:sz="4" w:space="0" w:color="000000"/>
            </w:tcBorders>
            <w:shd w:val="clear" w:color="auto" w:fill="C6EFCE"/>
          </w:tcPr>
          <w:p w14:paraId="1216C15A" w14:textId="77777777" w:rsidR="00A60DDE" w:rsidRDefault="00095506">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F1.2 Reforma menită să remedieze situația judecătorilor afectați de deciziile Camerei disciplinare a Curții Supreme în cauzele disciplinare și în cauzele privind imunitatea judiciară</w:t>
            </w:r>
          </w:p>
        </w:tc>
        <w:tc>
          <w:tcPr>
            <w:tcW w:w="1018" w:type="dxa"/>
            <w:tcBorders>
              <w:top w:val="single" w:sz="4" w:space="0" w:color="000000"/>
              <w:left w:val="single" w:sz="4" w:space="0" w:color="000000"/>
              <w:bottom w:val="single" w:sz="4" w:space="0" w:color="000000"/>
              <w:right w:val="single" w:sz="4" w:space="0" w:color="000000"/>
            </w:tcBorders>
            <w:shd w:val="clear" w:color="auto" w:fill="C6EFCE"/>
          </w:tcPr>
          <w:p w14:paraId="1216C15B"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Etapa de referință</w:t>
            </w:r>
          </w:p>
        </w:tc>
        <w:tc>
          <w:tcPr>
            <w:tcW w:w="1452" w:type="dxa"/>
            <w:tcBorders>
              <w:top w:val="single" w:sz="4" w:space="0" w:color="000000"/>
              <w:left w:val="single" w:sz="4" w:space="0" w:color="000000"/>
              <w:bottom w:val="single" w:sz="4" w:space="0" w:color="000000"/>
              <w:right w:val="single" w:sz="4" w:space="0" w:color="000000"/>
            </w:tcBorders>
            <w:shd w:val="clear" w:color="auto" w:fill="C6EFCE"/>
          </w:tcPr>
          <w:p w14:paraId="1216C15C" w14:textId="580CDF8F" w:rsidR="00A60DDE" w:rsidRDefault="00095506">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Reforma pentru remedierea situației judecătorilor afectați de deciziile Camerei Disciplinare a Curții Supreme în cauzele disciplinare și în cauzele privind imunitatea judiciară</w:t>
            </w:r>
          </w:p>
        </w:tc>
        <w:tc>
          <w:tcPr>
            <w:tcW w:w="1578" w:type="dxa"/>
            <w:tcBorders>
              <w:top w:val="single" w:sz="4" w:space="0" w:color="000000"/>
              <w:left w:val="single" w:sz="4" w:space="0" w:color="000000"/>
              <w:bottom w:val="single" w:sz="4" w:space="0" w:color="000000"/>
              <w:right w:val="single" w:sz="4" w:space="0" w:color="000000"/>
            </w:tcBorders>
            <w:shd w:val="clear" w:color="auto" w:fill="C6EFCE"/>
          </w:tcPr>
          <w:p w14:paraId="1216C15D" w14:textId="77777777" w:rsidR="00A60DDE" w:rsidRDefault="00095506">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Cauze soluționate</w:t>
            </w:r>
          </w:p>
        </w:tc>
        <w:tc>
          <w:tcPr>
            <w:tcW w:w="987" w:type="dxa"/>
            <w:tcBorders>
              <w:top w:val="single" w:sz="4" w:space="0" w:color="000000"/>
              <w:left w:val="single" w:sz="4" w:space="0" w:color="000000"/>
              <w:bottom w:val="single" w:sz="4" w:space="0" w:color="000000"/>
              <w:right w:val="single" w:sz="4" w:space="0" w:color="000000"/>
            </w:tcBorders>
            <w:shd w:val="clear" w:color="auto" w:fill="C6EFCE"/>
          </w:tcPr>
          <w:p w14:paraId="1216C15E"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39" w:type="dxa"/>
            <w:tcBorders>
              <w:top w:val="single" w:sz="4" w:space="0" w:color="000000"/>
              <w:left w:val="single" w:sz="4" w:space="0" w:color="000000"/>
              <w:bottom w:val="single" w:sz="4" w:space="0" w:color="000000"/>
              <w:right w:val="single" w:sz="4" w:space="0" w:color="000000"/>
            </w:tcBorders>
            <w:shd w:val="clear" w:color="auto" w:fill="C6EFCE"/>
          </w:tcPr>
          <w:p w14:paraId="1216C15F"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12"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0"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28"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1"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T4</w:t>
            </w:r>
          </w:p>
        </w:tc>
        <w:tc>
          <w:tcPr>
            <w:tcW w:w="797"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2"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2023</w:t>
            </w:r>
          </w:p>
        </w:tc>
        <w:tc>
          <w:tcPr>
            <w:tcW w:w="4662" w:type="dxa"/>
            <w:tcBorders>
              <w:top w:val="single" w:sz="4" w:space="0" w:color="000000"/>
              <w:left w:val="single" w:sz="4" w:space="0" w:color="000000"/>
              <w:bottom w:val="single" w:sz="4" w:space="0" w:color="000000"/>
              <w:right w:val="single" w:sz="4" w:space="0" w:color="000000"/>
            </w:tcBorders>
            <w:shd w:val="clear" w:color="auto" w:fill="C6EFCE"/>
          </w:tcPr>
          <w:p w14:paraId="1216C163" w14:textId="77777777" w:rsidR="00A60DDE" w:rsidRDefault="00095506">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Toate cazurile de reexaminare inițiate în conformitate cu jalonul F2G se soluționează, cu excepția unor circumstanțe excepționale justificate în mod corespunzător.</w:t>
            </w:r>
          </w:p>
        </w:tc>
      </w:tr>
      <w:tr w:rsidR="00A60DDE" w14:paraId="1216C176" w14:textId="77777777">
        <w:trPr>
          <w:gridAfter w:val="1"/>
          <w:wAfter w:w="28" w:type="dxa"/>
          <w:trHeight w:val="313"/>
          <w:jc w:val="center"/>
        </w:trPr>
        <w:tc>
          <w:tcPr>
            <w:tcW w:w="783" w:type="dxa"/>
            <w:shd w:val="clear" w:color="auto" w:fill="C6EFCE"/>
          </w:tcPr>
          <w:p w14:paraId="1216C165"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F4G</w:t>
            </w:r>
          </w:p>
        </w:tc>
        <w:tc>
          <w:tcPr>
            <w:tcW w:w="1325" w:type="dxa"/>
            <w:shd w:val="clear" w:color="auto" w:fill="C6EFCE"/>
          </w:tcPr>
          <w:p w14:paraId="1216C166" w14:textId="77777777" w:rsidR="00A60DDE" w:rsidRDefault="00095506">
            <w:pPr>
              <w:pStyle w:val="P68B1DB1-Normal89"/>
              <w:spacing w:after="0" w:line="240" w:lineRule="auto"/>
              <w:rPr>
                <w:rFonts w:eastAsia="Times New Roman" w:cs="Times New Roman"/>
                <w:noProof/>
                <w:color w:val="006100"/>
                <w:szCs w:val="18"/>
              </w:rPr>
            </w:pPr>
            <w:r>
              <w:rPr>
                <w:noProof/>
              </w:rPr>
              <w:t>F2.1 Îmbunătățirea procesului legislativ</w:t>
            </w:r>
          </w:p>
        </w:tc>
        <w:tc>
          <w:tcPr>
            <w:tcW w:w="1018" w:type="dxa"/>
            <w:shd w:val="clear" w:color="auto" w:fill="C6EFCE"/>
          </w:tcPr>
          <w:p w14:paraId="1216C167" w14:textId="77777777" w:rsidR="00A60DDE" w:rsidRDefault="00095506">
            <w:pPr>
              <w:pStyle w:val="P68B1DB1-Normal89"/>
              <w:spacing w:after="0" w:line="240" w:lineRule="auto"/>
              <w:jc w:val="center"/>
              <w:rPr>
                <w:rFonts w:eastAsia="Times New Roman" w:cs="Times New Roman"/>
                <w:noProof/>
                <w:color w:val="006100"/>
                <w:szCs w:val="18"/>
              </w:rPr>
            </w:pPr>
            <w:r>
              <w:rPr>
                <w:noProof/>
              </w:rPr>
              <w:t>Etapa de referință</w:t>
            </w:r>
          </w:p>
        </w:tc>
        <w:tc>
          <w:tcPr>
            <w:tcW w:w="1452" w:type="dxa"/>
            <w:shd w:val="clear" w:color="auto" w:fill="C6EFCE"/>
          </w:tcPr>
          <w:p w14:paraId="1216C168" w14:textId="00E95A74" w:rsidR="00A60DDE" w:rsidRDefault="00095506">
            <w:pPr>
              <w:pStyle w:val="P68B1DB1-Normal75"/>
              <w:pBdr>
                <w:top w:val="nil"/>
                <w:left w:val="nil"/>
                <w:bottom w:val="nil"/>
                <w:right w:val="nil"/>
                <w:between w:val="nil"/>
              </w:pBdr>
              <w:spacing w:after="0" w:line="240" w:lineRule="auto"/>
              <w:rPr>
                <w:noProof/>
                <w:color w:val="006100"/>
              </w:rPr>
            </w:pPr>
            <w:r>
              <w:rPr>
                <w:noProof/>
              </w:rPr>
              <w:t>Intrarea în vigoare a modificărilor Regulamentului de procedură al Seimului, Senatului și Consiliului de Miniștri</w:t>
            </w:r>
          </w:p>
        </w:tc>
        <w:tc>
          <w:tcPr>
            <w:tcW w:w="1578" w:type="dxa"/>
            <w:shd w:val="clear" w:color="auto" w:fill="C6EFCE"/>
          </w:tcPr>
          <w:p w14:paraId="1216C169" w14:textId="77777777" w:rsidR="00A60DDE" w:rsidRDefault="00095506">
            <w:pPr>
              <w:pStyle w:val="P68B1DB1-Normal89"/>
              <w:spacing w:after="0" w:line="240" w:lineRule="auto"/>
              <w:rPr>
                <w:rFonts w:eastAsia="Times New Roman" w:cs="Times New Roman"/>
                <w:noProof/>
                <w:color w:val="006100"/>
                <w:szCs w:val="18"/>
              </w:rPr>
            </w:pPr>
            <w:r>
              <w:rPr>
                <w:noProof/>
              </w:rPr>
              <w:t>Dispoziții din actele juridice care indică intrarea în vigoare</w:t>
            </w:r>
          </w:p>
        </w:tc>
        <w:tc>
          <w:tcPr>
            <w:tcW w:w="987" w:type="dxa"/>
            <w:shd w:val="clear" w:color="auto" w:fill="C6EFCE"/>
          </w:tcPr>
          <w:p w14:paraId="1216C16A"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6B"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6C"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6D"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T3</w:t>
            </w:r>
          </w:p>
        </w:tc>
        <w:tc>
          <w:tcPr>
            <w:tcW w:w="797" w:type="dxa"/>
            <w:gridSpan w:val="2"/>
            <w:shd w:val="clear" w:color="auto" w:fill="C6EFCE"/>
          </w:tcPr>
          <w:p w14:paraId="1216C16E"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6F" w14:textId="77777777" w:rsidR="00A60DDE" w:rsidRDefault="00095506">
            <w:pPr>
              <w:pStyle w:val="P68B1DB1-Normal82"/>
              <w:spacing w:after="0" w:line="240" w:lineRule="auto"/>
              <w:rPr>
                <w:noProof/>
              </w:rPr>
            </w:pPr>
            <w:r>
              <w:rPr>
                <w:noProof/>
              </w:rPr>
              <w:t>Intrarea în vigoare a modificărilor Regulamentului de procedură al Seimului care limitează utilizarea procedurilor accelerate la cazurile justificate și introduc pentru proiectele de lege propuse de deputați cerința ca, cu excepția cazurilor justificate, să existe o evaluare a impactului și o consultare publică.</w:t>
            </w:r>
          </w:p>
          <w:p w14:paraId="1216C170" w14:textId="77777777" w:rsidR="00A60DDE" w:rsidRDefault="00A60DDE">
            <w:pPr>
              <w:spacing w:after="0" w:line="240" w:lineRule="auto"/>
              <w:rPr>
                <w:rFonts w:ascii="Times New Roman" w:eastAsia="Times New Roman" w:hAnsi="Times New Roman" w:cs="Times New Roman"/>
                <w:noProof/>
                <w:sz w:val="18"/>
                <w:szCs w:val="18"/>
              </w:rPr>
            </w:pPr>
          </w:p>
          <w:p w14:paraId="1216C171" w14:textId="77777777" w:rsidR="00A60DDE" w:rsidRDefault="00095506">
            <w:pPr>
              <w:pStyle w:val="P68B1DB1-Normal82"/>
              <w:spacing w:after="0" w:line="240" w:lineRule="auto"/>
              <w:rPr>
                <w:noProof/>
              </w:rPr>
            </w:pPr>
            <w:r>
              <w:rPr>
                <w:noProof/>
              </w:rPr>
              <w:t xml:space="preserve">Intrarea în vigoare a modificărilor aduse Regulamentului </w:t>
            </w:r>
          </w:p>
          <w:p w14:paraId="1216C172" w14:textId="77777777" w:rsidR="00A60DDE" w:rsidRDefault="00095506">
            <w:pPr>
              <w:pStyle w:val="P68B1DB1-Normal82"/>
              <w:spacing w:after="0" w:line="240" w:lineRule="auto"/>
              <w:rPr>
                <w:noProof/>
              </w:rPr>
            </w:pPr>
            <w:r>
              <w:rPr>
                <w:noProof/>
              </w:rPr>
              <w:t>Procedura Consiliului de Miniștri care limitează utilizarea procedurilor accelerate la cazurile justificate.</w:t>
            </w:r>
          </w:p>
          <w:p w14:paraId="1216C173" w14:textId="77777777" w:rsidR="00A60DDE" w:rsidRDefault="00A60DDE">
            <w:pPr>
              <w:spacing w:after="0" w:line="240" w:lineRule="auto"/>
              <w:rPr>
                <w:rFonts w:ascii="Times New Roman" w:eastAsia="Times New Roman" w:hAnsi="Times New Roman" w:cs="Times New Roman"/>
                <w:noProof/>
                <w:sz w:val="18"/>
                <w:szCs w:val="18"/>
              </w:rPr>
            </w:pPr>
          </w:p>
          <w:p w14:paraId="1216C175" w14:textId="133FBE07" w:rsidR="00A60DDE" w:rsidRDefault="00095506">
            <w:pPr>
              <w:pStyle w:val="P68B1DB1-Normal82"/>
              <w:spacing w:after="0" w:line="240" w:lineRule="auto"/>
              <w:rPr>
                <w:noProof/>
              </w:rPr>
            </w:pPr>
            <w:r>
              <w:rPr>
                <w:noProof/>
              </w:rPr>
              <w:t>Intrarea în vigoare a amendamentelor la Regulamentul de procedură al Senatului care introduc pentru proiectele de lege propuse de Senat cerința ca, cu excepția cazurilor justificate, să existe o evaluare a impactului.</w:t>
            </w:r>
          </w:p>
        </w:tc>
      </w:tr>
      <w:tr w:rsidR="00A60DDE" w14:paraId="1216C182" w14:textId="77777777">
        <w:trPr>
          <w:gridAfter w:val="1"/>
          <w:wAfter w:w="28" w:type="dxa"/>
          <w:trHeight w:val="313"/>
          <w:jc w:val="center"/>
        </w:trPr>
        <w:tc>
          <w:tcPr>
            <w:tcW w:w="783" w:type="dxa"/>
            <w:shd w:val="clear" w:color="auto" w:fill="C6EFCE"/>
          </w:tcPr>
          <w:p w14:paraId="1216C177"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F5G</w:t>
            </w:r>
          </w:p>
        </w:tc>
        <w:tc>
          <w:tcPr>
            <w:tcW w:w="1325" w:type="dxa"/>
            <w:shd w:val="clear" w:color="auto" w:fill="C6EFCE"/>
          </w:tcPr>
          <w:p w14:paraId="1216C178" w14:textId="77777777" w:rsidR="00A60DDE" w:rsidRDefault="00095506">
            <w:pPr>
              <w:pStyle w:val="P68B1DB1-Normal89"/>
              <w:pBdr>
                <w:top w:val="nil"/>
                <w:left w:val="nil"/>
                <w:bottom w:val="nil"/>
                <w:right w:val="nil"/>
                <w:between w:val="nil"/>
              </w:pBdr>
              <w:spacing w:after="0" w:line="240" w:lineRule="auto"/>
              <w:ind w:left="-49"/>
              <w:rPr>
                <w:rFonts w:eastAsia="Times New Roman" w:cs="Times New Roman"/>
                <w:noProof/>
                <w:color w:val="006100"/>
                <w:szCs w:val="18"/>
              </w:rPr>
            </w:pPr>
            <w:r>
              <w:rPr>
                <w:noProof/>
              </w:rPr>
              <w:t>F3.1 Îmbunătățirea condițiilor de punere în aplicare a planului de redresare și reziliență</w:t>
            </w:r>
          </w:p>
        </w:tc>
        <w:tc>
          <w:tcPr>
            <w:tcW w:w="1018" w:type="dxa"/>
            <w:shd w:val="clear" w:color="auto" w:fill="C6EFCE"/>
          </w:tcPr>
          <w:p w14:paraId="1216C179"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52" w:type="dxa"/>
            <w:shd w:val="clear" w:color="auto" w:fill="C6EFCE"/>
          </w:tcPr>
          <w:p w14:paraId="1216C17A" w14:textId="77777777" w:rsidR="00A60DDE" w:rsidRDefault="00095506">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Intrarea în vigoare a unui act juridic care creează un comitet de monitorizare și îl însărcinează cu supravegherea punerii în aplicare eficace a planului de redresare și reziliență</w:t>
            </w:r>
          </w:p>
        </w:tc>
        <w:tc>
          <w:tcPr>
            <w:tcW w:w="1578" w:type="dxa"/>
            <w:shd w:val="clear" w:color="auto" w:fill="C6EFCE"/>
          </w:tcPr>
          <w:p w14:paraId="1216C17B" w14:textId="77777777" w:rsidR="00A60DDE" w:rsidRDefault="00095506">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Dispoziție din actul juridic care indică intrarea în vigoare</w:t>
            </w:r>
          </w:p>
        </w:tc>
        <w:tc>
          <w:tcPr>
            <w:tcW w:w="987" w:type="dxa"/>
            <w:shd w:val="clear" w:color="auto" w:fill="C6EFCE"/>
          </w:tcPr>
          <w:p w14:paraId="1216C17C"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7D"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7E"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7F"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Q1</w:t>
            </w:r>
          </w:p>
        </w:tc>
        <w:tc>
          <w:tcPr>
            <w:tcW w:w="797" w:type="dxa"/>
            <w:gridSpan w:val="2"/>
            <w:shd w:val="clear" w:color="auto" w:fill="C6EFCE"/>
          </w:tcPr>
          <w:p w14:paraId="1216C180"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81" w14:textId="77777777" w:rsidR="00A60DDE" w:rsidRDefault="00095506">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Pr>
                <w:rFonts w:ascii="Times New Roman" w:hAnsi="Times New Roman"/>
                <w:noProof/>
                <w:sz w:val="18"/>
              </w:rPr>
              <w:t>În urma unei consultări publice, intrarea în vigoare a unui act juridic care:</w:t>
            </w:r>
            <w:r>
              <w:rPr>
                <w:noProof/>
              </w:rPr>
              <w:br/>
            </w:r>
            <w:r>
              <w:rPr>
                <w:rFonts w:ascii="Times New Roman" w:hAnsi="Times New Roman"/>
                <w:noProof/>
                <w:sz w:val="18"/>
              </w:rPr>
              <w:t>1) să creeze un comitet de monitorizare, care să aibă sarcina de a monitoriza punerea în aplicare eficace a planului de redresare și reziliență, format din părțile interesate și partenerii sociali afectați de punerea în aplicare a planului de redresare și reziliență, inclusiv reprezentanți ai organismelor care reprezintă societatea civilă și promovează drepturile fundamentale și nediscriminarea;</w:t>
            </w:r>
            <w:r>
              <w:rPr>
                <w:noProof/>
              </w:rPr>
              <w:br/>
            </w:r>
            <w:r>
              <w:rPr>
                <w:rFonts w:ascii="Times New Roman" w:hAnsi="Times New Roman"/>
                <w:noProof/>
                <w:sz w:val="18"/>
              </w:rPr>
              <w:t>2) Introducerea obligației legale de a consulta comitetul de monitorizare în cursul punerii în aplicare a planului de redresare și reziliență.</w:t>
            </w:r>
          </w:p>
        </w:tc>
      </w:tr>
      <w:tr w:rsidR="00A60DDE" w14:paraId="1216C190" w14:textId="77777777">
        <w:trPr>
          <w:gridAfter w:val="1"/>
          <w:wAfter w:w="28" w:type="dxa"/>
          <w:trHeight w:val="313"/>
          <w:jc w:val="center"/>
        </w:trPr>
        <w:tc>
          <w:tcPr>
            <w:tcW w:w="783" w:type="dxa"/>
            <w:shd w:val="clear" w:color="auto" w:fill="C6EFCE"/>
          </w:tcPr>
          <w:p w14:paraId="1216C183" w14:textId="77777777" w:rsidR="00A60DDE" w:rsidRDefault="00095506">
            <w:pPr>
              <w:pStyle w:val="P68B1DB1-Normal89"/>
              <w:spacing w:after="0" w:line="240" w:lineRule="auto"/>
              <w:jc w:val="center"/>
              <w:rPr>
                <w:rFonts w:cs="Times New Roman"/>
                <w:noProof/>
                <w:szCs w:val="18"/>
              </w:rPr>
            </w:pPr>
            <w:r>
              <w:rPr>
                <w:noProof/>
              </w:rPr>
              <w:t>F6G</w:t>
            </w:r>
          </w:p>
        </w:tc>
        <w:tc>
          <w:tcPr>
            <w:tcW w:w="1325" w:type="dxa"/>
            <w:shd w:val="clear" w:color="auto" w:fill="C6EFCE"/>
          </w:tcPr>
          <w:p w14:paraId="1216C184" w14:textId="77777777" w:rsidR="00A60DDE" w:rsidRDefault="00095506">
            <w:pPr>
              <w:pStyle w:val="P68B1DB1-Normal89"/>
              <w:spacing w:after="0" w:line="240" w:lineRule="auto"/>
              <w:ind w:left="-49"/>
              <w:rPr>
                <w:rFonts w:eastAsia="Times New Roman" w:cs="Times New Roman"/>
                <w:noProof/>
                <w:szCs w:val="18"/>
              </w:rPr>
            </w:pPr>
            <w:r>
              <w:rPr>
                <w:noProof/>
              </w:rPr>
              <w:t>F3.1 Îmbunătățirea condițiilor de punere în aplicare a planului de redresare și reziliență</w:t>
            </w:r>
          </w:p>
        </w:tc>
        <w:tc>
          <w:tcPr>
            <w:tcW w:w="1018" w:type="dxa"/>
            <w:shd w:val="clear" w:color="auto" w:fill="C6EFCE"/>
          </w:tcPr>
          <w:p w14:paraId="1216C185" w14:textId="77777777" w:rsidR="00A60DDE" w:rsidRDefault="00095506">
            <w:pPr>
              <w:pStyle w:val="P68B1DB1-Normal89"/>
              <w:spacing w:after="0" w:line="240" w:lineRule="auto"/>
              <w:jc w:val="center"/>
              <w:rPr>
                <w:rFonts w:cs="Times New Roman"/>
                <w:noProof/>
                <w:szCs w:val="18"/>
              </w:rPr>
            </w:pPr>
            <w:r>
              <w:rPr>
                <w:noProof/>
              </w:rPr>
              <w:t>Etapa de referință</w:t>
            </w:r>
          </w:p>
        </w:tc>
        <w:tc>
          <w:tcPr>
            <w:tcW w:w="1452" w:type="dxa"/>
            <w:shd w:val="clear" w:color="auto" w:fill="C6EFCE"/>
          </w:tcPr>
          <w:p w14:paraId="1216C186" w14:textId="77777777" w:rsidR="00A60DDE" w:rsidRDefault="00095506">
            <w:pPr>
              <w:pStyle w:val="P68B1DB1-Normal89"/>
              <w:spacing w:after="0" w:line="240" w:lineRule="auto"/>
              <w:rPr>
                <w:rFonts w:eastAsia="Times New Roman" w:cs="Times New Roman"/>
                <w:noProof/>
                <w:szCs w:val="18"/>
              </w:rPr>
            </w:pPr>
            <w:r>
              <w:rPr>
                <w:noProof/>
              </w:rPr>
              <w:t>Adoptarea orientărilor de către ministrul responsabil cu dezvoltarea regională de stabilire a normelor de implicare a părților interesate și a partenerilor sociali în punerea în aplicare a planului de redresare și reziliență</w:t>
            </w:r>
          </w:p>
        </w:tc>
        <w:tc>
          <w:tcPr>
            <w:tcW w:w="1578" w:type="dxa"/>
            <w:shd w:val="clear" w:color="auto" w:fill="C6EFCE"/>
          </w:tcPr>
          <w:p w14:paraId="1216C187" w14:textId="77777777" w:rsidR="00A60DDE" w:rsidRDefault="00095506">
            <w:pPr>
              <w:pStyle w:val="P68B1DB1-Normal89"/>
              <w:spacing w:after="0" w:line="240" w:lineRule="auto"/>
              <w:rPr>
                <w:rFonts w:eastAsia="Times New Roman" w:cs="Times New Roman"/>
                <w:noProof/>
                <w:szCs w:val="18"/>
              </w:rPr>
            </w:pPr>
            <w:r>
              <w:rPr>
                <w:noProof/>
              </w:rPr>
              <w:t>Publicarea ghidului pe site-ul Ministerului Fondurilor de Dezvoltare și Politicii Regionale</w:t>
            </w:r>
          </w:p>
        </w:tc>
        <w:tc>
          <w:tcPr>
            <w:tcW w:w="987" w:type="dxa"/>
            <w:shd w:val="clear" w:color="auto" w:fill="C6EFCE"/>
          </w:tcPr>
          <w:p w14:paraId="1216C188" w14:textId="77777777" w:rsidR="00A60DDE" w:rsidRDefault="00A60DDE">
            <w:pPr>
              <w:spacing w:after="0" w:line="240" w:lineRule="auto"/>
              <w:jc w:val="center"/>
              <w:rPr>
                <w:rFonts w:ascii="Times New Roman" w:hAnsi="Times New Roman" w:cs="Times New Roman"/>
                <w:noProof/>
                <w:sz w:val="18"/>
                <w:szCs w:val="18"/>
              </w:rPr>
            </w:pPr>
          </w:p>
        </w:tc>
        <w:tc>
          <w:tcPr>
            <w:tcW w:w="1039" w:type="dxa"/>
            <w:shd w:val="clear" w:color="auto" w:fill="C6EFCE"/>
          </w:tcPr>
          <w:p w14:paraId="1216C189" w14:textId="77777777" w:rsidR="00A60DDE" w:rsidRDefault="00A60DDE">
            <w:pPr>
              <w:spacing w:after="0" w:line="240" w:lineRule="auto"/>
              <w:jc w:val="center"/>
              <w:rPr>
                <w:rFonts w:ascii="Times New Roman" w:hAnsi="Times New Roman" w:cs="Times New Roman"/>
                <w:noProof/>
                <w:sz w:val="18"/>
                <w:szCs w:val="18"/>
              </w:rPr>
            </w:pPr>
          </w:p>
        </w:tc>
        <w:tc>
          <w:tcPr>
            <w:tcW w:w="712" w:type="dxa"/>
            <w:gridSpan w:val="2"/>
            <w:shd w:val="clear" w:color="auto" w:fill="C6EFCE"/>
          </w:tcPr>
          <w:p w14:paraId="1216C18A" w14:textId="77777777" w:rsidR="00A60DDE" w:rsidRDefault="00A60DDE">
            <w:pPr>
              <w:spacing w:after="0" w:line="240" w:lineRule="auto"/>
              <w:jc w:val="center"/>
              <w:rPr>
                <w:rFonts w:ascii="Times New Roman" w:hAnsi="Times New Roman" w:cs="Times New Roman"/>
                <w:noProof/>
                <w:sz w:val="18"/>
                <w:szCs w:val="18"/>
              </w:rPr>
            </w:pPr>
          </w:p>
        </w:tc>
        <w:tc>
          <w:tcPr>
            <w:tcW w:w="928" w:type="dxa"/>
            <w:gridSpan w:val="2"/>
            <w:shd w:val="clear" w:color="auto" w:fill="C6EFCE"/>
          </w:tcPr>
          <w:p w14:paraId="1216C18B" w14:textId="77777777" w:rsidR="00A60DDE" w:rsidRDefault="00095506">
            <w:pPr>
              <w:pStyle w:val="P68B1DB1-Normal89"/>
              <w:spacing w:after="0" w:line="240" w:lineRule="auto"/>
              <w:jc w:val="center"/>
              <w:rPr>
                <w:rFonts w:cs="Times New Roman"/>
                <w:noProof/>
                <w:szCs w:val="18"/>
              </w:rPr>
            </w:pPr>
            <w:r>
              <w:rPr>
                <w:noProof/>
              </w:rPr>
              <w:t>T2</w:t>
            </w:r>
          </w:p>
        </w:tc>
        <w:tc>
          <w:tcPr>
            <w:tcW w:w="797" w:type="dxa"/>
            <w:gridSpan w:val="2"/>
            <w:shd w:val="clear" w:color="auto" w:fill="C6EFCE"/>
          </w:tcPr>
          <w:p w14:paraId="1216C18C" w14:textId="77777777" w:rsidR="00A60DDE" w:rsidRDefault="00095506">
            <w:pPr>
              <w:pStyle w:val="P68B1DB1-Normal89"/>
              <w:spacing w:after="0" w:line="240" w:lineRule="auto"/>
              <w:jc w:val="center"/>
              <w:rPr>
                <w:rFonts w:cs="Times New Roman"/>
                <w:noProof/>
                <w:szCs w:val="18"/>
              </w:rPr>
            </w:pPr>
            <w:r>
              <w:rPr>
                <w:noProof/>
              </w:rPr>
              <w:t>2022</w:t>
            </w:r>
          </w:p>
        </w:tc>
        <w:tc>
          <w:tcPr>
            <w:tcW w:w="4662" w:type="dxa"/>
            <w:shd w:val="clear" w:color="auto" w:fill="C6EFCE"/>
          </w:tcPr>
          <w:p w14:paraId="1216C18D" w14:textId="77777777" w:rsidR="00A60DDE" w:rsidRDefault="00095506">
            <w:pPr>
              <w:pStyle w:val="P68B1DB1-Normal89"/>
              <w:spacing w:after="0" w:line="240" w:lineRule="auto"/>
              <w:rPr>
                <w:rFonts w:cs="Times New Roman"/>
                <w:noProof/>
                <w:szCs w:val="18"/>
              </w:rPr>
            </w:pPr>
            <w:r>
              <w:rPr>
                <w:noProof/>
              </w:rPr>
              <w:t>În urma unei consultări publice, adoptarea orientărilor pentru a asigura implicarea eficace a părților interesate și a partenerilor sociali în programarea, punerea în aplicare, monitorizarea și evaluarea planului de redresare și reziliență.</w:t>
            </w:r>
          </w:p>
          <w:p w14:paraId="1216C18E" w14:textId="77777777" w:rsidR="00A60DDE" w:rsidRDefault="00095506">
            <w:pPr>
              <w:pStyle w:val="P68B1DB1-Normal89"/>
              <w:spacing w:after="0" w:line="240" w:lineRule="auto"/>
              <w:rPr>
                <w:rFonts w:cs="Times New Roman"/>
                <w:noProof/>
                <w:szCs w:val="18"/>
              </w:rPr>
            </w:pPr>
            <w:r>
              <w:rPr>
                <w:noProof/>
              </w:rPr>
              <w:t>Orientările armonizează măsurile care trebuie luate de instituțiile responsabile cu punerea în aplicare a reformelor și a investițiilor în cadrul planului de redresare și reziliență.</w:t>
            </w:r>
          </w:p>
          <w:p w14:paraId="1216C18F" w14:textId="77777777" w:rsidR="00A60DDE" w:rsidRDefault="00095506">
            <w:pPr>
              <w:pStyle w:val="P68B1DB1-Normal89"/>
              <w:spacing w:after="0" w:line="240" w:lineRule="auto"/>
              <w:rPr>
                <w:rFonts w:eastAsia="Times New Roman" w:cs="Times New Roman"/>
                <w:noProof/>
                <w:szCs w:val="18"/>
              </w:rPr>
            </w:pPr>
            <w:r>
              <w:rPr>
                <w:noProof/>
              </w:rPr>
              <w:t>Orientările includ mecanisme de monitorizare și evaluare a implicării părților interesate și a partenerilor sociali.</w:t>
            </w:r>
          </w:p>
        </w:tc>
      </w:tr>
      <w:tr w:rsidR="00A60DDE" w14:paraId="1216C19D" w14:textId="77777777">
        <w:trPr>
          <w:gridAfter w:val="1"/>
          <w:wAfter w:w="28" w:type="dxa"/>
          <w:trHeight w:val="313"/>
          <w:jc w:val="center"/>
        </w:trPr>
        <w:tc>
          <w:tcPr>
            <w:tcW w:w="783" w:type="dxa"/>
            <w:shd w:val="clear" w:color="auto" w:fill="C6EFCE"/>
          </w:tcPr>
          <w:p w14:paraId="1216C191"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F7G</w:t>
            </w:r>
          </w:p>
        </w:tc>
        <w:tc>
          <w:tcPr>
            <w:tcW w:w="1325" w:type="dxa"/>
            <w:shd w:val="clear" w:color="auto" w:fill="C6EFCE"/>
          </w:tcPr>
          <w:p w14:paraId="1216C192" w14:textId="77777777" w:rsidR="00A60DDE" w:rsidRDefault="00095506">
            <w:pPr>
              <w:pStyle w:val="P68B1DB1-Normal89"/>
              <w:pBdr>
                <w:top w:val="nil"/>
                <w:left w:val="nil"/>
                <w:bottom w:val="nil"/>
                <w:right w:val="nil"/>
                <w:between w:val="nil"/>
              </w:pBdr>
              <w:spacing w:after="0" w:line="240" w:lineRule="auto"/>
              <w:ind w:left="-49"/>
              <w:rPr>
                <w:rFonts w:eastAsia="Times New Roman" w:cs="Times New Roman"/>
                <w:noProof/>
                <w:color w:val="006100"/>
                <w:szCs w:val="18"/>
              </w:rPr>
            </w:pPr>
            <w:r>
              <w:rPr>
                <w:noProof/>
              </w:rPr>
              <w:t>F3.1 Îmbunătățirea condițiilor de punere în aplicare a planului de redresare și reziliență</w:t>
            </w:r>
          </w:p>
        </w:tc>
        <w:tc>
          <w:tcPr>
            <w:tcW w:w="1018" w:type="dxa"/>
            <w:shd w:val="clear" w:color="auto" w:fill="C6EFCE"/>
          </w:tcPr>
          <w:p w14:paraId="1216C193"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52" w:type="dxa"/>
            <w:shd w:val="clear" w:color="auto" w:fill="C6EFCE"/>
          </w:tcPr>
          <w:p w14:paraId="1216C194" w14:textId="0E7A2BB8" w:rsidR="00A60DDE" w:rsidRDefault="00095506">
            <w:pPr>
              <w:pStyle w:val="P68B1DB1-Normal89"/>
              <w:spacing w:after="0" w:line="240" w:lineRule="auto"/>
              <w:rPr>
                <w:rFonts w:cs="Times New Roman"/>
                <w:noProof/>
                <w:szCs w:val="18"/>
              </w:rPr>
            </w:pPr>
            <w:r>
              <w:rPr>
                <w:noProof/>
              </w:rPr>
              <w:t>Asigurarea unui audit și a unui control eficace în cadrul punerii în aplicare a MRR, protejând interesele financiare ale Uniunii</w:t>
            </w:r>
          </w:p>
        </w:tc>
        <w:tc>
          <w:tcPr>
            <w:tcW w:w="1578" w:type="dxa"/>
            <w:shd w:val="clear" w:color="auto" w:fill="C6EFCE"/>
          </w:tcPr>
          <w:p w14:paraId="1216C195" w14:textId="77777777" w:rsidR="00A60DDE" w:rsidRDefault="00095506">
            <w:pPr>
              <w:pStyle w:val="P68B1DB1-Normal89"/>
              <w:spacing w:after="0" w:line="240" w:lineRule="auto"/>
              <w:rPr>
                <w:rFonts w:cs="Times New Roman"/>
                <w:noProof/>
                <w:szCs w:val="18"/>
              </w:rPr>
            </w:pPr>
            <w:r>
              <w:rPr>
                <w:noProof/>
              </w:rPr>
              <w:t>Raport de audit care confirmă funcționalitățile sistemului de repertorii</w:t>
            </w:r>
          </w:p>
        </w:tc>
        <w:tc>
          <w:tcPr>
            <w:tcW w:w="987" w:type="dxa"/>
            <w:shd w:val="clear" w:color="auto" w:fill="C6EFCE"/>
          </w:tcPr>
          <w:p w14:paraId="1216C196"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97"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98"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99"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797" w:type="dxa"/>
            <w:gridSpan w:val="2"/>
            <w:shd w:val="clear" w:color="auto" w:fill="C6EFCE"/>
          </w:tcPr>
          <w:p w14:paraId="1216C19A"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9B" w14:textId="77777777" w:rsidR="00A60DDE" w:rsidRDefault="00095506">
            <w:pPr>
              <w:spacing w:line="240" w:lineRule="auto"/>
              <w:rPr>
                <w:rFonts w:ascii="Times New Roman" w:hAnsi="Times New Roman" w:cs="Times New Roman"/>
                <w:noProof/>
                <w:sz w:val="18"/>
                <w:szCs w:val="18"/>
              </w:rPr>
            </w:pPr>
            <w:r>
              <w:rPr>
                <w:rFonts w:ascii="Times New Roman" w:hAnsi="Times New Roman"/>
                <w:noProof/>
                <w:sz w:val="18"/>
              </w:rPr>
              <w:t>Trebuie să existe și să fie operațional un sistem de repertorii pentru monitorizarea punerii în aplicare a MRR. Sistemul include cel puțin următoarele funcționalități:</w:t>
            </w:r>
            <w:r>
              <w:rPr>
                <w:noProof/>
              </w:rPr>
              <w:t xml:space="preserve"> </w:t>
            </w:r>
            <w:r>
              <w:rPr>
                <w:noProof/>
              </w:rPr>
              <w:br/>
            </w:r>
            <w:r>
              <w:rPr>
                <w:rFonts w:ascii="Times New Roman" w:hAnsi="Times New Roman"/>
                <w:noProof/>
                <w:sz w:val="18"/>
              </w:rPr>
              <w:t>(a) colectarea de date și monitorizarea îndeplinirii jaloanelor și a țintelor;</w:t>
            </w:r>
            <w:r>
              <w:rPr>
                <w:noProof/>
              </w:rPr>
              <w:t xml:space="preserve"> </w:t>
            </w:r>
            <w:r>
              <w:rPr>
                <w:noProof/>
              </w:rPr>
              <w:br/>
            </w:r>
            <w:r>
              <w:rPr>
                <w:rFonts w:ascii="Times New Roman" w:hAnsi="Times New Roman"/>
                <w:noProof/>
                <w:sz w:val="18"/>
              </w:rPr>
              <w:t xml:space="preserve">(b) colectarea, stocarea și asigurarea accesului la datele prevăzute la articolul 22 alineatul (2) litera (d) punctele (i)-(iii) din Regulamentul privind MRR. </w:t>
            </w:r>
          </w:p>
          <w:p w14:paraId="1216C19C" w14:textId="77777777" w:rsidR="00A60DDE" w:rsidRDefault="00095506">
            <w:pPr>
              <w:pStyle w:val="P68B1DB1-Normal89"/>
              <w:pBdr>
                <w:top w:val="nil"/>
                <w:left w:val="nil"/>
                <w:bottom w:val="nil"/>
                <w:right w:val="nil"/>
                <w:between w:val="nil"/>
              </w:pBdr>
              <w:spacing w:after="0" w:line="240" w:lineRule="auto"/>
              <w:rPr>
                <w:rFonts w:cs="Times New Roman"/>
                <w:noProof/>
                <w:szCs w:val="18"/>
              </w:rPr>
            </w:pPr>
            <w:r>
              <w:rPr>
                <w:noProof/>
              </w:rPr>
              <w:t>Accesul la aceste date se acordă tuturor organismelor naționale și europene relevante în scopul auditului și al controlului. Datele provenite din acest sistem de repertorii sunt introduse trimestrial în sistemul Arachne. Sistemul Arachne este utilizat în cursul auditurilor și al controalelor pentru a preveni și a detecta și a corecta conflictele de interese, frauda, corupția și dubla finanțare.</w:t>
            </w:r>
          </w:p>
        </w:tc>
      </w:tr>
      <w:tr w:rsidR="00A60DDE" w14:paraId="1216C1A9" w14:textId="77777777">
        <w:trPr>
          <w:trHeight w:val="313"/>
          <w:jc w:val="center"/>
        </w:trPr>
        <w:tc>
          <w:tcPr>
            <w:tcW w:w="783" w:type="dxa"/>
            <w:shd w:val="clear" w:color="auto" w:fill="C6EFCE"/>
          </w:tcPr>
          <w:p w14:paraId="1216C19E" w14:textId="77777777" w:rsidR="00A60DDE" w:rsidRDefault="00095506">
            <w:pPr>
              <w:pStyle w:val="P68B1DB1-Normal45"/>
              <w:pBdr>
                <w:top w:val="nil"/>
                <w:left w:val="nil"/>
                <w:bottom w:val="nil"/>
                <w:right w:val="nil"/>
                <w:between w:val="nil"/>
              </w:pBdr>
              <w:spacing w:after="0" w:line="240" w:lineRule="auto"/>
              <w:jc w:val="center"/>
              <w:rPr>
                <w:rFonts w:cs="Times New Roman"/>
                <w:noProof/>
              </w:rPr>
            </w:pPr>
            <w:r>
              <w:rPr>
                <w:noProof/>
              </w:rPr>
              <w:t>F8G</w:t>
            </w:r>
          </w:p>
        </w:tc>
        <w:tc>
          <w:tcPr>
            <w:tcW w:w="1325" w:type="dxa"/>
            <w:shd w:val="clear" w:color="auto" w:fill="C6EFCE"/>
          </w:tcPr>
          <w:p w14:paraId="1216C19F" w14:textId="77777777" w:rsidR="00A60DDE" w:rsidRDefault="00095506">
            <w:pPr>
              <w:pStyle w:val="P68B1DB1-Normal89"/>
              <w:pBdr>
                <w:top w:val="nil"/>
                <w:left w:val="nil"/>
                <w:bottom w:val="nil"/>
                <w:right w:val="nil"/>
                <w:between w:val="nil"/>
              </w:pBdr>
              <w:spacing w:after="0" w:line="240" w:lineRule="auto"/>
              <w:ind w:left="-49"/>
              <w:rPr>
                <w:rFonts w:eastAsia="Times New Roman" w:cs="Times New Roman"/>
                <w:noProof/>
                <w:szCs w:val="18"/>
              </w:rPr>
            </w:pPr>
            <w:r>
              <w:rPr>
                <w:noProof/>
              </w:rPr>
              <w:t>F3.1 Îmbunătățirea condițiilor de punere în aplicare a planului de redresare și reziliență</w:t>
            </w:r>
          </w:p>
        </w:tc>
        <w:tc>
          <w:tcPr>
            <w:tcW w:w="1018" w:type="dxa"/>
            <w:shd w:val="clear" w:color="auto" w:fill="C6EFCE"/>
          </w:tcPr>
          <w:p w14:paraId="1216C1A0"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452" w:type="dxa"/>
            <w:shd w:val="clear" w:color="auto" w:fill="C6EFCE"/>
          </w:tcPr>
          <w:p w14:paraId="1216C1A1" w14:textId="6AF5076C" w:rsidR="00A60DDE" w:rsidRDefault="00095506">
            <w:pPr>
              <w:pStyle w:val="P68B1DB1-Normal45"/>
              <w:spacing w:after="0" w:line="240" w:lineRule="auto"/>
              <w:rPr>
                <w:rFonts w:eastAsia="Times New Roman" w:cs="Times New Roman"/>
                <w:noProof/>
              </w:rPr>
            </w:pPr>
            <w:r>
              <w:rPr>
                <w:noProof/>
              </w:rPr>
              <w:t>O analiză a volumului de muncă elaborată de Ministerul Fondurilor de Dezvoltare și Politicii Regionale</w:t>
            </w:r>
          </w:p>
        </w:tc>
        <w:tc>
          <w:tcPr>
            <w:tcW w:w="1578" w:type="dxa"/>
            <w:shd w:val="clear" w:color="auto" w:fill="C6EFCE"/>
          </w:tcPr>
          <w:p w14:paraId="1216C1A2" w14:textId="552AB3E1" w:rsidR="00A60DDE" w:rsidRDefault="00095506">
            <w:pPr>
              <w:pStyle w:val="P68B1DB1-Normal45"/>
              <w:spacing w:line="240" w:lineRule="auto"/>
              <w:rPr>
                <w:rFonts w:eastAsia="Times New Roman" w:cs="Times New Roman"/>
                <w:noProof/>
              </w:rPr>
            </w:pPr>
            <w:r>
              <w:rPr>
                <w:noProof/>
              </w:rPr>
              <w:t>O analiză a volumului de muncă elaborată de Ministerul Fondurilor de Dezvoltare și Politicii Regionale</w:t>
            </w:r>
          </w:p>
        </w:tc>
        <w:tc>
          <w:tcPr>
            <w:tcW w:w="987" w:type="dxa"/>
            <w:shd w:val="clear" w:color="auto" w:fill="C6EFCE"/>
          </w:tcPr>
          <w:p w14:paraId="1216C1A3"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1039" w:type="dxa"/>
            <w:shd w:val="clear" w:color="auto" w:fill="C6EFCE"/>
          </w:tcPr>
          <w:p w14:paraId="1216C1A4"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705" w:type="dxa"/>
            <w:shd w:val="clear" w:color="auto" w:fill="C6EFCE"/>
          </w:tcPr>
          <w:p w14:paraId="1216C1A5" w14:textId="77777777" w:rsidR="00A60DDE" w:rsidRDefault="00A60DDE">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928" w:type="dxa"/>
            <w:gridSpan w:val="2"/>
            <w:shd w:val="clear" w:color="auto" w:fill="C6EFCE"/>
          </w:tcPr>
          <w:p w14:paraId="1216C1A6"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797" w:type="dxa"/>
            <w:gridSpan w:val="2"/>
            <w:shd w:val="clear" w:color="auto" w:fill="C6EFCE"/>
          </w:tcPr>
          <w:p w14:paraId="1216C1A7" w14:textId="77777777" w:rsidR="00A60DDE" w:rsidRDefault="00095506">
            <w:pPr>
              <w:pStyle w:val="P68B1DB1-Normal8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4697" w:type="dxa"/>
            <w:gridSpan w:val="3"/>
            <w:shd w:val="clear" w:color="auto" w:fill="C6EFCE"/>
          </w:tcPr>
          <w:p w14:paraId="1216C1A8" w14:textId="77777777" w:rsidR="00A60DDE" w:rsidRDefault="00095506">
            <w:pPr>
              <w:pStyle w:val="P68B1DB1-Normal45"/>
              <w:spacing w:line="240" w:lineRule="auto"/>
              <w:rPr>
                <w:rFonts w:eastAsia="Times New Roman" w:cs="Times New Roman"/>
                <w:noProof/>
              </w:rPr>
            </w:pPr>
            <w:r>
              <w:rPr>
                <w:noProof/>
              </w:rPr>
              <w:t>Se efectuează o analiză a volumului de muncă pentru instituțiile implicate în punerea în aplicare a planului de redresare și reziliență. În cazul în care analiza volumului de muncă stabilește că este necesar personal suplimentar, se adoptă o hotărâre a guvernului de a aloca posturi suplimentare instituțiilor care coordonează și pun în aplicare planul de redresare și reziliență.</w:t>
            </w:r>
          </w:p>
        </w:tc>
      </w:tr>
    </w:tbl>
    <w:p w14:paraId="1216C1AA" w14:textId="77777777" w:rsidR="00A60DDE" w:rsidRDefault="00A60DDE">
      <w:pPr>
        <w:rPr>
          <w:rFonts w:ascii="Times New Roman" w:eastAsia="Times New Roman" w:hAnsi="Times New Roman" w:cs="Times New Roman"/>
          <w:noProof/>
          <w:color w:val="000000"/>
        </w:rPr>
        <w:sectPr w:rsidR="00A60DDE" w:rsidSect="006C544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299"/>
        </w:sectPr>
      </w:pPr>
    </w:p>
    <w:p w14:paraId="1216C1AB" w14:textId="77777777" w:rsidR="00A60DDE" w:rsidRDefault="00095506">
      <w:pPr>
        <w:pStyle w:val="P68B1DB1-Normal90"/>
        <w:spacing w:before="120" w:after="120" w:line="240" w:lineRule="auto"/>
        <w:jc w:val="both"/>
        <w:rPr>
          <w:noProof/>
        </w:rPr>
      </w:pPr>
      <w:r>
        <w:rPr>
          <w:noProof/>
          <w:color w:val="000000"/>
        </w:rPr>
        <w:t>G.</w:t>
      </w:r>
      <w:r>
        <w:rPr>
          <w:noProof/>
        </w:rPr>
        <w:t xml:space="preserve"> Componența G: „REPOWEREU”</w:t>
      </w:r>
    </w:p>
    <w:p w14:paraId="1216C1AC" w14:textId="77777777" w:rsidR="00A60DDE" w:rsidRDefault="00095506">
      <w:pPr>
        <w:pStyle w:val="P68B1DB1-Normal85"/>
        <w:spacing w:before="120" w:after="120" w:line="240" w:lineRule="auto"/>
        <w:jc w:val="both"/>
        <w:rPr>
          <w:rFonts w:cs="Times New Roman"/>
          <w:noProof/>
        </w:rPr>
      </w:pPr>
      <w:r>
        <w:rPr>
          <w:noProof/>
        </w:rPr>
        <w:t>Componenta REPowerEU urmărește să contribuie la reducerea dependenței de combustibilii fosili în Polonia și la facilitarea în continuare a tranziției energetice, prin sprijinirea implementării surselor regenerabile de energie și prin creșterea capacității rețelelor electrice de a integra aceste surse de energie. Aceste obiective sunt posibile și prin măsuri de îmbunătățire a eficienței energetice, inclusiv pentru locuințe. Componenta vizează, de asemenea, îmbunătățirea securității aprovizionării cu energie.</w:t>
      </w:r>
    </w:p>
    <w:p w14:paraId="1216C1AD" w14:textId="77777777" w:rsidR="00A60DDE" w:rsidRDefault="00095506">
      <w:pPr>
        <w:spacing w:before="120" w:after="120" w:line="240" w:lineRule="auto"/>
        <w:jc w:val="both"/>
        <w:rPr>
          <w:rFonts w:ascii="Times New Roman" w:hAnsi="Times New Roman"/>
          <w:noProof/>
        </w:rPr>
      </w:pPr>
      <w:r>
        <w:rPr>
          <w:rFonts w:ascii="Times New Roman" w:hAnsi="Times New Roman"/>
          <w:noProof/>
        </w:rPr>
        <w:t>În acest sens, măsurile din componentă vizează abordarea recomandărilor specifice adresate Poloniei în cadrul semestrului european în 2022 și 2023. În special, măsurile avute în vedere contribuie la accelerarea tranziției către o energie curată, în special prin raționalizarea procedurilor de autorizare pentru implementarea mai rapidă a energiei din surse regenerabile, prin extinderea și modernizarea rețelelor pentru a permite capacitățile de energie din surse regenerabile nou construite, prin sprijinirea instalațiilor de stocare a energiei electrice și prin stimularea investițiilor în rețelele de transport și distribuție din zonele rurale pentru a crește</w:t>
      </w:r>
      <w:r>
        <w:rPr>
          <w:noProof/>
        </w:rPr>
        <w:t xml:space="preserve"> </w:t>
      </w:r>
      <w:r>
        <w:rPr>
          <w:rFonts w:ascii="Times New Roman" w:hAnsi="Times New Roman"/>
          <w:noProof/>
        </w:rPr>
        <w:t xml:space="preserve">capacitatea de conectare a noilor surse regenerabile de energie la rețea, precum și prin sprijinirea dezvoltării parcurilor eoliene offshore. De asemenea, contribuie la eliminarea barierelor din calea dezvoltării comunităților locale de energie din surse regenerabile și la sprijinirea implementării acestora. Acest lucru contribuie la abordarea eficace a recomandărilor de accelerare a eliminării treptate a combustibililor fosili și a utilizării energiei din surse regenerabile, la reforma cadrului juridic pentru autorizarea racordării la rețea și pentru sursele regenerabile de energie, inclusiv comunitățile energetice, biometanul și hidrogenul din surse regenerabile (recomandarea specifică nr. 6.1-6.2 din 2022, recomandarea specifică nr. 4.1-4.2 din 2023). Pentru a pune în aplicare recomandările de promovare a modurilor de transport public durabile (recomandarea specifică nr. 4.4 din 2023) și a adoptării vehiculelor electrice (recomandarea specifică nr. 6.4 din 2022), componenta include măsuri de decarbonizare a sectorului transporturilor, în special prin înlocuirea vehiculelor de transport public urban poluante cu vehicule cu emisii zero și prin adoptarea unui plan de acțiune pentru transportul ecologic în conformitate cu obiectivele climatice ale UE. În plus, componenta include măsuri de sprijinire a serviciilor integrate de renovare a locuințelor și de eliminare treptată a combustibililor fosili din încălzirea locuințelor, în conformitate cu recomandările de promovare a economiilor de energie, de intensificare a investițiilor în eficiența energetică a clădirilor și de decarbonizare a aprovizionării cu energie termică în încălzirea centralizată pentru a aborda sărăcia energetică (recomandarea specifică nr. 6.3). 2022 și CSR 4.3. 2023). Componenta vizează, de asemenea, actualizarea cadrelor sectoriale de calificare pentru tranziția verde, astfel cum se încurajează în recomandări, pentru a intensifica eforturile de politică care vizează furnizarea și dobândirea aptitudinilor și competențelor necesare pentru tranziția verde (recomandarea specifică nr. 4.5 din 2023). În cele din urmă, o investiție specifică privind infrastructura de gaze urmărește să răspundă nevoilor imediate în materie de securitate a aprovizionării ale Poloniei în mod proporțional și specific. Fondul de sprijin în domeniul energiei urmărește să mobilizeze investiții private și să îmbunătățească accesul la finanțare în sectoarele esențiale pentru tranziția energetică. Acest lucru contribuie la abordarea recomandărilor de extindere a investițiilor publice pentru tranziția digitală și pentru securitatea energetică, inclusiv prin utilizarea MRR, a REPowerEU și a altor fonduri ale UE. (recomandarea specifică nr. 1.2 în 2022 și recomandarea specifică nr. 1.3 în 2023). </w:t>
      </w:r>
    </w:p>
    <w:p w14:paraId="1216C1AE" w14:textId="77777777" w:rsidR="00A60DDE" w:rsidRDefault="00095506">
      <w:pPr>
        <w:pStyle w:val="P68B1DB1-Normal85"/>
        <w:spacing w:before="120" w:after="120" w:line="240" w:lineRule="auto"/>
        <w:jc w:val="both"/>
        <w:rPr>
          <w:rFonts w:eastAsia="Times New Roman" w:cs="Times New Roman"/>
          <w:noProof/>
        </w:rPr>
      </w:pPr>
      <w:r>
        <w:rPr>
          <w:noProof/>
        </w:rPr>
        <w:t>Majoritatea măsurilor din cadrul componentei au o dimensiune transfrontalieră sau multinațională. Într-adevăr, mai multe măsuri asigură aprovizionarea cu energie în întreaga Uniune, în special reformele menite să faciliteze utilizarea surselor regenerabile de energie, inclusiv de către comunitățile energetice, și conectarea acestor surse de energie la rețeaua de energie electrică. În plus, componenta include investiții care vizează să aducă beneficii proiectelor privind energia din surse regenerabile și să îmbunătățească integrarea energiei din surse regenerabile în rețea. Alte reforme și investiții contribuie la creșterea ritmului de renovare a clădirilor și la îmbunătățirea eficienței energetice, reducând astfel dependența de combustibilii fosili și cererea de energie. Aceste măsuri reprezintă, de asemenea, o contribuție la acțiunile mai ample în domeniul energiei și al climei la nivelul UE.</w:t>
      </w:r>
    </w:p>
    <w:p w14:paraId="1216C1AF" w14:textId="77777777" w:rsidR="00A60DDE" w:rsidRDefault="00095506">
      <w:pPr>
        <w:spacing w:before="120" w:after="120" w:line="240" w:lineRule="auto"/>
        <w:jc w:val="both"/>
        <w:rPr>
          <w:rFonts w:ascii="Times New Roman" w:hAnsi="Times New Roman"/>
          <w:noProof/>
        </w:rPr>
      </w:pPr>
      <w:r>
        <w:rPr>
          <w:rFonts w:ascii="Times New Roman" w:hAnsi="Times New Roman"/>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de „a nu prejudicia în mod semnificativ” [C(2023) 6454 final], în timp ce principiul de „a nu prejudicia în mod semnificativ” nu se aplică măsurii G3.2.1. „Construirea infrastructurii de gaze naturale pentru a asigura securitatea energetică”, în conformitate cu articolul 21c alineatul (6) din Regulamentul (UE) 2021/241.</w:t>
      </w:r>
    </w:p>
    <w:p w14:paraId="1216C1B0" w14:textId="77777777" w:rsidR="00A60DDE" w:rsidRDefault="00A60DDE">
      <w:pPr>
        <w:spacing w:before="120" w:after="120" w:line="240" w:lineRule="auto"/>
        <w:jc w:val="both"/>
        <w:rPr>
          <w:rFonts w:ascii="Times New Roman" w:hAnsi="Times New Roman" w:cs="Times New Roman"/>
          <w:noProof/>
        </w:rPr>
      </w:pPr>
    </w:p>
    <w:p w14:paraId="54F05DDD" w14:textId="77777777" w:rsidR="00A60DDE" w:rsidRDefault="00095506">
      <w:pPr>
        <w:pStyle w:val="P68B1DB1-Normal91"/>
        <w:rPr>
          <w:b/>
          <w:noProof/>
        </w:rPr>
      </w:pPr>
      <w:r>
        <w:rPr>
          <w:noProof/>
        </w:rPr>
        <w:br w:type="page"/>
      </w:r>
    </w:p>
    <w:p w14:paraId="1216C1B1" w14:textId="4C57875A" w:rsidR="00A60DDE" w:rsidRDefault="00095506">
      <w:pPr>
        <w:pStyle w:val="P68B1DB1-Normal91"/>
        <w:spacing w:before="120" w:after="120" w:line="240" w:lineRule="auto"/>
        <w:jc w:val="both"/>
        <w:rPr>
          <w:b/>
          <w:noProof/>
        </w:rPr>
      </w:pPr>
      <w:r>
        <w:rPr>
          <w:b/>
          <w:noProof/>
        </w:rPr>
        <w:t xml:space="preserve">G1. </w:t>
      </w:r>
      <w:r>
        <w:rPr>
          <w:noProof/>
        </w:rPr>
        <w:t xml:space="preserve"> </w:t>
      </w:r>
      <w:r>
        <w:rPr>
          <w:b/>
          <w:noProof/>
        </w:rPr>
        <w:t>Descrierea reformelor și a investițiilor pentru sprijinul financiar nerambursabil</w:t>
      </w:r>
    </w:p>
    <w:p w14:paraId="1216C1B2" w14:textId="77777777" w:rsidR="00A60DDE" w:rsidRDefault="00A60DDE">
      <w:pPr>
        <w:spacing w:before="120" w:after="120" w:line="240" w:lineRule="auto"/>
        <w:rPr>
          <w:noProof/>
        </w:rPr>
      </w:pPr>
    </w:p>
    <w:p w14:paraId="1216C1B3" w14:textId="35BCA9CF" w:rsidR="00A60DDE" w:rsidRDefault="00095506">
      <w:pPr>
        <w:pStyle w:val="P68B1DB1-Normal92"/>
        <w:spacing w:before="120" w:after="120" w:line="240" w:lineRule="auto"/>
        <w:jc w:val="both"/>
        <w:rPr>
          <w:noProof/>
        </w:rPr>
      </w:pPr>
      <w:r>
        <w:rPr>
          <w:noProof/>
        </w:rPr>
        <w:t>Subcomponenta G1.1 – Stimularea investițiilor în surse regenerabile de energie</w:t>
      </w:r>
    </w:p>
    <w:p w14:paraId="1216C1B4" w14:textId="77777777" w:rsidR="00A60DDE" w:rsidRDefault="00095506">
      <w:pPr>
        <w:pStyle w:val="P68B1DB1-Normal85"/>
        <w:spacing w:before="120" w:after="120" w:line="240" w:lineRule="auto"/>
        <w:jc w:val="both"/>
        <w:rPr>
          <w:rFonts w:cs="Times New Roman"/>
          <w:noProof/>
        </w:rPr>
      </w:pPr>
      <w:r>
        <w:rPr>
          <w:noProof/>
        </w:rPr>
        <w:t>Subcomponenta urmărește să încurajeze dezvoltarea instalațiilor din surse regenerabile exploatate de comunitățile energetice, în special prin îmbunătățirea cadrului pentru a stimula implementarea accelerată a unor astfel de comunități. De asemenea, această subcomponentă include măsuri de sprijinire a stocării energiei electrice pentru integrarea surselor regenerabile de energie în rețea, precum și măsuri de consolidare a capacității administrative și organizaționale a instituțiilor implicate în punerea în aplicare a reformelor și a investițiilor REPowerEU și în procesele aferente proiectelor privind energia din surse regenerabile.</w:t>
      </w:r>
    </w:p>
    <w:p w14:paraId="1216C1B5" w14:textId="77777777" w:rsidR="00A60DDE" w:rsidRDefault="00A60DDE">
      <w:pPr>
        <w:spacing w:before="120" w:after="120" w:line="240" w:lineRule="auto"/>
        <w:jc w:val="both"/>
        <w:rPr>
          <w:rFonts w:ascii="Times New Roman" w:hAnsi="Times New Roman" w:cs="Times New Roman"/>
          <w:noProof/>
        </w:rPr>
      </w:pPr>
    </w:p>
    <w:p w14:paraId="1216C1B6" w14:textId="77777777" w:rsidR="00A60DDE" w:rsidRDefault="00095506">
      <w:pPr>
        <w:pStyle w:val="P68B1DB1-Normal86"/>
        <w:spacing w:before="120" w:after="120" w:line="240" w:lineRule="auto"/>
        <w:jc w:val="both"/>
        <w:rPr>
          <w:noProof/>
        </w:rPr>
      </w:pPr>
      <w:r>
        <w:rPr>
          <w:noProof/>
        </w:rPr>
        <w:t>G1.1.1 Definirea unui mediu de reglementare favorabil pentru comunitățile energetice</w:t>
      </w:r>
    </w:p>
    <w:p w14:paraId="1216C1B7" w14:textId="77777777" w:rsidR="00A60DDE" w:rsidRDefault="00095506">
      <w:pPr>
        <w:pStyle w:val="P68B1DB1-Normal85"/>
        <w:spacing w:before="120" w:after="120" w:line="240" w:lineRule="auto"/>
        <w:jc w:val="both"/>
        <w:rPr>
          <w:rFonts w:cs="Times New Roman"/>
          <w:noProof/>
        </w:rPr>
      </w:pPr>
      <w:r>
        <w:rPr>
          <w:noProof/>
        </w:rPr>
        <w:t>Obiectivul reformei este de a aborda provocările din mediul de reglementare pentru comunitățile energetice din Polonia. Această măsură constă în publicarea unei analize a barierelor juridice, organizaționale și administrative în calea dezvoltării comunităților energetice, a clusterelor energetice sau a cooperativelor energetice.</w:t>
      </w:r>
    </w:p>
    <w:p w14:paraId="1216C1B8" w14:textId="77777777" w:rsidR="00A60DDE" w:rsidRDefault="00A60DDE">
      <w:pPr>
        <w:spacing w:before="120" w:after="120" w:line="240" w:lineRule="auto"/>
        <w:jc w:val="both"/>
        <w:rPr>
          <w:noProof/>
        </w:rPr>
      </w:pPr>
    </w:p>
    <w:p w14:paraId="1216C1B9" w14:textId="77777777" w:rsidR="00A60DDE" w:rsidRDefault="00095506">
      <w:pPr>
        <w:pStyle w:val="P68B1DB1-Normal86"/>
        <w:spacing w:before="120" w:after="120" w:line="240" w:lineRule="auto"/>
        <w:jc w:val="both"/>
        <w:rPr>
          <w:rFonts w:cs="Times New Roman"/>
          <w:noProof/>
        </w:rPr>
      </w:pPr>
      <w:r>
        <w:rPr>
          <w:noProof/>
        </w:rPr>
        <w:t>G1.1.2 Sprijinirea extinderii comunităților energetice</w:t>
      </w:r>
    </w:p>
    <w:p w14:paraId="1216C1BA" w14:textId="77777777" w:rsidR="00A60DDE" w:rsidRDefault="00095506">
      <w:pPr>
        <w:pStyle w:val="P68B1DB1-Normal85"/>
        <w:spacing w:before="120" w:after="120" w:line="240" w:lineRule="auto"/>
        <w:jc w:val="both"/>
        <w:rPr>
          <w:rFonts w:cs="Times New Roman"/>
          <w:noProof/>
        </w:rPr>
      </w:pPr>
      <w:r>
        <w:rPr>
          <w:noProof/>
        </w:rPr>
        <w:t xml:space="preserve">Obiectivul acestei investiții este de a sprijini creșterea surselor regenerabile de energie puse în aplicare de comunitățile energetice, inclusiv de clusterele energetice, de cooperativele energetice și de alte comunități energetice. </w:t>
      </w:r>
    </w:p>
    <w:p w14:paraId="1216C1BB" w14:textId="21CB2A91" w:rsidR="00A60DDE" w:rsidRDefault="00095506">
      <w:pPr>
        <w:pStyle w:val="P68B1DB1-Normal85"/>
        <w:spacing w:before="120" w:after="120" w:line="240" w:lineRule="auto"/>
        <w:jc w:val="both"/>
        <w:rPr>
          <w:rFonts w:cs="Times New Roman"/>
          <w:noProof/>
        </w:rPr>
      </w:pPr>
      <w:r>
        <w:rPr>
          <w:noProof/>
        </w:rPr>
        <w:t>Această măsură constă în: (i) acordurile de grant semnate cu beneficiarii în cadrul componentei de preinvestiții și (ii) acordurile de grant semnate cu beneficiarii în cadrul componentei de investiții.</w:t>
      </w:r>
    </w:p>
    <w:p w14:paraId="1216C1BC" w14:textId="77777777" w:rsidR="00A60DDE" w:rsidRDefault="00A60DDE">
      <w:pPr>
        <w:spacing w:before="120" w:after="120" w:line="240" w:lineRule="auto"/>
        <w:jc w:val="both"/>
        <w:rPr>
          <w:rFonts w:ascii="Times New Roman" w:hAnsi="Times New Roman" w:cs="Times New Roman"/>
          <w:noProof/>
        </w:rPr>
      </w:pPr>
    </w:p>
    <w:p w14:paraId="1216C1BD" w14:textId="77777777" w:rsidR="00A60DDE" w:rsidRDefault="00095506">
      <w:pPr>
        <w:pStyle w:val="P68B1DB1-Normal86"/>
        <w:keepNext/>
        <w:spacing w:before="120" w:after="120" w:line="240" w:lineRule="auto"/>
        <w:jc w:val="both"/>
        <w:rPr>
          <w:noProof/>
        </w:rPr>
      </w:pPr>
      <w:r>
        <w:rPr>
          <w:noProof/>
        </w:rPr>
        <w:t>G1.1.3 Sisteme de stocare a energiei (sprijin nerambursabil)</w:t>
      </w:r>
    </w:p>
    <w:p w14:paraId="1216C1BE" w14:textId="77777777" w:rsidR="00A60DDE" w:rsidRDefault="00095506">
      <w:pPr>
        <w:pStyle w:val="P68B1DB1-Normal85"/>
        <w:spacing w:before="120" w:after="120" w:line="240" w:lineRule="auto"/>
        <w:jc w:val="both"/>
        <w:rPr>
          <w:noProof/>
        </w:rPr>
      </w:pPr>
      <w:r>
        <w:rPr>
          <w:noProof/>
        </w:rPr>
        <w:t>Obiectivul acestei investiții este de a asigura continuitatea aprovizionării cu energie electrică a clienților și de a spori eficiența utilizării surselor regenerabile de energie (SRE). Această măsură constă în instalarea unui sistem de stocare a energiei pe bază de baterii (BESS).</w:t>
      </w:r>
    </w:p>
    <w:p w14:paraId="1216C1BF" w14:textId="77777777" w:rsidR="00A60DDE" w:rsidRDefault="00A60DDE">
      <w:pPr>
        <w:spacing w:before="120" w:after="120" w:line="240" w:lineRule="auto"/>
        <w:jc w:val="both"/>
        <w:rPr>
          <w:rFonts w:ascii="Times New Roman" w:hAnsi="Times New Roman" w:cs="Times New Roman"/>
          <w:noProof/>
        </w:rPr>
      </w:pPr>
    </w:p>
    <w:p w14:paraId="1216C1C0" w14:textId="77777777" w:rsidR="00A60DDE" w:rsidRDefault="00095506">
      <w:pPr>
        <w:pStyle w:val="P68B1DB1-Normal86"/>
        <w:keepNext/>
        <w:spacing w:before="120" w:after="120" w:line="240" w:lineRule="auto"/>
        <w:jc w:val="both"/>
        <w:rPr>
          <w:rFonts w:cs="Times New Roman"/>
          <w:noProof/>
        </w:rPr>
      </w:pPr>
      <w:r>
        <w:rPr>
          <w:noProof/>
        </w:rPr>
        <w:t>G1.1.4 Sprijin pentru instituțiile care pun în aplicare reformele și investițiile REPowerEU</w:t>
      </w:r>
    </w:p>
    <w:p w14:paraId="1216C1C1" w14:textId="3D8A5A23" w:rsidR="00A60DDE" w:rsidRDefault="00095506">
      <w:pPr>
        <w:pStyle w:val="P68B1DB1-Normal85"/>
        <w:spacing w:before="120" w:after="120" w:line="240" w:lineRule="auto"/>
        <w:jc w:val="both"/>
        <w:rPr>
          <w:rFonts w:cs="Times New Roman"/>
          <w:noProof/>
        </w:rPr>
      </w:pPr>
      <w:r>
        <w:rPr>
          <w:noProof/>
        </w:rPr>
        <w:t>Obiectivul acestei investiții este de a spori capacitatea administrativă și organizațională a principalelor instituții publice implicate în sprijinirea reformelor și a investițiilor REPowerEU. Această măsură constă în (i) crearea a 106 posturi noi în administrație, cu sarcini atribuite, inclusiv activitatea privind reformele și investițiile REPowerEU , (ii) sprijin financiar pentru ONG-urile care desfășoară proiecte de consolidare a capacităților care sprijină reformele și investițiile REPowerEU și (iii) încheierea unei faze de testare a unui instrument informatic care sprijină activitățile Biroului de reglementare în domeniul energiei.</w:t>
      </w:r>
    </w:p>
    <w:p w14:paraId="1216C1C2" w14:textId="77777777" w:rsidR="00A60DDE" w:rsidRDefault="00095506">
      <w:pPr>
        <w:pStyle w:val="P68B1DB1-Normal92"/>
        <w:pageBreakBefore/>
        <w:spacing w:before="120" w:after="120" w:line="240" w:lineRule="auto"/>
        <w:jc w:val="both"/>
        <w:rPr>
          <w:noProof/>
        </w:rPr>
      </w:pPr>
      <w:r>
        <w:rPr>
          <w:noProof/>
        </w:rPr>
        <w:t>Subcomponenta G1.2 – Revizuirea rețelelor de energie electrică pentru a accelera integrarea surselor regenerabile de energie</w:t>
      </w:r>
    </w:p>
    <w:p w14:paraId="1216C1C3" w14:textId="77777777" w:rsidR="00A60DDE" w:rsidRDefault="00095506">
      <w:pPr>
        <w:spacing w:before="120" w:after="120" w:line="240" w:lineRule="auto"/>
        <w:jc w:val="both"/>
        <w:rPr>
          <w:rFonts w:ascii="Times New Roman" w:hAnsi="Times New Roman" w:cs="Times New Roman"/>
          <w:noProof/>
        </w:rPr>
      </w:pPr>
      <w:r>
        <w:rPr>
          <w:rFonts w:ascii="Times New Roman" w:hAnsi="Times New Roman"/>
          <w:noProof/>
        </w:rPr>
        <w:t>Subcomponenta vizează punerea în aplicare a instrumentelor și a modernizărilor pentru dezvoltarea accelerată a unor noi instalații care produc energie electrică din surse regenerabile.</w:t>
      </w:r>
      <w:r>
        <w:rPr>
          <w:noProof/>
        </w:rPr>
        <w:t xml:space="preserve"> </w:t>
      </w:r>
      <w:r>
        <w:rPr>
          <w:rFonts w:ascii="Times New Roman" w:hAnsi="Times New Roman"/>
          <w:noProof/>
        </w:rPr>
        <w:t>Aceasta înseamnă eliminarea barierelor din calea conectării la rețele, precum și construirea de noi infrastructuri și modernizarea rețelelor existente pentru a aduce energia din surse regenerabile din locul în care este generată în locul în care este utilizată.</w:t>
      </w:r>
    </w:p>
    <w:p w14:paraId="1216C1C4" w14:textId="77777777" w:rsidR="00A60DDE" w:rsidRDefault="00A60DDE">
      <w:pPr>
        <w:spacing w:before="120" w:after="120" w:line="240" w:lineRule="auto"/>
        <w:jc w:val="both"/>
        <w:rPr>
          <w:rFonts w:ascii="Times New Roman" w:hAnsi="Times New Roman" w:cs="Times New Roman"/>
          <w:noProof/>
        </w:rPr>
      </w:pPr>
    </w:p>
    <w:p w14:paraId="1216C1C5" w14:textId="77777777" w:rsidR="00A60DDE" w:rsidRDefault="00095506">
      <w:pPr>
        <w:pStyle w:val="P68B1DB1-Normal86"/>
        <w:spacing w:before="120" w:after="120" w:line="240" w:lineRule="auto"/>
        <w:jc w:val="both"/>
        <w:rPr>
          <w:rFonts w:cs="Times New Roman"/>
          <w:bCs/>
          <w:noProof/>
        </w:rPr>
      </w:pPr>
      <w:r>
        <w:rPr>
          <w:noProof/>
        </w:rPr>
        <w:t>G1.2.1 Soluții de reglementare pentru integrarea accelerată a surselor regenerabile de energie în rețelele de distribuție</w:t>
      </w:r>
    </w:p>
    <w:p w14:paraId="1216C1C6" w14:textId="77777777" w:rsidR="00A60DDE" w:rsidRDefault="00095506">
      <w:pPr>
        <w:spacing w:before="120" w:after="120" w:line="240" w:lineRule="auto"/>
        <w:jc w:val="both"/>
        <w:rPr>
          <w:rFonts w:ascii="Times New Roman" w:hAnsi="Times New Roman" w:cs="Times New Roman"/>
          <w:noProof/>
        </w:rPr>
      </w:pPr>
      <w:r>
        <w:rPr>
          <w:rFonts w:ascii="Times New Roman" w:hAnsi="Times New Roman"/>
          <w:noProof/>
        </w:rPr>
        <w:t>Obiectivul acestei reforme este de a sprijini investițiile prioritare pentru dezvoltarea rețelei</w:t>
      </w:r>
      <w:r>
        <w:rPr>
          <w:noProof/>
        </w:rPr>
        <w:t xml:space="preserve"> </w:t>
      </w:r>
      <w:r>
        <w:rPr>
          <w:rFonts w:ascii="Times New Roman" w:hAnsi="Times New Roman"/>
          <w:noProof/>
        </w:rPr>
        <w:t>în vederea reducerii barierelor din calea dezvoltării surselor regenerabile de energie. Această măsură constă în publicarea unui cadru de reglementare care să permită Biroului de reglementare în domeniul energiei să identifice investițiile prioritare pentru dezvoltarea rețelei și să reflecte investițiile prioritare în tarifele de rețea de distribuție.</w:t>
      </w:r>
    </w:p>
    <w:p w14:paraId="1216C1C7" w14:textId="77777777" w:rsidR="00A60DDE" w:rsidRDefault="00A60DDE">
      <w:pPr>
        <w:spacing w:before="120" w:after="120" w:line="240" w:lineRule="auto"/>
        <w:jc w:val="both"/>
        <w:rPr>
          <w:rFonts w:ascii="Times New Roman" w:hAnsi="Times New Roman" w:cs="Times New Roman"/>
          <w:noProof/>
        </w:rPr>
      </w:pPr>
    </w:p>
    <w:p w14:paraId="1216C1C8" w14:textId="77777777" w:rsidR="00A60DDE" w:rsidRDefault="00095506">
      <w:pPr>
        <w:pStyle w:val="P68B1DB1-Normal86"/>
        <w:keepNext/>
        <w:spacing w:before="120" w:after="120" w:line="240" w:lineRule="auto"/>
        <w:jc w:val="both"/>
        <w:rPr>
          <w:rFonts w:cs="Times New Roman"/>
          <w:noProof/>
        </w:rPr>
      </w:pPr>
      <w:r>
        <w:rPr>
          <w:noProof/>
        </w:rPr>
        <w:t>G1.2.2 Eliminarea barierelor din calea integrării surselor regenerabile de energie în rețelele de energie electrică</w:t>
      </w:r>
    </w:p>
    <w:p w14:paraId="2B4F29BE" w14:textId="0A2CB147" w:rsidR="00A60DDE" w:rsidRDefault="00095506">
      <w:pPr>
        <w:pStyle w:val="P68B1DB1-Normal85"/>
        <w:spacing w:before="120" w:after="120" w:line="240" w:lineRule="auto"/>
        <w:jc w:val="both"/>
        <w:rPr>
          <w:noProof/>
        </w:rPr>
      </w:pPr>
      <w:r>
        <w:rPr>
          <w:noProof/>
        </w:rPr>
        <w:t>Obiectivul acestei reforme este de a elimina barierele de reglementare din calea integrării surselor regenerabile de energie în rețelele de transport și distribuție a energiei electrice. Această măsură constă în (i) stabilirea unui cadru juridic pentru conectarea mai multor surse regenerabile de energie la un singur punct de conectare; și (ii) intrarea în vigoare a actului (actelor) juridic(e) privind prelucrarea cererilor de conectare.</w:t>
      </w:r>
    </w:p>
    <w:p w14:paraId="2536260B" w14:textId="77777777" w:rsidR="00A60DDE" w:rsidRDefault="00A60DDE">
      <w:pPr>
        <w:spacing w:before="120" w:after="120" w:line="240" w:lineRule="auto"/>
        <w:jc w:val="both"/>
        <w:rPr>
          <w:rFonts w:ascii="Times New Roman" w:hAnsi="Times New Roman"/>
          <w:noProof/>
        </w:rPr>
      </w:pPr>
    </w:p>
    <w:p w14:paraId="1216C1CB" w14:textId="17013AB6" w:rsidR="00A60DDE" w:rsidRDefault="00095506">
      <w:pPr>
        <w:pStyle w:val="P68B1DB1-Normal86"/>
        <w:spacing w:before="120" w:after="120" w:line="240" w:lineRule="auto"/>
        <w:jc w:val="both"/>
        <w:rPr>
          <w:rFonts w:cs="Times New Roman"/>
          <w:bCs/>
          <w:noProof/>
        </w:rPr>
      </w:pPr>
      <w:r>
        <w:rPr>
          <w:noProof/>
        </w:rPr>
        <w:t>G1.2.3 Rețelele de transport și infrastructura inteligentă de energie electrică</w:t>
      </w:r>
    </w:p>
    <w:p w14:paraId="1216C1CC" w14:textId="77777777" w:rsidR="00A60DDE" w:rsidRDefault="00095506">
      <w:pPr>
        <w:pStyle w:val="P68B1DB1-Normal85"/>
        <w:spacing w:before="120" w:after="120" w:line="240" w:lineRule="auto"/>
        <w:jc w:val="both"/>
        <w:rPr>
          <w:noProof/>
        </w:rPr>
      </w:pPr>
      <w:r>
        <w:rPr>
          <w:noProof/>
          <w:color w:val="000000"/>
        </w:rPr>
        <w:t xml:space="preserve">Obiectivul acestei investiții este de a extinde, moderniza și digitaliza rețelele de transport și de a </w:t>
      </w:r>
      <w:r>
        <w:rPr>
          <w:noProof/>
        </w:rPr>
        <w:t xml:space="preserve">facilita integrarea surselor regenerabile de energie în sistemul de energie electrică. </w:t>
      </w:r>
    </w:p>
    <w:p w14:paraId="1216C1CD" w14:textId="6F99B7E6" w:rsidR="00A60DDE" w:rsidRDefault="00095506">
      <w:pPr>
        <w:pStyle w:val="P68B1DB1-Normal85"/>
        <w:spacing w:before="120" w:after="120" w:line="240" w:lineRule="auto"/>
        <w:jc w:val="both"/>
        <w:rPr>
          <w:rFonts w:eastAsia="Times New Roman" w:cs="Times New Roman"/>
          <w:noProof/>
        </w:rPr>
      </w:pPr>
      <w:r>
        <w:rPr>
          <w:noProof/>
          <w:color w:val="000000" w:themeColor="text1"/>
        </w:rPr>
        <w:t>Această măsură constă în: (i) construirea, modernizarea sau modernizarea liniilor de transport al energiei electrice, (ii) (sub)stații noi, extinse sau modernizate ale rețelei de transport al energiei electrice, (iii) instalarea unui sistem central de informare al pieței energiei (CSIRE) și a unor sisteme de monitorizare a calității energiei electrice și (iv) instalarea a trei sisteme informatice noi, modernizate sau extinse pentru operatorul de sistem de transport.</w:t>
      </w:r>
    </w:p>
    <w:p w14:paraId="1216C1CE" w14:textId="77777777" w:rsidR="00A60DDE" w:rsidRDefault="00A60DDE">
      <w:pPr>
        <w:spacing w:before="120" w:after="120" w:line="240" w:lineRule="auto"/>
        <w:jc w:val="both"/>
        <w:rPr>
          <w:rFonts w:ascii="Times New Roman" w:hAnsi="Times New Roman" w:cs="Times New Roman"/>
          <w:noProof/>
        </w:rPr>
      </w:pPr>
    </w:p>
    <w:p w14:paraId="1216C1CF" w14:textId="77777777" w:rsidR="00A60DDE" w:rsidRDefault="00095506">
      <w:pPr>
        <w:pStyle w:val="P68B1DB1-Normal86"/>
        <w:keepNext/>
        <w:spacing w:before="120" w:after="120" w:line="240" w:lineRule="auto"/>
        <w:jc w:val="both"/>
        <w:rPr>
          <w:rFonts w:cs="Times New Roman"/>
          <w:noProof/>
        </w:rPr>
      </w:pPr>
      <w:r>
        <w:rPr>
          <w:noProof/>
        </w:rPr>
        <w:t>G1.2.4 Construirea sau modernizarea rețelelor de distribuție a energiei electrice</w:t>
      </w:r>
    </w:p>
    <w:p w14:paraId="1216C1D0" w14:textId="77777777" w:rsidR="00A60DDE" w:rsidRDefault="00095506">
      <w:pPr>
        <w:pStyle w:val="P68B1DB1-Normal85"/>
        <w:spacing w:before="120" w:after="120" w:line="240" w:lineRule="auto"/>
        <w:jc w:val="both"/>
        <w:rPr>
          <w:rFonts w:cs="Times New Roman"/>
          <w:noProof/>
        </w:rPr>
      </w:pPr>
      <w:r>
        <w:rPr>
          <w:noProof/>
        </w:rPr>
        <w:t xml:space="preserve">Obiectivul acestei investiții este de a sprijini </w:t>
      </w:r>
      <w:r>
        <w:rPr>
          <w:noProof/>
          <w:color w:val="000000"/>
        </w:rPr>
        <w:t>construirea, modernizarea și digitalizarea rețelelor de distribuție a energiei electrice care deservesc în principal zonele rurale,</w:t>
      </w:r>
      <w:r>
        <w:rPr>
          <w:noProof/>
        </w:rPr>
        <w:t xml:space="preserve"> cu scopul de a permite conectarea noilor surse regenerabile de energie în aceste zone.</w:t>
      </w:r>
    </w:p>
    <w:p w14:paraId="1216C1D1" w14:textId="7730DADA" w:rsidR="00A60DDE" w:rsidRDefault="00095506">
      <w:pPr>
        <w:pStyle w:val="P68B1DB1-Normal85"/>
        <w:spacing w:before="120" w:after="120" w:line="240" w:lineRule="auto"/>
        <w:jc w:val="both"/>
        <w:rPr>
          <w:rFonts w:cs="Times New Roman"/>
          <w:noProof/>
        </w:rPr>
      </w:pPr>
      <w:r>
        <w:rPr>
          <w:noProof/>
        </w:rPr>
        <w:t>Această măsură constă în construirea sau modernizarea rețelelor de distribuție.</w:t>
      </w:r>
    </w:p>
    <w:p w14:paraId="1216C1D2" w14:textId="77777777" w:rsidR="00A60DDE" w:rsidRDefault="00A60DDE">
      <w:pPr>
        <w:spacing w:before="120" w:after="120" w:line="257" w:lineRule="auto"/>
        <w:jc w:val="both"/>
        <w:rPr>
          <w:rFonts w:ascii="Times New Roman" w:hAnsi="Times New Roman" w:cs="Times New Roman"/>
          <w:noProof/>
        </w:rPr>
      </w:pPr>
    </w:p>
    <w:p w14:paraId="1216C1D3" w14:textId="77777777" w:rsidR="00A60DDE" w:rsidRDefault="00095506">
      <w:pPr>
        <w:pStyle w:val="P68B1DB1-Normal93"/>
        <w:spacing w:before="120" w:after="120" w:line="240" w:lineRule="auto"/>
        <w:jc w:val="both"/>
        <w:rPr>
          <w:noProof/>
        </w:rPr>
      </w:pPr>
      <w:r>
        <w:rPr>
          <w:noProof/>
        </w:rPr>
        <w:t>Subcomponenta G1.3 – Dezvoltarea unui transport durabil</w:t>
      </w:r>
    </w:p>
    <w:p w14:paraId="151AA09E" w14:textId="2848D768" w:rsidR="00A60DDE" w:rsidRDefault="00095506">
      <w:pPr>
        <w:pStyle w:val="P68B1DB1-Normal85"/>
        <w:spacing w:before="120" w:after="120" w:line="240" w:lineRule="auto"/>
        <w:jc w:val="both"/>
        <w:rPr>
          <w:noProof/>
        </w:rPr>
      </w:pPr>
      <w:r>
        <w:rPr>
          <w:noProof/>
        </w:rPr>
        <w:t>Subcomponenta vizează sprijinirea transportului durabil.</w:t>
      </w:r>
    </w:p>
    <w:p w14:paraId="76C12DA6" w14:textId="77777777" w:rsidR="00A60DDE" w:rsidRDefault="00A60DDE">
      <w:pPr>
        <w:spacing w:before="120" w:after="120" w:line="240" w:lineRule="auto"/>
        <w:jc w:val="both"/>
        <w:rPr>
          <w:rFonts w:ascii="Times New Roman" w:hAnsi="Times New Roman"/>
          <w:noProof/>
        </w:rPr>
      </w:pPr>
    </w:p>
    <w:p w14:paraId="1216C1D6" w14:textId="39907ABB" w:rsidR="00A60DDE" w:rsidRDefault="00095506">
      <w:pPr>
        <w:pStyle w:val="P68B1DB1-Normal86"/>
        <w:spacing w:before="120" w:after="120" w:line="240" w:lineRule="auto"/>
        <w:jc w:val="both"/>
        <w:rPr>
          <w:rFonts w:cs="Times New Roman"/>
          <w:bCs/>
          <w:noProof/>
        </w:rPr>
      </w:pPr>
      <w:r>
        <w:rPr>
          <w:noProof/>
        </w:rPr>
        <w:t>G1.3.2 Transportul în comun cu emisii zero (autobuze)</w:t>
      </w:r>
    </w:p>
    <w:p w14:paraId="1216C1D7" w14:textId="77777777" w:rsidR="00A60DDE" w:rsidRDefault="00095506">
      <w:pPr>
        <w:pStyle w:val="P68B1DB1-Normal85"/>
        <w:spacing w:before="120" w:after="120" w:line="240" w:lineRule="auto"/>
        <w:jc w:val="both"/>
        <w:rPr>
          <w:rFonts w:cs="Times New Roman"/>
          <w:noProof/>
        </w:rPr>
      </w:pPr>
      <w:r>
        <w:rPr>
          <w:noProof/>
        </w:rPr>
        <w:t>Obiectivul acestei investiții este de a face transportul public mai curat și de a-i spori atractivitatea.</w:t>
      </w:r>
    </w:p>
    <w:p w14:paraId="1216C1D8" w14:textId="6ADF3756" w:rsidR="00A60DDE" w:rsidRDefault="00095506">
      <w:pPr>
        <w:pStyle w:val="P68B1DB1-Normal85"/>
        <w:spacing w:before="120" w:after="120" w:line="240" w:lineRule="auto"/>
        <w:jc w:val="both"/>
        <w:rPr>
          <w:noProof/>
        </w:rPr>
      </w:pPr>
      <w:r>
        <w:rPr>
          <w:noProof/>
        </w:rPr>
        <w:t>Investiția constă în livrarea de autobuze cu emisii zero.</w:t>
      </w:r>
    </w:p>
    <w:p w14:paraId="1216C1D9" w14:textId="77777777" w:rsidR="00A60DDE" w:rsidRDefault="00A60DDE">
      <w:pPr>
        <w:rPr>
          <w:rFonts w:ascii="Times New Roman" w:eastAsia="Times New Roman" w:hAnsi="Times New Roman" w:cs="Times New Roman"/>
          <w:noProof/>
          <w:color w:val="000000"/>
        </w:rPr>
        <w:sectPr w:rsidR="00A60DDE" w:rsidSect="006C5441">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1216C1DA" w14:textId="77777777" w:rsidR="00A60DDE" w:rsidRDefault="00095506">
      <w:pPr>
        <w:pStyle w:val="P68B1DB1-Normal91"/>
        <w:spacing w:before="120" w:after="120" w:line="240" w:lineRule="auto"/>
        <w:jc w:val="both"/>
        <w:rPr>
          <w:b/>
          <w:smallCaps/>
          <w:noProof/>
        </w:rPr>
      </w:pPr>
      <w:r>
        <w:rPr>
          <w:b/>
          <w:noProof/>
        </w:rPr>
        <w:t xml:space="preserve">G2. </w:t>
      </w:r>
      <w:r>
        <w:rPr>
          <w:noProof/>
        </w:rPr>
        <w:t xml:space="preserve"> </w:t>
      </w:r>
      <w:r>
        <w:rPr>
          <w:b/>
          <w:noProof/>
        </w:rPr>
        <w:t>Jaloane, ținte, indicatori și calendar pentru monitorizarea și punerea în aplicare a sprijinului financiar nerambursabil</w:t>
      </w:r>
    </w:p>
    <w:p w14:paraId="1216C1DB" w14:textId="77777777" w:rsidR="00A60DDE" w:rsidRDefault="00095506">
      <w:pPr>
        <w:pStyle w:val="P68B1DB1-Normal93"/>
        <w:spacing w:before="120" w:after="120" w:line="240" w:lineRule="auto"/>
        <w:jc w:val="both"/>
        <w:rPr>
          <w:noProof/>
        </w:rPr>
      </w:pPr>
      <w:r>
        <w:rPr>
          <w:noProof/>
        </w:rPr>
        <w:t>Subcomponenta G1.1 – Stimularea investițiilor în surse regenerabile de energie</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A0" w:firstRow="1" w:lastRow="0" w:firstColumn="1" w:lastColumn="0" w:noHBand="1" w:noVBand="0"/>
      </w:tblPr>
      <w:tblGrid>
        <w:gridCol w:w="988"/>
        <w:gridCol w:w="1393"/>
        <w:gridCol w:w="1060"/>
        <w:gridCol w:w="1888"/>
        <w:gridCol w:w="1754"/>
        <w:gridCol w:w="1027"/>
        <w:gridCol w:w="957"/>
        <w:gridCol w:w="709"/>
        <w:gridCol w:w="921"/>
        <w:gridCol w:w="922"/>
        <w:gridCol w:w="3685"/>
      </w:tblGrid>
      <w:tr w:rsidR="00A60DDE" w14:paraId="1216C1E4" w14:textId="77777777">
        <w:trPr>
          <w:trHeight w:val="720"/>
          <w:tblHeader/>
          <w:jc w:val="center"/>
        </w:trPr>
        <w:tc>
          <w:tcPr>
            <w:tcW w:w="988" w:type="dxa"/>
            <w:vMerge w:val="restart"/>
            <w:shd w:val="clear" w:color="auto" w:fill="BDD7EE"/>
            <w:vAlign w:val="center"/>
            <w:hideMark/>
          </w:tcPr>
          <w:p w14:paraId="1216C1DC" w14:textId="6F37809E" w:rsidR="00A60DDE" w:rsidRDefault="005631E2">
            <w:pPr>
              <w:pStyle w:val="P68B1DB1-Normal94"/>
              <w:spacing w:after="0" w:line="240" w:lineRule="auto"/>
              <w:ind w:left="-25"/>
              <w:jc w:val="center"/>
              <w:rPr>
                <w:rFonts w:eastAsia="Times New Roman"/>
                <w:noProof/>
              </w:rPr>
            </w:pPr>
            <w:r>
              <w:rPr>
                <w:noProof/>
              </w:rPr>
              <w:t>Nr. secv</w:t>
            </w:r>
          </w:p>
        </w:tc>
        <w:tc>
          <w:tcPr>
            <w:tcW w:w="1393" w:type="dxa"/>
            <w:vMerge w:val="restart"/>
            <w:shd w:val="clear" w:color="auto" w:fill="BDD7EE"/>
            <w:vAlign w:val="center"/>
            <w:hideMark/>
          </w:tcPr>
          <w:p w14:paraId="1216C1DD" w14:textId="77777777" w:rsidR="00A60DDE" w:rsidRDefault="00095506">
            <w:pPr>
              <w:pStyle w:val="P68B1DB1-Normal95"/>
              <w:spacing w:after="0" w:line="240" w:lineRule="auto"/>
              <w:jc w:val="center"/>
              <w:rPr>
                <w:rFonts w:eastAsia="Times New Roman"/>
                <w:noProof/>
              </w:rPr>
            </w:pPr>
            <w:r>
              <w:rPr>
                <w:noProof/>
              </w:rPr>
              <w:t>Măsură conexă (reformă sau investiție)</w:t>
            </w:r>
          </w:p>
        </w:tc>
        <w:tc>
          <w:tcPr>
            <w:tcW w:w="1060" w:type="dxa"/>
            <w:vMerge w:val="restart"/>
            <w:shd w:val="clear" w:color="auto" w:fill="BDD7EE"/>
            <w:vAlign w:val="center"/>
            <w:hideMark/>
          </w:tcPr>
          <w:p w14:paraId="1216C1DE" w14:textId="77777777" w:rsidR="00A60DDE" w:rsidRDefault="00095506">
            <w:pPr>
              <w:pStyle w:val="P68B1DB1-Normal95"/>
              <w:spacing w:after="0" w:line="240" w:lineRule="auto"/>
              <w:jc w:val="center"/>
              <w:rPr>
                <w:rFonts w:eastAsia="Times New Roman"/>
                <w:noProof/>
              </w:rPr>
            </w:pPr>
            <w:r>
              <w:rPr>
                <w:noProof/>
              </w:rPr>
              <w:t>Etapa/ținta</w:t>
            </w:r>
          </w:p>
        </w:tc>
        <w:tc>
          <w:tcPr>
            <w:tcW w:w="1888" w:type="dxa"/>
            <w:vMerge w:val="restart"/>
            <w:shd w:val="clear" w:color="auto" w:fill="BDD7EE"/>
            <w:vAlign w:val="center"/>
            <w:hideMark/>
          </w:tcPr>
          <w:p w14:paraId="1216C1DF" w14:textId="77777777" w:rsidR="00A60DDE" w:rsidRDefault="00095506">
            <w:pPr>
              <w:pStyle w:val="P68B1DB1-Normal95"/>
              <w:spacing w:after="0" w:line="240" w:lineRule="auto"/>
              <w:jc w:val="center"/>
              <w:rPr>
                <w:rFonts w:eastAsia="Times New Roman"/>
                <w:noProof/>
              </w:rPr>
            </w:pPr>
            <w:r>
              <w:rPr>
                <w:noProof/>
              </w:rPr>
              <w:t>Denumire</w:t>
            </w:r>
          </w:p>
        </w:tc>
        <w:tc>
          <w:tcPr>
            <w:tcW w:w="1754" w:type="dxa"/>
            <w:vMerge w:val="restart"/>
            <w:shd w:val="clear" w:color="auto" w:fill="BDD7EE"/>
            <w:vAlign w:val="center"/>
            <w:hideMark/>
          </w:tcPr>
          <w:p w14:paraId="1216C1E0" w14:textId="04DD0F6D" w:rsidR="00A60DDE" w:rsidRDefault="00095506">
            <w:pPr>
              <w:pStyle w:val="P68B1DB1-Normal95"/>
              <w:spacing w:after="0" w:line="240" w:lineRule="auto"/>
              <w:jc w:val="center"/>
              <w:rPr>
                <w:rFonts w:eastAsia="Times New Roman"/>
                <w:noProof/>
              </w:rPr>
            </w:pPr>
            <w:r>
              <w:rPr>
                <w:noProof/>
              </w:rPr>
              <w:t>Indicatori calitativi (pentru obiectivele de etapă)</w:t>
            </w:r>
          </w:p>
        </w:tc>
        <w:tc>
          <w:tcPr>
            <w:tcW w:w="2693" w:type="dxa"/>
            <w:gridSpan w:val="3"/>
            <w:shd w:val="clear" w:color="auto" w:fill="BDD7EE"/>
            <w:vAlign w:val="center"/>
            <w:hideMark/>
          </w:tcPr>
          <w:p w14:paraId="1216C1E1" w14:textId="7C8F9FCF" w:rsidR="00A60DDE" w:rsidRDefault="00095506">
            <w:pPr>
              <w:pStyle w:val="P68B1DB1-Normal95"/>
              <w:spacing w:after="0" w:line="240" w:lineRule="auto"/>
              <w:jc w:val="center"/>
              <w:rPr>
                <w:rFonts w:eastAsia="Times New Roman"/>
                <w:noProof/>
              </w:rPr>
            </w:pPr>
            <w:r>
              <w:rPr>
                <w:noProof/>
              </w:rPr>
              <w:t>Indicatori cantitativi (pentru obiective)</w:t>
            </w:r>
          </w:p>
        </w:tc>
        <w:tc>
          <w:tcPr>
            <w:tcW w:w="1843" w:type="dxa"/>
            <w:gridSpan w:val="2"/>
            <w:shd w:val="clear" w:color="auto" w:fill="BDD7EE"/>
            <w:vAlign w:val="center"/>
            <w:hideMark/>
          </w:tcPr>
          <w:p w14:paraId="1216C1E2" w14:textId="77777777" w:rsidR="00A60DDE" w:rsidRDefault="00095506">
            <w:pPr>
              <w:pStyle w:val="P68B1DB1-Normal95"/>
              <w:spacing w:after="0" w:line="240" w:lineRule="auto"/>
              <w:jc w:val="center"/>
              <w:rPr>
                <w:rFonts w:eastAsia="Times New Roman"/>
                <w:noProof/>
              </w:rPr>
            </w:pPr>
            <w:r>
              <w:rPr>
                <w:noProof/>
              </w:rPr>
              <w:t>Calendar orientativ pentru finalizare</w:t>
            </w:r>
          </w:p>
        </w:tc>
        <w:tc>
          <w:tcPr>
            <w:tcW w:w="3685" w:type="dxa"/>
            <w:vMerge w:val="restart"/>
            <w:shd w:val="clear" w:color="auto" w:fill="BDD7EE"/>
            <w:vAlign w:val="center"/>
            <w:hideMark/>
          </w:tcPr>
          <w:p w14:paraId="1216C1E3" w14:textId="77777777" w:rsidR="00A60DDE" w:rsidRDefault="00095506">
            <w:pPr>
              <w:pStyle w:val="P68B1DB1-Normal95"/>
              <w:spacing w:after="0" w:line="240" w:lineRule="auto"/>
              <w:jc w:val="center"/>
              <w:rPr>
                <w:rFonts w:eastAsia="Times New Roman"/>
                <w:noProof/>
              </w:rPr>
            </w:pPr>
            <w:r>
              <w:rPr>
                <w:noProof/>
              </w:rPr>
              <w:t>Descrierea fiecărui jalon și a fiecărei ținte</w:t>
            </w:r>
          </w:p>
        </w:tc>
      </w:tr>
      <w:tr w:rsidR="00A60DDE" w14:paraId="1216C1F0" w14:textId="77777777">
        <w:trPr>
          <w:trHeight w:val="621"/>
          <w:tblHeader/>
          <w:jc w:val="center"/>
        </w:trPr>
        <w:tc>
          <w:tcPr>
            <w:tcW w:w="988" w:type="dxa"/>
            <w:vMerge/>
            <w:hideMark/>
          </w:tcPr>
          <w:p w14:paraId="1216C1E5" w14:textId="77777777" w:rsidR="00A60DDE" w:rsidRDefault="00A60DDE">
            <w:pPr>
              <w:spacing w:after="0" w:line="240" w:lineRule="auto"/>
              <w:jc w:val="center"/>
              <w:rPr>
                <w:rFonts w:ascii="Times New Roman" w:eastAsia="Times New Roman" w:hAnsi="Times New Roman" w:cs="Times New Roman"/>
                <w:b/>
                <w:noProof/>
                <w:sz w:val="18"/>
                <w:szCs w:val="18"/>
              </w:rPr>
            </w:pPr>
          </w:p>
        </w:tc>
        <w:tc>
          <w:tcPr>
            <w:tcW w:w="1393" w:type="dxa"/>
            <w:vMerge/>
            <w:vAlign w:val="center"/>
            <w:hideMark/>
          </w:tcPr>
          <w:p w14:paraId="1216C1E6" w14:textId="77777777" w:rsidR="00A60DDE" w:rsidRDefault="00A60DDE">
            <w:pPr>
              <w:spacing w:after="0" w:line="240" w:lineRule="auto"/>
              <w:rPr>
                <w:rFonts w:ascii="Times New Roman" w:eastAsia="Times New Roman" w:hAnsi="Times New Roman" w:cs="Times New Roman"/>
                <w:b/>
                <w:bCs/>
                <w:noProof/>
                <w:sz w:val="18"/>
                <w:szCs w:val="18"/>
              </w:rPr>
            </w:pPr>
          </w:p>
        </w:tc>
        <w:tc>
          <w:tcPr>
            <w:tcW w:w="1060" w:type="dxa"/>
            <w:vMerge/>
            <w:vAlign w:val="center"/>
            <w:hideMark/>
          </w:tcPr>
          <w:p w14:paraId="1216C1E7" w14:textId="77777777" w:rsidR="00A60DDE" w:rsidRDefault="00A60DDE">
            <w:pPr>
              <w:spacing w:after="0" w:line="240" w:lineRule="auto"/>
              <w:jc w:val="center"/>
              <w:rPr>
                <w:rFonts w:ascii="Times New Roman" w:eastAsia="Times New Roman" w:hAnsi="Times New Roman" w:cs="Times New Roman"/>
                <w:b/>
                <w:bCs/>
                <w:noProof/>
                <w:sz w:val="18"/>
                <w:szCs w:val="18"/>
              </w:rPr>
            </w:pPr>
          </w:p>
        </w:tc>
        <w:tc>
          <w:tcPr>
            <w:tcW w:w="1888" w:type="dxa"/>
            <w:vMerge/>
            <w:vAlign w:val="center"/>
            <w:hideMark/>
          </w:tcPr>
          <w:p w14:paraId="1216C1E8" w14:textId="77777777" w:rsidR="00A60DDE" w:rsidRDefault="00A60DDE">
            <w:pPr>
              <w:spacing w:after="0" w:line="240" w:lineRule="auto"/>
              <w:rPr>
                <w:rFonts w:ascii="Times New Roman" w:eastAsia="Times New Roman" w:hAnsi="Times New Roman" w:cs="Times New Roman"/>
                <w:b/>
                <w:bCs/>
                <w:noProof/>
                <w:sz w:val="18"/>
                <w:szCs w:val="18"/>
              </w:rPr>
            </w:pPr>
          </w:p>
        </w:tc>
        <w:tc>
          <w:tcPr>
            <w:tcW w:w="1754" w:type="dxa"/>
            <w:vMerge/>
            <w:vAlign w:val="center"/>
            <w:hideMark/>
          </w:tcPr>
          <w:p w14:paraId="1216C1E9" w14:textId="77777777" w:rsidR="00A60DDE" w:rsidRDefault="00A60DDE">
            <w:pPr>
              <w:spacing w:after="0" w:line="240" w:lineRule="auto"/>
              <w:rPr>
                <w:rFonts w:ascii="Times New Roman" w:eastAsia="Times New Roman" w:hAnsi="Times New Roman" w:cs="Times New Roman"/>
                <w:b/>
                <w:bCs/>
                <w:noProof/>
                <w:sz w:val="18"/>
                <w:szCs w:val="18"/>
              </w:rPr>
            </w:pPr>
          </w:p>
        </w:tc>
        <w:tc>
          <w:tcPr>
            <w:tcW w:w="1027" w:type="dxa"/>
            <w:shd w:val="clear" w:color="auto" w:fill="BDD7EE"/>
            <w:vAlign w:val="center"/>
            <w:hideMark/>
          </w:tcPr>
          <w:p w14:paraId="1216C1EA" w14:textId="77777777" w:rsidR="00A60DDE" w:rsidRDefault="00095506">
            <w:pPr>
              <w:pStyle w:val="P68B1DB1-Normal95"/>
              <w:spacing w:after="0" w:line="240" w:lineRule="auto"/>
              <w:jc w:val="center"/>
              <w:rPr>
                <w:rFonts w:eastAsia="Times New Roman"/>
                <w:noProof/>
              </w:rPr>
            </w:pPr>
            <w:r>
              <w:rPr>
                <w:noProof/>
              </w:rPr>
              <w:t>Unitatea de măsură</w:t>
            </w:r>
          </w:p>
        </w:tc>
        <w:tc>
          <w:tcPr>
            <w:tcW w:w="957" w:type="dxa"/>
            <w:shd w:val="clear" w:color="auto" w:fill="BDD7EE"/>
            <w:vAlign w:val="center"/>
            <w:hideMark/>
          </w:tcPr>
          <w:p w14:paraId="1216C1EB" w14:textId="77777777" w:rsidR="00A60DDE" w:rsidRDefault="00095506">
            <w:pPr>
              <w:pStyle w:val="P68B1DB1-Normal95"/>
              <w:spacing w:after="0" w:line="240" w:lineRule="auto"/>
              <w:jc w:val="center"/>
              <w:rPr>
                <w:rFonts w:eastAsia="Times New Roman"/>
                <w:noProof/>
              </w:rPr>
            </w:pPr>
            <w:r>
              <w:rPr>
                <w:noProof/>
              </w:rPr>
              <w:t>Situația de referință</w:t>
            </w:r>
          </w:p>
        </w:tc>
        <w:tc>
          <w:tcPr>
            <w:tcW w:w="709" w:type="dxa"/>
            <w:shd w:val="clear" w:color="auto" w:fill="BDD7EE"/>
            <w:vAlign w:val="center"/>
            <w:hideMark/>
          </w:tcPr>
          <w:p w14:paraId="1216C1EC" w14:textId="77777777" w:rsidR="00A60DDE" w:rsidRDefault="00095506">
            <w:pPr>
              <w:pStyle w:val="P68B1DB1-Normal95"/>
              <w:spacing w:after="0" w:line="240" w:lineRule="auto"/>
              <w:jc w:val="center"/>
              <w:rPr>
                <w:rFonts w:eastAsia="Times New Roman"/>
                <w:noProof/>
              </w:rPr>
            </w:pPr>
            <w:r>
              <w:rPr>
                <w:noProof/>
              </w:rPr>
              <w:t>Obiectiv</w:t>
            </w:r>
          </w:p>
        </w:tc>
        <w:tc>
          <w:tcPr>
            <w:tcW w:w="921" w:type="dxa"/>
            <w:shd w:val="clear" w:color="auto" w:fill="BDD7EE"/>
            <w:vAlign w:val="center"/>
            <w:hideMark/>
          </w:tcPr>
          <w:p w14:paraId="1216C1ED" w14:textId="77777777" w:rsidR="00A60DDE" w:rsidRDefault="00095506">
            <w:pPr>
              <w:pStyle w:val="P68B1DB1-Normal95"/>
              <w:spacing w:after="0" w:line="240" w:lineRule="auto"/>
              <w:jc w:val="center"/>
              <w:rPr>
                <w:rFonts w:eastAsia="Times New Roman"/>
                <w:noProof/>
              </w:rPr>
            </w:pPr>
            <w:r>
              <w:rPr>
                <w:noProof/>
              </w:rPr>
              <w:t>Trimestrul</w:t>
            </w:r>
          </w:p>
        </w:tc>
        <w:tc>
          <w:tcPr>
            <w:tcW w:w="922" w:type="dxa"/>
            <w:shd w:val="clear" w:color="auto" w:fill="BDD7EE"/>
            <w:vAlign w:val="center"/>
            <w:hideMark/>
          </w:tcPr>
          <w:p w14:paraId="1216C1EE" w14:textId="77777777" w:rsidR="00A60DDE" w:rsidRDefault="00095506">
            <w:pPr>
              <w:pStyle w:val="P68B1DB1-Normal95"/>
              <w:spacing w:after="0" w:line="240" w:lineRule="auto"/>
              <w:jc w:val="center"/>
              <w:rPr>
                <w:rFonts w:eastAsia="Times New Roman"/>
                <w:noProof/>
              </w:rPr>
            </w:pPr>
            <w:r>
              <w:rPr>
                <w:noProof/>
              </w:rPr>
              <w:t>Anul</w:t>
            </w:r>
          </w:p>
        </w:tc>
        <w:tc>
          <w:tcPr>
            <w:tcW w:w="3685" w:type="dxa"/>
            <w:vMerge/>
            <w:vAlign w:val="center"/>
            <w:hideMark/>
          </w:tcPr>
          <w:p w14:paraId="1216C1EF" w14:textId="77777777" w:rsidR="00A60DDE" w:rsidRDefault="00A60DDE">
            <w:pPr>
              <w:spacing w:after="0" w:line="240" w:lineRule="auto"/>
              <w:rPr>
                <w:rFonts w:ascii="Times New Roman" w:eastAsia="Times New Roman" w:hAnsi="Times New Roman" w:cs="Times New Roman"/>
                <w:b/>
                <w:bCs/>
                <w:noProof/>
                <w:sz w:val="18"/>
                <w:szCs w:val="18"/>
              </w:rPr>
            </w:pPr>
          </w:p>
        </w:tc>
      </w:tr>
      <w:tr w:rsidR="00A60DDE" w14:paraId="1216C1FC" w14:textId="77777777">
        <w:trPr>
          <w:trHeight w:val="945"/>
          <w:jc w:val="center"/>
        </w:trPr>
        <w:tc>
          <w:tcPr>
            <w:tcW w:w="988" w:type="dxa"/>
            <w:shd w:val="clear" w:color="auto" w:fill="C6EFCE"/>
            <w:noWrap/>
          </w:tcPr>
          <w:p w14:paraId="1216C1F1" w14:textId="77777777" w:rsidR="00A60DDE" w:rsidRDefault="00095506">
            <w:pPr>
              <w:pStyle w:val="P68B1DB1-Normal22"/>
              <w:spacing w:after="0" w:line="240" w:lineRule="auto"/>
              <w:jc w:val="center"/>
              <w:rPr>
                <w:rFonts w:eastAsia="Times New Roman"/>
                <w:noProof/>
              </w:rPr>
            </w:pPr>
            <w:r>
              <w:rPr>
                <w:noProof/>
              </w:rPr>
              <w:t>G1G</w:t>
            </w:r>
          </w:p>
        </w:tc>
        <w:tc>
          <w:tcPr>
            <w:tcW w:w="1393" w:type="dxa"/>
            <w:shd w:val="clear" w:color="auto" w:fill="C6EFCE"/>
            <w:noWrap/>
          </w:tcPr>
          <w:p w14:paraId="1216C1F2" w14:textId="371A03ED" w:rsidR="00A60DDE" w:rsidRDefault="00095506">
            <w:pPr>
              <w:pStyle w:val="P68B1DB1-Normal22"/>
              <w:spacing w:after="0" w:line="240" w:lineRule="auto"/>
              <w:rPr>
                <w:rFonts w:eastAsia="Times New Roman"/>
                <w:noProof/>
              </w:rPr>
            </w:pPr>
            <w:r>
              <w:rPr>
                <w:noProof/>
              </w:rPr>
              <w:t xml:space="preserve">G1.1.1 Definirea unui mediu de reglementare favorabil pentru comunitățile energetice </w:t>
            </w:r>
          </w:p>
        </w:tc>
        <w:tc>
          <w:tcPr>
            <w:tcW w:w="1060" w:type="dxa"/>
            <w:shd w:val="clear" w:color="auto" w:fill="C6EFCE"/>
            <w:noWrap/>
          </w:tcPr>
          <w:p w14:paraId="1216C1F3" w14:textId="77777777" w:rsidR="00A60DDE" w:rsidRDefault="00095506">
            <w:pPr>
              <w:pStyle w:val="P68B1DB1-Normal22"/>
              <w:spacing w:after="0" w:line="240" w:lineRule="auto"/>
              <w:jc w:val="center"/>
              <w:rPr>
                <w:rFonts w:eastAsia="Times New Roman"/>
                <w:noProof/>
              </w:rPr>
            </w:pPr>
            <w:r>
              <w:rPr>
                <w:noProof/>
              </w:rPr>
              <w:t>Etapa de referință</w:t>
            </w:r>
          </w:p>
        </w:tc>
        <w:tc>
          <w:tcPr>
            <w:tcW w:w="1888" w:type="dxa"/>
            <w:shd w:val="clear" w:color="auto" w:fill="C6EFCE"/>
            <w:noWrap/>
          </w:tcPr>
          <w:p w14:paraId="1216C1F4" w14:textId="0D7C6E27" w:rsidR="00A60DDE" w:rsidRDefault="00095506">
            <w:pPr>
              <w:pStyle w:val="P68B1DB1-Normal22"/>
              <w:rPr>
                <w:rFonts w:eastAsia="Times New Roman"/>
                <w:noProof/>
              </w:rPr>
            </w:pPr>
            <w:r>
              <w:rPr>
                <w:noProof/>
              </w:rPr>
              <w:t>Analiza barierelor din calea dezvoltării comunităților energetice, a cooperativelor energetice sau a clusterelor energetice</w:t>
            </w:r>
          </w:p>
        </w:tc>
        <w:tc>
          <w:tcPr>
            <w:tcW w:w="1754" w:type="dxa"/>
            <w:shd w:val="clear" w:color="auto" w:fill="C6EFCE"/>
            <w:noWrap/>
          </w:tcPr>
          <w:p w14:paraId="1216C1F5" w14:textId="77777777" w:rsidR="00A60DDE" w:rsidRDefault="00095506">
            <w:pPr>
              <w:pStyle w:val="P68B1DB1-Normal22"/>
              <w:spacing w:after="0" w:line="240" w:lineRule="auto"/>
              <w:rPr>
                <w:rFonts w:eastAsia="Times New Roman"/>
                <w:noProof/>
              </w:rPr>
            </w:pPr>
            <w:r>
              <w:rPr>
                <w:noProof/>
              </w:rPr>
              <w:t xml:space="preserve">Publicarea analizei </w:t>
            </w:r>
          </w:p>
        </w:tc>
        <w:tc>
          <w:tcPr>
            <w:tcW w:w="1027" w:type="dxa"/>
            <w:shd w:val="clear" w:color="auto" w:fill="C6EFCE"/>
            <w:noWrap/>
          </w:tcPr>
          <w:p w14:paraId="1216C1F6"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1F7"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shd w:val="clear" w:color="auto" w:fill="C6EFCE"/>
            <w:noWrap/>
          </w:tcPr>
          <w:p w14:paraId="1216C1F8"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shd w:val="clear" w:color="auto" w:fill="C6EFCE"/>
            <w:noWrap/>
          </w:tcPr>
          <w:p w14:paraId="1216C1F9" w14:textId="77777777" w:rsidR="00A60DDE" w:rsidRDefault="00095506">
            <w:pPr>
              <w:pStyle w:val="P68B1DB1-Normal22"/>
              <w:spacing w:after="0" w:line="240" w:lineRule="auto"/>
              <w:jc w:val="center"/>
              <w:rPr>
                <w:rFonts w:eastAsia="Times New Roman"/>
                <w:noProof/>
              </w:rPr>
            </w:pPr>
            <w:r>
              <w:rPr>
                <w:noProof/>
              </w:rPr>
              <w:t>T3</w:t>
            </w:r>
          </w:p>
        </w:tc>
        <w:tc>
          <w:tcPr>
            <w:tcW w:w="922" w:type="dxa"/>
            <w:shd w:val="clear" w:color="auto" w:fill="C6EFCE"/>
            <w:noWrap/>
          </w:tcPr>
          <w:p w14:paraId="1216C1FA" w14:textId="77777777" w:rsidR="00A60DDE" w:rsidRDefault="00095506">
            <w:pPr>
              <w:pStyle w:val="P68B1DB1-Normal22"/>
              <w:spacing w:after="0" w:line="240" w:lineRule="auto"/>
              <w:jc w:val="center"/>
              <w:rPr>
                <w:rFonts w:eastAsia="Times New Roman"/>
                <w:noProof/>
              </w:rPr>
            </w:pPr>
            <w:r>
              <w:rPr>
                <w:noProof/>
              </w:rPr>
              <w:t>2024</w:t>
            </w:r>
          </w:p>
        </w:tc>
        <w:tc>
          <w:tcPr>
            <w:tcW w:w="3685" w:type="dxa"/>
            <w:shd w:val="clear" w:color="auto" w:fill="C6EFCE"/>
            <w:noWrap/>
          </w:tcPr>
          <w:p w14:paraId="1216C1FB" w14:textId="77777777" w:rsidR="00A60DDE" w:rsidRDefault="00095506">
            <w:pPr>
              <w:pStyle w:val="P68B1DB1-Normal22"/>
              <w:spacing w:after="0" w:line="240" w:lineRule="auto"/>
              <w:rPr>
                <w:rFonts w:eastAsia="Times New Roman"/>
                <w:noProof/>
              </w:rPr>
            </w:pPr>
            <w:r>
              <w:rPr>
                <w:noProof/>
              </w:rPr>
              <w:t>Publicarea unei analize a barierelor juridice, organizaționale și administrative în calea dezvoltării comunităților energetice, a clusterelor energetice sau a cooperativelor energetice. Analiza propune, de asemenea, un set de soluții pentru a aborda aceste bariere.</w:t>
            </w:r>
          </w:p>
        </w:tc>
      </w:tr>
      <w:tr w:rsidR="00A60DDE" w14:paraId="1216C208" w14:textId="77777777">
        <w:trPr>
          <w:trHeight w:val="309"/>
          <w:jc w:val="center"/>
        </w:trPr>
        <w:tc>
          <w:tcPr>
            <w:tcW w:w="988" w:type="dxa"/>
            <w:shd w:val="clear" w:color="auto" w:fill="C6EFCE"/>
            <w:noWrap/>
          </w:tcPr>
          <w:p w14:paraId="1216C1FD" w14:textId="77777777" w:rsidR="00A60DDE" w:rsidRDefault="00095506">
            <w:pPr>
              <w:pStyle w:val="P68B1DB1-Normal22"/>
              <w:spacing w:after="0" w:line="240" w:lineRule="auto"/>
              <w:jc w:val="center"/>
              <w:rPr>
                <w:rFonts w:eastAsia="Times New Roman"/>
                <w:noProof/>
              </w:rPr>
            </w:pPr>
            <w:r>
              <w:rPr>
                <w:noProof/>
              </w:rPr>
              <w:t>G2G</w:t>
            </w:r>
          </w:p>
        </w:tc>
        <w:tc>
          <w:tcPr>
            <w:tcW w:w="1393" w:type="dxa"/>
            <w:shd w:val="clear" w:color="auto" w:fill="C6EFCE"/>
            <w:noWrap/>
          </w:tcPr>
          <w:p w14:paraId="1216C1FE" w14:textId="5B9ECA9A" w:rsidR="00A60DDE" w:rsidRDefault="00095506">
            <w:pPr>
              <w:pStyle w:val="P68B1DB1-Normal22"/>
              <w:spacing w:after="0" w:line="240" w:lineRule="auto"/>
              <w:rPr>
                <w:rFonts w:eastAsia="Times New Roman"/>
                <w:noProof/>
              </w:rPr>
            </w:pPr>
            <w:r>
              <w:rPr>
                <w:noProof/>
              </w:rPr>
              <w:t>G1.1.2 Sprijinirea extinderii comunităților energetice</w:t>
            </w:r>
          </w:p>
        </w:tc>
        <w:tc>
          <w:tcPr>
            <w:tcW w:w="1060" w:type="dxa"/>
            <w:shd w:val="clear" w:color="auto" w:fill="C6EFCE"/>
            <w:noWrap/>
          </w:tcPr>
          <w:p w14:paraId="1216C1FF" w14:textId="77777777" w:rsidR="00A60DDE" w:rsidRDefault="00095506">
            <w:pPr>
              <w:pStyle w:val="P68B1DB1-Normal22"/>
              <w:spacing w:line="240" w:lineRule="auto"/>
              <w:jc w:val="center"/>
              <w:rPr>
                <w:rFonts w:eastAsia="Times New Roman"/>
                <w:noProof/>
              </w:rPr>
            </w:pPr>
            <w:r>
              <w:rPr>
                <w:noProof/>
              </w:rPr>
              <w:t>Etapa de referință</w:t>
            </w:r>
          </w:p>
        </w:tc>
        <w:tc>
          <w:tcPr>
            <w:tcW w:w="1888" w:type="dxa"/>
            <w:shd w:val="clear" w:color="auto" w:fill="C6EFCE"/>
            <w:noWrap/>
          </w:tcPr>
          <w:p w14:paraId="1216C200" w14:textId="77777777" w:rsidR="00A60DDE" w:rsidRDefault="00095506">
            <w:pPr>
              <w:pStyle w:val="P68B1DB1-Normal22"/>
              <w:spacing w:line="240" w:lineRule="auto"/>
              <w:rPr>
                <w:rFonts w:eastAsia="Times New Roman"/>
                <w:noProof/>
              </w:rPr>
            </w:pPr>
            <w:r>
              <w:rPr>
                <w:noProof/>
              </w:rPr>
              <w:t>Cerere de propuneri pentru programul de sprijinire a investițiilor</w:t>
            </w:r>
          </w:p>
        </w:tc>
        <w:tc>
          <w:tcPr>
            <w:tcW w:w="1754" w:type="dxa"/>
            <w:shd w:val="clear" w:color="auto" w:fill="C6EFCE"/>
            <w:noWrap/>
          </w:tcPr>
          <w:p w14:paraId="1216C201" w14:textId="77777777" w:rsidR="00A60DDE" w:rsidRDefault="00095506">
            <w:pPr>
              <w:pStyle w:val="P68B1DB1-Normal22"/>
              <w:spacing w:after="0" w:line="240" w:lineRule="auto"/>
              <w:rPr>
                <w:rFonts w:eastAsia="Times New Roman"/>
                <w:noProof/>
              </w:rPr>
            </w:pPr>
            <w:r>
              <w:rPr>
                <w:noProof/>
              </w:rPr>
              <w:t>Lansarea cererii de propuneri pentru comunitățile de energie interesate să primească sprijin în cadrul componentei de investiții</w:t>
            </w:r>
          </w:p>
        </w:tc>
        <w:tc>
          <w:tcPr>
            <w:tcW w:w="1027" w:type="dxa"/>
            <w:shd w:val="clear" w:color="auto" w:fill="C6EFCE"/>
            <w:noWrap/>
          </w:tcPr>
          <w:p w14:paraId="1216C202" w14:textId="77777777" w:rsidR="00A60DDE" w:rsidRDefault="00A60DDE">
            <w:pPr>
              <w:spacing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03" w14:textId="77777777" w:rsidR="00A60DDE" w:rsidRDefault="00A60DDE">
            <w:pPr>
              <w:spacing w:line="240" w:lineRule="auto"/>
              <w:jc w:val="center"/>
              <w:rPr>
                <w:rFonts w:ascii="Times New Roman" w:eastAsia="Times New Roman" w:hAnsi="Times New Roman" w:cs="Times New Roman"/>
                <w:noProof/>
                <w:sz w:val="18"/>
                <w:szCs w:val="18"/>
              </w:rPr>
            </w:pPr>
          </w:p>
        </w:tc>
        <w:tc>
          <w:tcPr>
            <w:tcW w:w="709" w:type="dxa"/>
            <w:shd w:val="clear" w:color="auto" w:fill="C6EFCE"/>
            <w:noWrap/>
          </w:tcPr>
          <w:p w14:paraId="1216C204" w14:textId="77777777" w:rsidR="00A60DDE" w:rsidRDefault="00A60DDE">
            <w:pPr>
              <w:spacing w:line="240" w:lineRule="auto"/>
              <w:jc w:val="center"/>
              <w:rPr>
                <w:rFonts w:ascii="Times New Roman" w:eastAsia="Times New Roman" w:hAnsi="Times New Roman" w:cs="Times New Roman"/>
                <w:noProof/>
                <w:sz w:val="18"/>
                <w:szCs w:val="18"/>
              </w:rPr>
            </w:pPr>
          </w:p>
        </w:tc>
        <w:tc>
          <w:tcPr>
            <w:tcW w:w="921" w:type="dxa"/>
            <w:shd w:val="clear" w:color="auto" w:fill="C6EFCE"/>
            <w:noWrap/>
          </w:tcPr>
          <w:p w14:paraId="1216C205" w14:textId="77777777" w:rsidR="00A60DDE" w:rsidRDefault="00095506">
            <w:pPr>
              <w:pStyle w:val="P68B1DB1-Normal22"/>
              <w:spacing w:line="240" w:lineRule="auto"/>
              <w:jc w:val="center"/>
              <w:rPr>
                <w:rFonts w:eastAsia="Times New Roman"/>
                <w:noProof/>
              </w:rPr>
            </w:pPr>
            <w:r>
              <w:rPr>
                <w:noProof/>
              </w:rPr>
              <w:t>T4</w:t>
            </w:r>
          </w:p>
        </w:tc>
        <w:tc>
          <w:tcPr>
            <w:tcW w:w="922" w:type="dxa"/>
            <w:shd w:val="clear" w:color="auto" w:fill="C6EFCE"/>
            <w:noWrap/>
          </w:tcPr>
          <w:p w14:paraId="1216C206" w14:textId="77777777" w:rsidR="00A60DDE" w:rsidRDefault="00095506">
            <w:pPr>
              <w:pStyle w:val="P68B1DB1-Normal22"/>
              <w:spacing w:line="240" w:lineRule="auto"/>
              <w:jc w:val="center"/>
              <w:rPr>
                <w:rFonts w:eastAsia="Times New Roman"/>
                <w:noProof/>
              </w:rPr>
            </w:pPr>
            <w:r>
              <w:rPr>
                <w:noProof/>
              </w:rPr>
              <w:t>2023</w:t>
            </w:r>
          </w:p>
        </w:tc>
        <w:tc>
          <w:tcPr>
            <w:tcW w:w="3685" w:type="dxa"/>
            <w:shd w:val="clear" w:color="auto" w:fill="C6EFCE"/>
            <w:noWrap/>
          </w:tcPr>
          <w:p w14:paraId="1216C207" w14:textId="5D0227A5" w:rsidR="00A60DDE" w:rsidRDefault="00095506">
            <w:pPr>
              <w:pStyle w:val="P68B1DB1-Normal22"/>
              <w:spacing w:after="0" w:line="240" w:lineRule="auto"/>
              <w:rPr>
                <w:rFonts w:eastAsia="Times New Roman"/>
                <w:noProof/>
              </w:rPr>
            </w:pPr>
            <w:r>
              <w:rPr>
                <w:noProof/>
              </w:rPr>
              <w:t>Se lansează o cerere de propuneri deschisă, transparentă și competitivă, disponibilă pentru cooperativele energetice, comunitățile energetice și clusterele energetice, cu scopul de a aloca sprijin diferitelor tipuri de beneficiari într-un mod echilibrat.</w:t>
            </w:r>
          </w:p>
        </w:tc>
      </w:tr>
      <w:tr w:rsidR="00A60DDE" w14:paraId="1216C214" w14:textId="77777777">
        <w:trPr>
          <w:trHeight w:val="309"/>
          <w:jc w:val="center"/>
        </w:trPr>
        <w:tc>
          <w:tcPr>
            <w:tcW w:w="988" w:type="dxa"/>
            <w:shd w:val="clear" w:color="auto" w:fill="C6EFCE"/>
            <w:noWrap/>
          </w:tcPr>
          <w:p w14:paraId="1216C209" w14:textId="77777777" w:rsidR="00A60DDE" w:rsidRDefault="00095506">
            <w:pPr>
              <w:pStyle w:val="P68B1DB1-Normal22"/>
              <w:spacing w:after="0" w:line="240" w:lineRule="auto"/>
              <w:jc w:val="center"/>
              <w:rPr>
                <w:rFonts w:eastAsia="Times New Roman"/>
                <w:noProof/>
              </w:rPr>
            </w:pPr>
            <w:r>
              <w:rPr>
                <w:noProof/>
              </w:rPr>
              <w:t>G3G</w:t>
            </w:r>
          </w:p>
        </w:tc>
        <w:tc>
          <w:tcPr>
            <w:tcW w:w="1393" w:type="dxa"/>
            <w:shd w:val="clear" w:color="auto" w:fill="C6EFCE"/>
            <w:noWrap/>
          </w:tcPr>
          <w:p w14:paraId="1216C20A" w14:textId="3133F5A7" w:rsidR="00A60DDE" w:rsidRDefault="00095506">
            <w:pPr>
              <w:pStyle w:val="P68B1DB1-Normal22"/>
              <w:spacing w:after="0" w:line="240" w:lineRule="auto"/>
              <w:rPr>
                <w:rFonts w:eastAsia="Times New Roman"/>
                <w:noProof/>
              </w:rPr>
            </w:pPr>
            <w:r>
              <w:rPr>
                <w:noProof/>
              </w:rPr>
              <w:t>G1.1.2 Sprijinirea extinderii comunităților energetice</w:t>
            </w:r>
          </w:p>
        </w:tc>
        <w:tc>
          <w:tcPr>
            <w:tcW w:w="1060" w:type="dxa"/>
            <w:shd w:val="clear" w:color="auto" w:fill="C6EFCE"/>
            <w:noWrap/>
          </w:tcPr>
          <w:p w14:paraId="1216C20B" w14:textId="77777777" w:rsidR="00A60DDE" w:rsidRDefault="00095506">
            <w:pPr>
              <w:pStyle w:val="P68B1DB1-Normal22"/>
              <w:spacing w:after="0" w:line="240" w:lineRule="auto"/>
              <w:jc w:val="center"/>
              <w:rPr>
                <w:rFonts w:eastAsia="Times New Roman"/>
                <w:noProof/>
              </w:rPr>
            </w:pPr>
            <w:r>
              <w:rPr>
                <w:noProof/>
              </w:rPr>
              <w:t>Țintă</w:t>
            </w:r>
          </w:p>
        </w:tc>
        <w:tc>
          <w:tcPr>
            <w:tcW w:w="1888" w:type="dxa"/>
            <w:shd w:val="clear" w:color="auto" w:fill="C6EFCE"/>
            <w:noWrap/>
          </w:tcPr>
          <w:p w14:paraId="1216C20C" w14:textId="77777777" w:rsidR="00A60DDE" w:rsidRDefault="00095506">
            <w:pPr>
              <w:pStyle w:val="P68B1DB1-Normal22"/>
              <w:spacing w:after="0" w:line="240" w:lineRule="auto"/>
              <w:rPr>
                <w:rFonts w:eastAsia="Times New Roman"/>
                <w:noProof/>
              </w:rPr>
            </w:pPr>
            <w:r>
              <w:rPr>
                <w:noProof/>
              </w:rPr>
              <w:t>Entitățile care beneficiază de sprijin în cadrul componentei de preinvestiții</w:t>
            </w:r>
          </w:p>
        </w:tc>
        <w:tc>
          <w:tcPr>
            <w:tcW w:w="1754" w:type="dxa"/>
            <w:shd w:val="clear" w:color="auto" w:fill="C6EFCE"/>
            <w:noWrap/>
          </w:tcPr>
          <w:p w14:paraId="1216C20D" w14:textId="77777777" w:rsidR="00A60DDE" w:rsidRDefault="00A60DDE">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0E" w14:textId="77777777" w:rsidR="00A60DDE" w:rsidRDefault="00095506">
            <w:pPr>
              <w:pStyle w:val="P68B1DB1-Normal22"/>
              <w:spacing w:after="0" w:line="240" w:lineRule="auto"/>
              <w:jc w:val="center"/>
              <w:rPr>
                <w:rFonts w:eastAsia="Times New Roman"/>
                <w:noProof/>
              </w:rPr>
            </w:pPr>
            <w:r>
              <w:rPr>
                <w:noProof/>
              </w:rPr>
              <w:t>Număr</w:t>
            </w:r>
          </w:p>
        </w:tc>
        <w:tc>
          <w:tcPr>
            <w:tcW w:w="957" w:type="dxa"/>
            <w:shd w:val="clear" w:color="auto" w:fill="C6EFCE"/>
            <w:noWrap/>
          </w:tcPr>
          <w:p w14:paraId="1216C20F" w14:textId="77777777" w:rsidR="00A60DDE" w:rsidRDefault="00095506">
            <w:pPr>
              <w:pStyle w:val="P68B1DB1-Normal22"/>
              <w:spacing w:after="0" w:line="240" w:lineRule="auto"/>
              <w:jc w:val="center"/>
              <w:rPr>
                <w:rFonts w:eastAsia="Times New Roman"/>
                <w:noProof/>
              </w:rPr>
            </w:pPr>
            <w:r>
              <w:rPr>
                <w:noProof/>
              </w:rPr>
              <w:t>0</w:t>
            </w:r>
          </w:p>
        </w:tc>
        <w:tc>
          <w:tcPr>
            <w:tcW w:w="709" w:type="dxa"/>
            <w:shd w:val="clear" w:color="auto" w:fill="C6EFCE"/>
            <w:noWrap/>
          </w:tcPr>
          <w:p w14:paraId="1216C210" w14:textId="77777777" w:rsidR="00A60DDE" w:rsidRDefault="00095506">
            <w:pPr>
              <w:pStyle w:val="P68B1DB1-Normal22"/>
              <w:spacing w:after="0" w:line="240" w:lineRule="auto"/>
              <w:jc w:val="center"/>
              <w:rPr>
                <w:rFonts w:eastAsia="Times New Roman"/>
                <w:noProof/>
              </w:rPr>
            </w:pPr>
            <w:r>
              <w:rPr>
                <w:noProof/>
              </w:rPr>
              <w:t>162</w:t>
            </w:r>
          </w:p>
        </w:tc>
        <w:tc>
          <w:tcPr>
            <w:tcW w:w="921" w:type="dxa"/>
            <w:shd w:val="clear" w:color="auto" w:fill="C6EFCE"/>
            <w:noWrap/>
          </w:tcPr>
          <w:p w14:paraId="1216C211" w14:textId="77777777" w:rsidR="00A60DDE" w:rsidRDefault="00095506">
            <w:pPr>
              <w:pStyle w:val="P68B1DB1-Normal22"/>
              <w:spacing w:after="0" w:line="240" w:lineRule="auto"/>
              <w:jc w:val="center"/>
              <w:rPr>
                <w:rFonts w:eastAsia="Times New Roman"/>
                <w:noProof/>
              </w:rPr>
            </w:pPr>
            <w:r>
              <w:rPr>
                <w:noProof/>
              </w:rPr>
              <w:t>Q1</w:t>
            </w:r>
          </w:p>
        </w:tc>
        <w:tc>
          <w:tcPr>
            <w:tcW w:w="922" w:type="dxa"/>
            <w:shd w:val="clear" w:color="auto" w:fill="C6EFCE"/>
            <w:noWrap/>
          </w:tcPr>
          <w:p w14:paraId="1216C212" w14:textId="77777777" w:rsidR="00A60DDE" w:rsidRDefault="00095506">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13" w14:textId="77777777" w:rsidR="00A60DDE" w:rsidRDefault="00095506">
            <w:pPr>
              <w:pStyle w:val="P68B1DB1-Normal22"/>
              <w:spacing w:after="0" w:line="240" w:lineRule="auto"/>
              <w:rPr>
                <w:rFonts w:eastAsia="Times New Roman"/>
                <w:noProof/>
              </w:rPr>
            </w:pPr>
            <w:r>
              <w:rPr>
                <w:noProof/>
              </w:rPr>
              <w:t>Numărul de acorduri de grant semnate cu beneficiarii în cadrul componentei de preinvestiții.</w:t>
            </w:r>
          </w:p>
        </w:tc>
      </w:tr>
      <w:tr w:rsidR="00A60DDE" w14:paraId="1216C220" w14:textId="77777777">
        <w:trPr>
          <w:trHeight w:val="309"/>
          <w:jc w:val="center"/>
        </w:trPr>
        <w:tc>
          <w:tcPr>
            <w:tcW w:w="988" w:type="dxa"/>
            <w:shd w:val="clear" w:color="auto" w:fill="C6EFCE"/>
            <w:noWrap/>
          </w:tcPr>
          <w:p w14:paraId="1216C215" w14:textId="77777777" w:rsidR="00A60DDE" w:rsidRDefault="00095506">
            <w:pPr>
              <w:pStyle w:val="P68B1DB1-Normal22"/>
              <w:spacing w:after="0" w:line="240" w:lineRule="auto"/>
              <w:jc w:val="center"/>
              <w:rPr>
                <w:rFonts w:eastAsia="Times New Roman"/>
                <w:noProof/>
              </w:rPr>
            </w:pPr>
            <w:r>
              <w:rPr>
                <w:noProof/>
              </w:rPr>
              <w:t>G5G</w:t>
            </w:r>
          </w:p>
        </w:tc>
        <w:tc>
          <w:tcPr>
            <w:tcW w:w="1393" w:type="dxa"/>
            <w:shd w:val="clear" w:color="auto" w:fill="C6EFCE"/>
            <w:noWrap/>
          </w:tcPr>
          <w:p w14:paraId="1216C216" w14:textId="5E5F1A73" w:rsidR="00A60DDE" w:rsidRDefault="00095506">
            <w:pPr>
              <w:pStyle w:val="P68B1DB1-Normal22"/>
              <w:spacing w:after="0" w:line="240" w:lineRule="auto"/>
              <w:rPr>
                <w:rFonts w:eastAsia="Times New Roman"/>
                <w:noProof/>
              </w:rPr>
            </w:pPr>
            <w:r>
              <w:rPr>
                <w:noProof/>
              </w:rPr>
              <w:t>G1.1.2 Sprijinirea extinderii comunităților energetice</w:t>
            </w:r>
          </w:p>
        </w:tc>
        <w:tc>
          <w:tcPr>
            <w:tcW w:w="1060" w:type="dxa"/>
            <w:shd w:val="clear" w:color="auto" w:fill="C6EFCE"/>
            <w:noWrap/>
          </w:tcPr>
          <w:p w14:paraId="1216C217" w14:textId="77777777" w:rsidR="00A60DDE" w:rsidRDefault="00095506">
            <w:pPr>
              <w:pStyle w:val="P68B1DB1-Normal22"/>
              <w:spacing w:after="0" w:line="240" w:lineRule="auto"/>
              <w:jc w:val="center"/>
              <w:rPr>
                <w:rFonts w:eastAsia="Times New Roman"/>
                <w:noProof/>
              </w:rPr>
            </w:pPr>
            <w:r>
              <w:rPr>
                <w:noProof/>
              </w:rPr>
              <w:t>Țintă</w:t>
            </w:r>
          </w:p>
        </w:tc>
        <w:tc>
          <w:tcPr>
            <w:tcW w:w="1888" w:type="dxa"/>
            <w:shd w:val="clear" w:color="auto" w:fill="C6EFCE"/>
            <w:noWrap/>
          </w:tcPr>
          <w:p w14:paraId="1216C218" w14:textId="77777777" w:rsidR="00A60DDE" w:rsidRDefault="00095506">
            <w:pPr>
              <w:pStyle w:val="P68B1DB1-Normal22"/>
              <w:spacing w:after="0" w:line="240" w:lineRule="auto"/>
              <w:rPr>
                <w:rFonts w:eastAsia="Times New Roman"/>
                <w:noProof/>
              </w:rPr>
            </w:pPr>
            <w:r>
              <w:rPr>
                <w:noProof/>
              </w:rPr>
              <w:t>Entitățile care beneficiază de sprijin în cadrul componentei de investiții</w:t>
            </w:r>
          </w:p>
        </w:tc>
        <w:tc>
          <w:tcPr>
            <w:tcW w:w="1754" w:type="dxa"/>
            <w:shd w:val="clear" w:color="auto" w:fill="C6EFCE"/>
            <w:noWrap/>
          </w:tcPr>
          <w:p w14:paraId="1216C219" w14:textId="77777777" w:rsidR="00A60DDE" w:rsidRDefault="00A60DDE">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1A" w14:textId="77777777" w:rsidR="00A60DDE" w:rsidRDefault="00095506">
            <w:pPr>
              <w:pStyle w:val="P68B1DB1-Normal22"/>
              <w:spacing w:after="0" w:line="240" w:lineRule="auto"/>
              <w:jc w:val="center"/>
              <w:rPr>
                <w:rFonts w:eastAsia="Times New Roman"/>
                <w:noProof/>
              </w:rPr>
            </w:pPr>
            <w:r>
              <w:rPr>
                <w:noProof/>
              </w:rPr>
              <w:t>Număr</w:t>
            </w:r>
          </w:p>
        </w:tc>
        <w:tc>
          <w:tcPr>
            <w:tcW w:w="957" w:type="dxa"/>
            <w:shd w:val="clear" w:color="auto" w:fill="C6EFCE"/>
            <w:noWrap/>
          </w:tcPr>
          <w:p w14:paraId="1216C21B" w14:textId="77777777" w:rsidR="00A60DDE" w:rsidRDefault="00095506">
            <w:pPr>
              <w:pStyle w:val="P68B1DB1-Normal22"/>
              <w:spacing w:after="0" w:line="240" w:lineRule="auto"/>
              <w:jc w:val="center"/>
              <w:rPr>
                <w:rFonts w:eastAsia="Times New Roman"/>
                <w:noProof/>
              </w:rPr>
            </w:pPr>
            <w:r>
              <w:rPr>
                <w:noProof/>
              </w:rPr>
              <w:t>0</w:t>
            </w:r>
          </w:p>
        </w:tc>
        <w:tc>
          <w:tcPr>
            <w:tcW w:w="709" w:type="dxa"/>
            <w:shd w:val="clear" w:color="auto" w:fill="C6EFCE"/>
            <w:noWrap/>
          </w:tcPr>
          <w:p w14:paraId="1216C21C" w14:textId="77777777" w:rsidR="00A60DDE" w:rsidRDefault="00095506">
            <w:pPr>
              <w:pStyle w:val="P68B1DB1-Normal22"/>
              <w:spacing w:after="0" w:line="240" w:lineRule="auto"/>
              <w:jc w:val="center"/>
              <w:rPr>
                <w:rFonts w:eastAsia="Times New Roman"/>
                <w:noProof/>
              </w:rPr>
            </w:pPr>
            <w:r>
              <w:rPr>
                <w:noProof/>
              </w:rPr>
              <w:t>20</w:t>
            </w:r>
          </w:p>
        </w:tc>
        <w:tc>
          <w:tcPr>
            <w:tcW w:w="921" w:type="dxa"/>
            <w:shd w:val="clear" w:color="auto" w:fill="C6EFCE"/>
            <w:noWrap/>
          </w:tcPr>
          <w:p w14:paraId="1216C21D" w14:textId="77777777" w:rsidR="00A60DDE" w:rsidRDefault="00095506">
            <w:pPr>
              <w:pStyle w:val="P68B1DB1-Normal22"/>
              <w:spacing w:after="0" w:line="240" w:lineRule="auto"/>
              <w:jc w:val="center"/>
              <w:rPr>
                <w:rFonts w:eastAsia="Times New Roman"/>
                <w:noProof/>
              </w:rPr>
            </w:pPr>
            <w:r>
              <w:rPr>
                <w:noProof/>
              </w:rPr>
              <w:t>T4</w:t>
            </w:r>
          </w:p>
        </w:tc>
        <w:tc>
          <w:tcPr>
            <w:tcW w:w="922" w:type="dxa"/>
            <w:shd w:val="clear" w:color="auto" w:fill="C6EFCE"/>
            <w:noWrap/>
          </w:tcPr>
          <w:p w14:paraId="1216C21E" w14:textId="77777777" w:rsidR="00A60DDE" w:rsidRDefault="00095506">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1F" w14:textId="254C1930" w:rsidR="00A60DDE" w:rsidRDefault="00095506">
            <w:pPr>
              <w:pStyle w:val="P68B1DB1-Normal22"/>
              <w:spacing w:after="0" w:line="240" w:lineRule="auto"/>
              <w:rPr>
                <w:rFonts w:eastAsia="Times New Roman"/>
                <w:noProof/>
              </w:rPr>
            </w:pPr>
            <w:r>
              <w:rPr>
                <w:noProof/>
              </w:rPr>
              <w:t>Numărul de acorduri de grant semnate cu beneficiarii în cadrul componentei de investiții.</w:t>
            </w:r>
          </w:p>
        </w:tc>
      </w:tr>
      <w:tr w:rsidR="00A60DDE" w14:paraId="1216C238" w14:textId="77777777">
        <w:trPr>
          <w:trHeight w:val="309"/>
          <w:jc w:val="center"/>
        </w:trPr>
        <w:tc>
          <w:tcPr>
            <w:tcW w:w="988" w:type="dxa"/>
            <w:shd w:val="clear" w:color="auto" w:fill="C6EFCE"/>
            <w:noWrap/>
          </w:tcPr>
          <w:p w14:paraId="1216C22D" w14:textId="77777777" w:rsidR="00A60DDE" w:rsidRDefault="00095506">
            <w:pPr>
              <w:pStyle w:val="P68B1DB1-Normal22"/>
              <w:spacing w:after="0" w:line="240" w:lineRule="auto"/>
              <w:jc w:val="center"/>
              <w:rPr>
                <w:rFonts w:eastAsia="Times New Roman"/>
                <w:noProof/>
              </w:rPr>
            </w:pPr>
            <w:r>
              <w:rPr>
                <w:noProof/>
              </w:rPr>
              <w:t>G6G</w:t>
            </w:r>
          </w:p>
        </w:tc>
        <w:tc>
          <w:tcPr>
            <w:tcW w:w="1393" w:type="dxa"/>
            <w:shd w:val="clear" w:color="auto" w:fill="C6EFCE"/>
            <w:noWrap/>
          </w:tcPr>
          <w:p w14:paraId="1216C22E" w14:textId="77777777" w:rsidR="00A60DDE" w:rsidRDefault="00095506">
            <w:pPr>
              <w:pStyle w:val="P68B1DB1-Normal22"/>
              <w:spacing w:after="0" w:line="240" w:lineRule="auto"/>
              <w:rPr>
                <w:noProof/>
              </w:rPr>
            </w:pPr>
            <w:r>
              <w:rPr>
                <w:noProof/>
              </w:rPr>
              <w:t>G1.1.3 Sisteme de stocare a energiei (sprijin nerambursabil)</w:t>
            </w:r>
          </w:p>
        </w:tc>
        <w:tc>
          <w:tcPr>
            <w:tcW w:w="1060" w:type="dxa"/>
            <w:shd w:val="clear" w:color="auto" w:fill="C6EFCE"/>
            <w:noWrap/>
          </w:tcPr>
          <w:p w14:paraId="1216C22F" w14:textId="77777777" w:rsidR="00A60DDE" w:rsidRDefault="00095506">
            <w:pPr>
              <w:pStyle w:val="P68B1DB1-Normal22"/>
              <w:spacing w:after="0" w:line="240" w:lineRule="auto"/>
              <w:jc w:val="center"/>
              <w:rPr>
                <w:rFonts w:eastAsia="Times New Roman"/>
                <w:noProof/>
              </w:rPr>
            </w:pPr>
            <w:r>
              <w:rPr>
                <w:noProof/>
              </w:rPr>
              <w:t>Etapa de referință</w:t>
            </w:r>
          </w:p>
        </w:tc>
        <w:tc>
          <w:tcPr>
            <w:tcW w:w="1888" w:type="dxa"/>
            <w:shd w:val="clear" w:color="auto" w:fill="C6EFCE"/>
            <w:noWrap/>
          </w:tcPr>
          <w:p w14:paraId="1216C230" w14:textId="77777777" w:rsidR="00A60DDE" w:rsidRDefault="00095506">
            <w:pPr>
              <w:pStyle w:val="P68B1DB1-Normal22"/>
              <w:spacing w:after="0" w:line="240" w:lineRule="auto"/>
              <w:rPr>
                <w:noProof/>
              </w:rPr>
            </w:pPr>
            <w:r>
              <w:rPr>
                <w:noProof/>
              </w:rPr>
              <w:t>Instalarea sistemului (sistemelor) de stocare a energiei bateriei (BESS) și a cablului (cablurilor) de înaltă tensiune</w:t>
            </w:r>
          </w:p>
        </w:tc>
        <w:tc>
          <w:tcPr>
            <w:tcW w:w="1754" w:type="dxa"/>
            <w:shd w:val="clear" w:color="auto" w:fill="C6EFCE"/>
            <w:noWrap/>
          </w:tcPr>
          <w:p w14:paraId="1216C231" w14:textId="77777777" w:rsidR="00A60DDE" w:rsidRDefault="00095506">
            <w:pPr>
              <w:pStyle w:val="P68B1DB1-Normal22"/>
              <w:spacing w:after="0" w:line="240" w:lineRule="auto"/>
              <w:rPr>
                <w:noProof/>
              </w:rPr>
            </w:pPr>
            <w:r>
              <w:rPr>
                <w:noProof/>
              </w:rPr>
              <w:t xml:space="preserve">Protocoale de acceptare pentru instalații </w:t>
            </w:r>
          </w:p>
        </w:tc>
        <w:tc>
          <w:tcPr>
            <w:tcW w:w="1027" w:type="dxa"/>
            <w:shd w:val="clear" w:color="auto" w:fill="C6EFCE"/>
            <w:noWrap/>
          </w:tcPr>
          <w:p w14:paraId="1216C232"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33"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shd w:val="clear" w:color="auto" w:fill="C6EFCE"/>
            <w:noWrap/>
          </w:tcPr>
          <w:p w14:paraId="1216C234"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shd w:val="clear" w:color="auto" w:fill="C6EFCE"/>
            <w:noWrap/>
          </w:tcPr>
          <w:p w14:paraId="1216C235" w14:textId="77777777" w:rsidR="00A60DDE" w:rsidRDefault="00095506">
            <w:pPr>
              <w:pStyle w:val="P68B1DB1-Normal22"/>
              <w:spacing w:after="0" w:line="240" w:lineRule="auto"/>
              <w:jc w:val="center"/>
              <w:rPr>
                <w:rFonts w:eastAsia="Times New Roman"/>
                <w:noProof/>
              </w:rPr>
            </w:pPr>
            <w:r>
              <w:rPr>
                <w:noProof/>
              </w:rPr>
              <w:t>T3</w:t>
            </w:r>
          </w:p>
        </w:tc>
        <w:tc>
          <w:tcPr>
            <w:tcW w:w="922" w:type="dxa"/>
            <w:shd w:val="clear" w:color="auto" w:fill="C6EFCE"/>
            <w:noWrap/>
          </w:tcPr>
          <w:p w14:paraId="1216C236" w14:textId="77777777" w:rsidR="00A60DDE" w:rsidRDefault="00095506">
            <w:pPr>
              <w:pStyle w:val="P68B1DB1-Normal22"/>
              <w:spacing w:after="0" w:line="240" w:lineRule="auto"/>
              <w:jc w:val="center"/>
              <w:rPr>
                <w:rFonts w:eastAsia="Times New Roman"/>
                <w:noProof/>
              </w:rPr>
            </w:pPr>
            <w:r>
              <w:rPr>
                <w:noProof/>
              </w:rPr>
              <w:t>2026</w:t>
            </w:r>
          </w:p>
        </w:tc>
        <w:tc>
          <w:tcPr>
            <w:tcW w:w="3685" w:type="dxa"/>
            <w:shd w:val="clear" w:color="auto" w:fill="C6EFCE"/>
            <w:noWrap/>
          </w:tcPr>
          <w:p w14:paraId="1216C237" w14:textId="736AA328" w:rsidR="00A60DDE" w:rsidRDefault="00095506">
            <w:pPr>
              <w:pStyle w:val="P68B1DB1-Normal22"/>
              <w:spacing w:after="0" w:line="240" w:lineRule="auto"/>
              <w:rPr>
                <w:rFonts w:eastAsia="Times New Roman"/>
                <w:noProof/>
              </w:rPr>
            </w:pPr>
            <w:r>
              <w:rPr>
                <w:noProof/>
              </w:rPr>
              <w:t>Protocoale de acceptare pentru instalarea sistemului (sistemelor) de stocare a energiei pe bază de baterii cu o capacitate combinată de cel puțin 1</w:t>
            </w:r>
            <w:r>
              <w:rPr>
                <w:noProof/>
                <w:color w:val="000000" w:themeColor="text1"/>
              </w:rPr>
              <w:t> </w:t>
            </w:r>
            <w:r>
              <w:rPr>
                <w:noProof/>
              </w:rPr>
              <w:t xml:space="preserve">800 MWh și pentru instalarea cablului (cablurilor) de înaltă tensiune. </w:t>
            </w:r>
          </w:p>
        </w:tc>
      </w:tr>
      <w:tr w:rsidR="00A60DDE" w14:paraId="1216C244" w14:textId="77777777">
        <w:trPr>
          <w:trHeight w:val="309"/>
          <w:jc w:val="center"/>
        </w:trPr>
        <w:tc>
          <w:tcPr>
            <w:tcW w:w="988" w:type="dxa"/>
            <w:shd w:val="clear" w:color="auto" w:fill="C6EFCE"/>
            <w:noWrap/>
          </w:tcPr>
          <w:p w14:paraId="1216C239" w14:textId="77777777" w:rsidR="00A60DDE" w:rsidRDefault="00095506">
            <w:pPr>
              <w:pStyle w:val="P68B1DB1-Normal22"/>
              <w:spacing w:after="0" w:line="240" w:lineRule="auto"/>
              <w:jc w:val="center"/>
              <w:rPr>
                <w:rFonts w:eastAsia="Times New Roman"/>
                <w:noProof/>
              </w:rPr>
            </w:pPr>
            <w:r>
              <w:rPr>
                <w:noProof/>
              </w:rPr>
              <w:t>G7G</w:t>
            </w:r>
          </w:p>
        </w:tc>
        <w:tc>
          <w:tcPr>
            <w:tcW w:w="1393" w:type="dxa"/>
            <w:shd w:val="clear" w:color="auto" w:fill="C6EFCE"/>
            <w:noWrap/>
          </w:tcPr>
          <w:p w14:paraId="1216C23A" w14:textId="77777777" w:rsidR="00A60DDE" w:rsidRDefault="00095506">
            <w:pPr>
              <w:pStyle w:val="P68B1DB1-Normal22"/>
              <w:spacing w:after="0" w:line="240" w:lineRule="auto"/>
              <w:rPr>
                <w:rFonts w:eastAsia="Times New Roman"/>
                <w:noProof/>
              </w:rPr>
            </w:pPr>
            <w:r>
              <w:rPr>
                <w:noProof/>
              </w:rPr>
              <w:t>G1.1.4 Sprijin pentru instituțiile care pun în aplicare reformele și investițiile REPowerEU</w:t>
            </w:r>
          </w:p>
        </w:tc>
        <w:tc>
          <w:tcPr>
            <w:tcW w:w="1060" w:type="dxa"/>
            <w:shd w:val="clear" w:color="auto" w:fill="C6EFCE"/>
            <w:noWrap/>
          </w:tcPr>
          <w:p w14:paraId="1216C23B" w14:textId="77777777" w:rsidR="00A60DDE" w:rsidRDefault="00095506">
            <w:pPr>
              <w:pStyle w:val="P68B1DB1-Normal22"/>
              <w:spacing w:after="0" w:line="240" w:lineRule="auto"/>
              <w:jc w:val="center"/>
              <w:rPr>
                <w:rFonts w:eastAsia="Times New Roman"/>
                <w:noProof/>
              </w:rPr>
            </w:pPr>
            <w:r>
              <w:rPr>
                <w:noProof/>
              </w:rPr>
              <w:t>Țintă</w:t>
            </w:r>
          </w:p>
        </w:tc>
        <w:tc>
          <w:tcPr>
            <w:tcW w:w="1888" w:type="dxa"/>
            <w:shd w:val="clear" w:color="auto" w:fill="C6EFCE"/>
            <w:noWrap/>
          </w:tcPr>
          <w:p w14:paraId="1216C23C" w14:textId="77777777" w:rsidR="00A60DDE" w:rsidRDefault="00095506">
            <w:pPr>
              <w:pStyle w:val="P68B1DB1-Normal22"/>
              <w:spacing w:after="0" w:line="240" w:lineRule="auto"/>
              <w:rPr>
                <w:rFonts w:eastAsia="Times New Roman"/>
                <w:noProof/>
              </w:rPr>
            </w:pPr>
            <w:r>
              <w:rPr>
                <w:noProof/>
              </w:rPr>
              <w:t>Creșterea capacității administrative de punere în aplicare a reformelor și a investițiilor REPowerEU</w:t>
            </w:r>
          </w:p>
        </w:tc>
        <w:tc>
          <w:tcPr>
            <w:tcW w:w="1754" w:type="dxa"/>
            <w:shd w:val="clear" w:color="auto" w:fill="C6EFCE"/>
            <w:noWrap/>
          </w:tcPr>
          <w:p w14:paraId="1216C23D" w14:textId="77777777" w:rsidR="00A60DDE" w:rsidRDefault="00A60DDE">
            <w:pPr>
              <w:spacing w:after="0" w:line="240" w:lineRule="auto"/>
              <w:rPr>
                <w:rFonts w:ascii="Times New Roman" w:hAnsi="Times New Roman" w:cs="Times New Roman"/>
                <w:noProof/>
                <w:sz w:val="18"/>
                <w:szCs w:val="18"/>
              </w:rPr>
            </w:pPr>
          </w:p>
        </w:tc>
        <w:tc>
          <w:tcPr>
            <w:tcW w:w="1027" w:type="dxa"/>
            <w:shd w:val="clear" w:color="auto" w:fill="C6EFCE"/>
            <w:noWrap/>
          </w:tcPr>
          <w:p w14:paraId="1216C23E" w14:textId="77777777" w:rsidR="00A60DDE" w:rsidRDefault="00095506">
            <w:pPr>
              <w:pStyle w:val="P68B1DB1-Normal22"/>
              <w:spacing w:after="0" w:line="240" w:lineRule="auto"/>
              <w:jc w:val="center"/>
              <w:rPr>
                <w:rFonts w:eastAsia="Times New Roman"/>
                <w:noProof/>
              </w:rPr>
            </w:pPr>
            <w:r>
              <w:rPr>
                <w:noProof/>
              </w:rPr>
              <w:t>Număr</w:t>
            </w:r>
          </w:p>
        </w:tc>
        <w:tc>
          <w:tcPr>
            <w:tcW w:w="957" w:type="dxa"/>
            <w:shd w:val="clear" w:color="auto" w:fill="C6EFCE"/>
            <w:noWrap/>
          </w:tcPr>
          <w:p w14:paraId="1216C23F" w14:textId="77777777" w:rsidR="00A60DDE" w:rsidRDefault="00095506">
            <w:pPr>
              <w:pStyle w:val="P68B1DB1-Normal22"/>
              <w:spacing w:after="0" w:line="240" w:lineRule="auto"/>
              <w:jc w:val="center"/>
              <w:rPr>
                <w:rFonts w:eastAsia="Times New Roman"/>
                <w:noProof/>
              </w:rPr>
            </w:pPr>
            <w:r>
              <w:rPr>
                <w:noProof/>
              </w:rPr>
              <w:t>0</w:t>
            </w:r>
          </w:p>
        </w:tc>
        <w:tc>
          <w:tcPr>
            <w:tcW w:w="709" w:type="dxa"/>
            <w:shd w:val="clear" w:color="auto" w:fill="C6EFCE"/>
            <w:noWrap/>
          </w:tcPr>
          <w:p w14:paraId="1216C240" w14:textId="77777777" w:rsidR="00A60DDE" w:rsidRDefault="00095506">
            <w:pPr>
              <w:pStyle w:val="P68B1DB1-Normal22"/>
              <w:spacing w:after="0" w:line="240" w:lineRule="auto"/>
              <w:jc w:val="center"/>
              <w:rPr>
                <w:rFonts w:eastAsia="Times New Roman"/>
                <w:noProof/>
              </w:rPr>
            </w:pPr>
            <w:r>
              <w:rPr>
                <w:noProof/>
              </w:rPr>
              <w:t>106</w:t>
            </w:r>
          </w:p>
        </w:tc>
        <w:tc>
          <w:tcPr>
            <w:tcW w:w="921" w:type="dxa"/>
            <w:shd w:val="clear" w:color="auto" w:fill="C6EFCE"/>
            <w:noWrap/>
          </w:tcPr>
          <w:p w14:paraId="1216C241" w14:textId="77777777" w:rsidR="00A60DDE" w:rsidRDefault="00095506">
            <w:pPr>
              <w:pStyle w:val="P68B1DB1-Normal22"/>
              <w:spacing w:after="0" w:line="240" w:lineRule="auto"/>
              <w:jc w:val="center"/>
              <w:rPr>
                <w:rFonts w:eastAsia="Times New Roman"/>
                <w:noProof/>
              </w:rPr>
            </w:pPr>
            <w:r>
              <w:rPr>
                <w:noProof/>
              </w:rPr>
              <w:t>T4</w:t>
            </w:r>
          </w:p>
        </w:tc>
        <w:tc>
          <w:tcPr>
            <w:tcW w:w="922" w:type="dxa"/>
            <w:shd w:val="clear" w:color="auto" w:fill="C6EFCE"/>
            <w:noWrap/>
          </w:tcPr>
          <w:p w14:paraId="1216C242" w14:textId="77777777" w:rsidR="00A60DDE" w:rsidRDefault="00095506">
            <w:pPr>
              <w:pStyle w:val="P68B1DB1-Normal22"/>
              <w:spacing w:after="0" w:line="240" w:lineRule="auto"/>
              <w:jc w:val="center"/>
              <w:rPr>
                <w:rFonts w:eastAsia="Times New Roman"/>
                <w:noProof/>
              </w:rPr>
            </w:pPr>
            <w:r>
              <w:rPr>
                <w:noProof/>
              </w:rPr>
              <w:t>2024</w:t>
            </w:r>
          </w:p>
        </w:tc>
        <w:tc>
          <w:tcPr>
            <w:tcW w:w="3685" w:type="dxa"/>
            <w:shd w:val="clear" w:color="auto" w:fill="C6EFCE"/>
            <w:noWrap/>
          </w:tcPr>
          <w:p w14:paraId="1216C243" w14:textId="36109843" w:rsidR="00A60DDE" w:rsidRDefault="00095506">
            <w:pPr>
              <w:pStyle w:val="P68B1DB1-Normal22"/>
              <w:spacing w:after="0" w:line="240" w:lineRule="auto"/>
              <w:jc w:val="both"/>
              <w:rPr>
                <w:rFonts w:eastAsia="Times New Roman"/>
                <w:noProof/>
              </w:rPr>
            </w:pPr>
            <w:r>
              <w:rPr>
                <w:noProof/>
                <w:color w:val="000000"/>
              </w:rPr>
              <w:t xml:space="preserve">Cel puțin 106 posturi noi create în administrație, cu sarcini atribuite, inclusiv </w:t>
            </w:r>
            <w:r>
              <w:rPr>
                <w:noProof/>
              </w:rPr>
              <w:t>activități privind reformele și investițiile REPowerEU.</w:t>
            </w:r>
          </w:p>
        </w:tc>
      </w:tr>
      <w:tr w:rsidR="00A60DDE" w14:paraId="1216C250" w14:textId="77777777">
        <w:trPr>
          <w:trHeight w:val="309"/>
          <w:jc w:val="center"/>
        </w:trPr>
        <w:tc>
          <w:tcPr>
            <w:tcW w:w="988" w:type="dxa"/>
            <w:shd w:val="clear" w:color="auto" w:fill="C6EFCE"/>
            <w:noWrap/>
          </w:tcPr>
          <w:p w14:paraId="1216C245" w14:textId="77777777" w:rsidR="00A60DDE" w:rsidRDefault="00095506">
            <w:pPr>
              <w:pStyle w:val="P68B1DB1-Normal22"/>
              <w:spacing w:after="0" w:line="240" w:lineRule="auto"/>
              <w:jc w:val="center"/>
              <w:rPr>
                <w:rFonts w:eastAsia="Times New Roman"/>
                <w:noProof/>
              </w:rPr>
            </w:pPr>
            <w:r>
              <w:rPr>
                <w:noProof/>
              </w:rPr>
              <w:t>G8G</w:t>
            </w:r>
          </w:p>
        </w:tc>
        <w:tc>
          <w:tcPr>
            <w:tcW w:w="1393" w:type="dxa"/>
            <w:shd w:val="clear" w:color="auto" w:fill="C6EFCE"/>
            <w:noWrap/>
          </w:tcPr>
          <w:p w14:paraId="1216C246" w14:textId="77777777" w:rsidR="00A60DDE" w:rsidRDefault="00095506">
            <w:pPr>
              <w:pStyle w:val="P68B1DB1-Normal22"/>
              <w:spacing w:after="0" w:line="240" w:lineRule="auto"/>
              <w:rPr>
                <w:rFonts w:eastAsia="Times New Roman"/>
                <w:noProof/>
              </w:rPr>
            </w:pPr>
            <w:r>
              <w:rPr>
                <w:noProof/>
              </w:rPr>
              <w:t>G1.1.4 Sprijin pentru instituțiile care pun în aplicare reformele și investițiile REPowerEU</w:t>
            </w:r>
          </w:p>
        </w:tc>
        <w:tc>
          <w:tcPr>
            <w:tcW w:w="1060" w:type="dxa"/>
            <w:shd w:val="clear" w:color="auto" w:fill="C6EFCE"/>
            <w:noWrap/>
          </w:tcPr>
          <w:p w14:paraId="1216C247" w14:textId="77777777" w:rsidR="00A60DDE" w:rsidRDefault="00095506">
            <w:pPr>
              <w:pStyle w:val="P68B1DB1-Normal22"/>
              <w:spacing w:after="0" w:line="240" w:lineRule="auto"/>
              <w:jc w:val="center"/>
              <w:rPr>
                <w:rFonts w:eastAsia="Times New Roman"/>
                <w:noProof/>
              </w:rPr>
            </w:pPr>
            <w:r>
              <w:rPr>
                <w:noProof/>
              </w:rPr>
              <w:t>Țintă</w:t>
            </w:r>
          </w:p>
        </w:tc>
        <w:tc>
          <w:tcPr>
            <w:tcW w:w="1888" w:type="dxa"/>
            <w:shd w:val="clear" w:color="auto" w:fill="C6EFCE"/>
            <w:noWrap/>
          </w:tcPr>
          <w:p w14:paraId="1216C248" w14:textId="36B7D75C" w:rsidR="00A60DDE" w:rsidRDefault="00095506">
            <w:pPr>
              <w:pStyle w:val="P68B1DB1-Normal22"/>
              <w:spacing w:after="0" w:line="240" w:lineRule="auto"/>
              <w:rPr>
                <w:rFonts w:eastAsia="Times New Roman"/>
                <w:noProof/>
              </w:rPr>
            </w:pPr>
            <w:r>
              <w:rPr>
                <w:noProof/>
              </w:rPr>
              <w:t>ONG-uri care desfășoară proiecte de consolidare a capacităților</w:t>
            </w:r>
          </w:p>
        </w:tc>
        <w:tc>
          <w:tcPr>
            <w:tcW w:w="1754" w:type="dxa"/>
            <w:shd w:val="clear" w:color="auto" w:fill="C6EFCE"/>
            <w:noWrap/>
          </w:tcPr>
          <w:p w14:paraId="1216C249" w14:textId="77777777" w:rsidR="00A60DDE" w:rsidRDefault="00A60DDE">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4A" w14:textId="77777777" w:rsidR="00A60DDE" w:rsidRDefault="00095506">
            <w:pPr>
              <w:pStyle w:val="P68B1DB1-Normal22"/>
              <w:spacing w:after="0" w:line="240" w:lineRule="auto"/>
              <w:jc w:val="center"/>
              <w:rPr>
                <w:rFonts w:eastAsia="Times New Roman"/>
                <w:noProof/>
              </w:rPr>
            </w:pPr>
            <w:r>
              <w:rPr>
                <w:noProof/>
              </w:rPr>
              <w:t>Număr</w:t>
            </w:r>
          </w:p>
        </w:tc>
        <w:tc>
          <w:tcPr>
            <w:tcW w:w="957" w:type="dxa"/>
            <w:shd w:val="clear" w:color="auto" w:fill="C6EFCE"/>
            <w:noWrap/>
          </w:tcPr>
          <w:p w14:paraId="1216C24B" w14:textId="77777777" w:rsidR="00A60DDE" w:rsidRDefault="00095506">
            <w:pPr>
              <w:pStyle w:val="P68B1DB1-Normal22"/>
              <w:spacing w:after="0" w:line="240" w:lineRule="auto"/>
              <w:jc w:val="center"/>
              <w:rPr>
                <w:rFonts w:eastAsia="Times New Roman"/>
                <w:noProof/>
              </w:rPr>
            </w:pPr>
            <w:r>
              <w:rPr>
                <w:noProof/>
              </w:rPr>
              <w:t>0</w:t>
            </w:r>
          </w:p>
        </w:tc>
        <w:tc>
          <w:tcPr>
            <w:tcW w:w="709" w:type="dxa"/>
            <w:shd w:val="clear" w:color="auto" w:fill="C6EFCE"/>
            <w:noWrap/>
          </w:tcPr>
          <w:p w14:paraId="1216C24C" w14:textId="77777777" w:rsidR="00A60DDE" w:rsidRDefault="00095506">
            <w:pPr>
              <w:pStyle w:val="P68B1DB1-Normal22"/>
              <w:spacing w:after="0" w:line="240" w:lineRule="auto"/>
              <w:jc w:val="center"/>
              <w:rPr>
                <w:rFonts w:eastAsia="Times New Roman"/>
                <w:noProof/>
              </w:rPr>
            </w:pPr>
            <w:r>
              <w:rPr>
                <w:noProof/>
              </w:rPr>
              <w:t>15</w:t>
            </w:r>
          </w:p>
        </w:tc>
        <w:tc>
          <w:tcPr>
            <w:tcW w:w="921" w:type="dxa"/>
            <w:shd w:val="clear" w:color="auto" w:fill="C6EFCE"/>
            <w:noWrap/>
          </w:tcPr>
          <w:p w14:paraId="1216C24D" w14:textId="77777777" w:rsidR="00A60DDE" w:rsidRDefault="00095506">
            <w:pPr>
              <w:pStyle w:val="P68B1DB1-Normal22"/>
              <w:spacing w:after="0" w:line="240" w:lineRule="auto"/>
              <w:jc w:val="center"/>
              <w:rPr>
                <w:rFonts w:eastAsia="Times New Roman"/>
                <w:noProof/>
              </w:rPr>
            </w:pPr>
            <w:r>
              <w:rPr>
                <w:noProof/>
              </w:rPr>
              <w:t>T4</w:t>
            </w:r>
          </w:p>
        </w:tc>
        <w:tc>
          <w:tcPr>
            <w:tcW w:w="922" w:type="dxa"/>
            <w:shd w:val="clear" w:color="auto" w:fill="C6EFCE"/>
            <w:noWrap/>
          </w:tcPr>
          <w:p w14:paraId="1216C24E" w14:textId="77777777" w:rsidR="00A60DDE" w:rsidRDefault="00095506">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4F" w14:textId="7F37609D" w:rsidR="00A60DDE" w:rsidRDefault="00095506">
            <w:pPr>
              <w:pStyle w:val="P68B1DB1-Normal22"/>
              <w:spacing w:after="0" w:line="240" w:lineRule="auto"/>
              <w:rPr>
                <w:rFonts w:eastAsia="Times New Roman"/>
                <w:noProof/>
              </w:rPr>
            </w:pPr>
            <w:r>
              <w:rPr>
                <w:noProof/>
              </w:rPr>
              <w:t>Cel puțin 15 ONG-uri primesc sprijin financiar pentru a desfășura proiecte de consolidare a capacităților care sprijină reformele și investițiile REPowerEU.</w:t>
            </w:r>
          </w:p>
        </w:tc>
      </w:tr>
      <w:tr w:rsidR="00A60DDE" w14:paraId="1216C25C" w14:textId="77777777">
        <w:trPr>
          <w:trHeight w:val="309"/>
          <w:jc w:val="center"/>
        </w:trPr>
        <w:tc>
          <w:tcPr>
            <w:tcW w:w="988" w:type="dxa"/>
            <w:shd w:val="clear" w:color="auto" w:fill="C6EFCE"/>
            <w:noWrap/>
          </w:tcPr>
          <w:p w14:paraId="1216C251" w14:textId="77777777" w:rsidR="00A60DDE" w:rsidRDefault="00095506">
            <w:pPr>
              <w:pStyle w:val="P68B1DB1-Normal22"/>
              <w:spacing w:after="0" w:line="240" w:lineRule="auto"/>
              <w:jc w:val="center"/>
              <w:rPr>
                <w:rFonts w:eastAsia="Times New Roman"/>
                <w:noProof/>
              </w:rPr>
            </w:pPr>
            <w:r>
              <w:rPr>
                <w:noProof/>
              </w:rPr>
              <w:t>G11G</w:t>
            </w:r>
          </w:p>
        </w:tc>
        <w:tc>
          <w:tcPr>
            <w:tcW w:w="1393" w:type="dxa"/>
            <w:shd w:val="clear" w:color="auto" w:fill="C6EFCE"/>
            <w:noWrap/>
          </w:tcPr>
          <w:p w14:paraId="1216C252" w14:textId="77777777" w:rsidR="00A60DDE" w:rsidRDefault="00095506">
            <w:pPr>
              <w:pStyle w:val="P68B1DB1-Normal22"/>
              <w:spacing w:after="0" w:line="240" w:lineRule="auto"/>
              <w:rPr>
                <w:rFonts w:eastAsia="Times New Roman"/>
                <w:noProof/>
              </w:rPr>
            </w:pPr>
            <w:r>
              <w:rPr>
                <w:noProof/>
              </w:rPr>
              <w:t>G1.1.4 Sprijin pentru instituțiile care pun în aplicare reformele și investițiile REPowerEU</w:t>
            </w:r>
          </w:p>
        </w:tc>
        <w:tc>
          <w:tcPr>
            <w:tcW w:w="1060" w:type="dxa"/>
            <w:shd w:val="clear" w:color="auto" w:fill="C6EFCE"/>
            <w:noWrap/>
          </w:tcPr>
          <w:p w14:paraId="1216C253" w14:textId="77777777" w:rsidR="00A60DDE" w:rsidRDefault="00095506">
            <w:pPr>
              <w:pStyle w:val="P68B1DB1-Normal22"/>
              <w:spacing w:after="0" w:line="240" w:lineRule="auto"/>
              <w:jc w:val="center"/>
              <w:rPr>
                <w:rFonts w:eastAsia="Times New Roman"/>
                <w:noProof/>
              </w:rPr>
            </w:pPr>
            <w:r>
              <w:rPr>
                <w:noProof/>
              </w:rPr>
              <w:t>Etapa de referință</w:t>
            </w:r>
          </w:p>
        </w:tc>
        <w:tc>
          <w:tcPr>
            <w:tcW w:w="1888" w:type="dxa"/>
            <w:shd w:val="clear" w:color="auto" w:fill="C6EFCE"/>
            <w:noWrap/>
          </w:tcPr>
          <w:p w14:paraId="1216C254" w14:textId="77777777" w:rsidR="00A60DDE" w:rsidRDefault="00095506">
            <w:pPr>
              <w:pStyle w:val="P68B1DB1-Normal22"/>
              <w:spacing w:after="0" w:line="240" w:lineRule="auto"/>
              <w:rPr>
                <w:rFonts w:eastAsia="Times New Roman"/>
                <w:noProof/>
              </w:rPr>
            </w:pPr>
            <w:r>
              <w:rPr>
                <w:noProof/>
              </w:rPr>
              <w:t>Instrumentul informatic pentru Oficiul de Reglementare în Domeniul Energiei</w:t>
            </w:r>
          </w:p>
        </w:tc>
        <w:tc>
          <w:tcPr>
            <w:tcW w:w="1754" w:type="dxa"/>
            <w:shd w:val="clear" w:color="auto" w:fill="C6EFCE"/>
            <w:noWrap/>
          </w:tcPr>
          <w:p w14:paraId="1216C255" w14:textId="7FB0C049" w:rsidR="00A60DDE" w:rsidRDefault="00095506">
            <w:pPr>
              <w:pStyle w:val="P68B1DB1-Normal22"/>
              <w:spacing w:after="0" w:line="240" w:lineRule="auto"/>
              <w:rPr>
                <w:rFonts w:eastAsia="Times New Roman"/>
                <w:noProof/>
              </w:rPr>
            </w:pPr>
            <w:r>
              <w:rPr>
                <w:noProof/>
              </w:rPr>
              <w:t>Protocol de acceptare care confirmă încheierea unei faze de testare a unui instrument informatic pentru Oficiul de Reglementare în Domeniul Energiei</w:t>
            </w:r>
          </w:p>
        </w:tc>
        <w:tc>
          <w:tcPr>
            <w:tcW w:w="1027" w:type="dxa"/>
            <w:shd w:val="clear" w:color="auto" w:fill="C6EFCE"/>
            <w:noWrap/>
          </w:tcPr>
          <w:p w14:paraId="1216C256"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57"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shd w:val="clear" w:color="auto" w:fill="C6EFCE"/>
            <w:noWrap/>
          </w:tcPr>
          <w:p w14:paraId="1216C258"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shd w:val="clear" w:color="auto" w:fill="C6EFCE"/>
            <w:noWrap/>
          </w:tcPr>
          <w:p w14:paraId="1216C259" w14:textId="77777777" w:rsidR="00A60DDE" w:rsidRDefault="00095506">
            <w:pPr>
              <w:pStyle w:val="P68B1DB1-Normal22"/>
              <w:spacing w:after="0" w:line="240" w:lineRule="auto"/>
              <w:jc w:val="center"/>
              <w:rPr>
                <w:rFonts w:eastAsia="Times New Roman"/>
                <w:noProof/>
              </w:rPr>
            </w:pPr>
            <w:r>
              <w:rPr>
                <w:noProof/>
              </w:rPr>
              <w:t>T2</w:t>
            </w:r>
          </w:p>
        </w:tc>
        <w:tc>
          <w:tcPr>
            <w:tcW w:w="922" w:type="dxa"/>
            <w:shd w:val="clear" w:color="auto" w:fill="C6EFCE"/>
            <w:noWrap/>
          </w:tcPr>
          <w:p w14:paraId="1216C25A" w14:textId="77777777" w:rsidR="00A60DDE" w:rsidRDefault="00095506">
            <w:pPr>
              <w:pStyle w:val="P68B1DB1-Normal22"/>
              <w:spacing w:after="0" w:line="240" w:lineRule="auto"/>
              <w:jc w:val="center"/>
              <w:rPr>
                <w:rFonts w:eastAsia="Times New Roman"/>
                <w:noProof/>
              </w:rPr>
            </w:pPr>
            <w:r>
              <w:rPr>
                <w:noProof/>
              </w:rPr>
              <w:t>2026</w:t>
            </w:r>
          </w:p>
        </w:tc>
        <w:tc>
          <w:tcPr>
            <w:tcW w:w="3685" w:type="dxa"/>
            <w:shd w:val="clear" w:color="auto" w:fill="C6EFCE"/>
            <w:noWrap/>
          </w:tcPr>
          <w:p w14:paraId="1216C25B" w14:textId="7F71C16B" w:rsidR="00A60DDE" w:rsidRDefault="00095506">
            <w:pPr>
              <w:pStyle w:val="P68B1DB1-Normal22"/>
              <w:spacing w:after="0" w:line="240" w:lineRule="auto"/>
              <w:rPr>
                <w:rFonts w:eastAsia="Times New Roman"/>
                <w:noProof/>
              </w:rPr>
            </w:pPr>
            <w:r>
              <w:rPr>
                <w:noProof/>
              </w:rPr>
              <w:t>Încheierea unei faze de testare a unui instrument informatic care sprijină activitățile Oficiului de reglementare în domeniul energiei.</w:t>
            </w:r>
          </w:p>
        </w:tc>
      </w:tr>
    </w:tbl>
    <w:p w14:paraId="1216C25D" w14:textId="77777777" w:rsidR="00A60DDE" w:rsidRDefault="00A60DDE">
      <w:pPr>
        <w:spacing w:before="120" w:after="120" w:line="240" w:lineRule="auto"/>
        <w:jc w:val="both"/>
        <w:rPr>
          <w:rFonts w:ascii="Times New Roman" w:hAnsi="Times New Roman" w:cs="Times New Roman"/>
          <w:b/>
          <w:noProof/>
        </w:rPr>
      </w:pPr>
    </w:p>
    <w:p w14:paraId="1216C25E" w14:textId="77777777" w:rsidR="00A60DDE" w:rsidRDefault="00095506">
      <w:pPr>
        <w:pStyle w:val="P68B1DB1-Normal93"/>
        <w:pageBreakBefore/>
        <w:spacing w:before="120" w:after="120" w:line="240" w:lineRule="auto"/>
        <w:jc w:val="both"/>
        <w:rPr>
          <w:noProof/>
        </w:rPr>
      </w:pPr>
      <w:r>
        <w:rPr>
          <w:noProof/>
        </w:rPr>
        <w:t>Subcomponenta G1.2 – Revizuirea rețelelor de energie electrică pentru a accelera integrarea surselor regenerabile de energie</w:t>
      </w:r>
    </w:p>
    <w:tbl>
      <w:tblPr>
        <w:tblW w:w="15304" w:type="dxa"/>
        <w:jc w:val="center"/>
        <w:tblLayout w:type="fixed"/>
        <w:tblLook w:val="04A0" w:firstRow="1" w:lastRow="0" w:firstColumn="1" w:lastColumn="0" w:noHBand="0" w:noVBand="1"/>
      </w:tblPr>
      <w:tblGrid>
        <w:gridCol w:w="846"/>
        <w:gridCol w:w="1559"/>
        <w:gridCol w:w="992"/>
        <w:gridCol w:w="1985"/>
        <w:gridCol w:w="1701"/>
        <w:gridCol w:w="992"/>
        <w:gridCol w:w="992"/>
        <w:gridCol w:w="709"/>
        <w:gridCol w:w="921"/>
        <w:gridCol w:w="922"/>
        <w:gridCol w:w="3685"/>
      </w:tblGrid>
      <w:tr w:rsidR="00A60DDE" w14:paraId="1216C267" w14:textId="77777777">
        <w:trPr>
          <w:trHeight w:val="752"/>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5F" w14:textId="3121EDC5" w:rsidR="00A60DDE" w:rsidRDefault="005631E2">
            <w:pPr>
              <w:pStyle w:val="P68B1DB1-Normal96"/>
              <w:spacing w:after="0" w:line="240" w:lineRule="auto"/>
              <w:jc w:val="center"/>
              <w:rPr>
                <w:rFonts w:eastAsia="Times New Roman" w:cs="Times New Roman"/>
                <w:noProof/>
                <w:szCs w:val="18"/>
              </w:rPr>
            </w:pPr>
            <w:r>
              <w:rPr>
                <w:noProof/>
              </w:rPr>
              <w:t>Nr. secv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0" w14:textId="77777777" w:rsidR="00A60DDE" w:rsidRDefault="00095506">
            <w:pPr>
              <w:pStyle w:val="P68B1DB1-Normal88"/>
              <w:spacing w:after="0" w:line="240" w:lineRule="auto"/>
              <w:jc w:val="center"/>
              <w:rPr>
                <w:rFonts w:eastAsia="Times New Roman" w:cs="Times New Roman"/>
                <w:noProof/>
              </w:rPr>
            </w:pPr>
            <w:r>
              <w:rPr>
                <w:noProof/>
              </w:rPr>
              <w:t>Măsură conexă (reformă sau investiție)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1" w14:textId="77777777" w:rsidR="00A60DDE" w:rsidRDefault="00095506">
            <w:pPr>
              <w:pStyle w:val="P68B1DB1-Normal88"/>
              <w:spacing w:after="0" w:line="240" w:lineRule="auto"/>
              <w:jc w:val="center"/>
              <w:rPr>
                <w:rFonts w:eastAsia="Times New Roman" w:cs="Times New Roman"/>
                <w:noProof/>
              </w:rPr>
            </w:pPr>
            <w:r>
              <w:rPr>
                <w:noProof/>
              </w:rPr>
              <w:t>Etapa/ținta</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2" w14:textId="77777777" w:rsidR="00A60DDE" w:rsidRDefault="00095506">
            <w:pPr>
              <w:pStyle w:val="P68B1DB1-Normal88"/>
              <w:spacing w:after="0" w:line="240" w:lineRule="auto"/>
              <w:jc w:val="center"/>
              <w:rPr>
                <w:rFonts w:eastAsia="Times New Roman" w:cs="Times New Roman"/>
                <w:noProof/>
              </w:rPr>
            </w:pPr>
            <w:r>
              <w:rPr>
                <w:noProof/>
              </w:rPr>
              <w:t>Denumire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3" w14:textId="7E999B63" w:rsidR="00A60DDE" w:rsidRDefault="00095506">
            <w:pPr>
              <w:pStyle w:val="P68B1DB1-Normal88"/>
              <w:spacing w:after="0" w:line="240" w:lineRule="auto"/>
              <w:jc w:val="center"/>
              <w:rPr>
                <w:rFonts w:eastAsia="Times New Roman" w:cs="Times New Roman"/>
                <w:noProof/>
                <w:szCs w:val="18"/>
              </w:rPr>
            </w:pPr>
            <w:r>
              <w:rPr>
                <w:noProof/>
              </w:rPr>
              <w:t>Indicatori calitativi (pentru obiectivele de etapă)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4" w14:textId="37091D1A" w:rsidR="00A60DDE" w:rsidRDefault="00095506">
            <w:pPr>
              <w:pStyle w:val="P68B1DB1-Normal88"/>
              <w:spacing w:after="0" w:line="240" w:lineRule="auto"/>
              <w:jc w:val="center"/>
              <w:rPr>
                <w:rFonts w:eastAsia="Times New Roman" w:cs="Times New Roman"/>
                <w:noProof/>
                <w:szCs w:val="18"/>
              </w:rPr>
            </w:pPr>
            <w:r>
              <w:rPr>
                <w:noProof/>
              </w:rPr>
              <w:t>Indicatori cantitativi (pentru obiective)</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1216C265" w14:textId="77777777" w:rsidR="00A60DDE" w:rsidRDefault="00095506">
            <w:pPr>
              <w:pStyle w:val="P68B1DB1-Normal88"/>
              <w:spacing w:after="0" w:line="240" w:lineRule="auto"/>
              <w:jc w:val="center"/>
              <w:rPr>
                <w:rFonts w:eastAsia="Times New Roman" w:cs="Times New Roman"/>
                <w:noProof/>
                <w:szCs w:val="18"/>
              </w:rPr>
            </w:pPr>
            <w:r>
              <w:rPr>
                <w:noProof/>
              </w:rPr>
              <w:t>Calendar orientativ pentru finalizare</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6" w14:textId="77777777" w:rsidR="00A60DDE" w:rsidRDefault="00095506">
            <w:pPr>
              <w:pStyle w:val="P68B1DB1-Normal88"/>
              <w:spacing w:after="0" w:line="240" w:lineRule="auto"/>
              <w:jc w:val="center"/>
              <w:rPr>
                <w:rFonts w:eastAsia="Times New Roman" w:cs="Times New Roman"/>
                <w:noProof/>
              </w:rPr>
            </w:pPr>
            <w:r>
              <w:rPr>
                <w:noProof/>
              </w:rPr>
              <w:t>Descrierea fiecărui jalon și a fiecărei ținte</w:t>
            </w:r>
          </w:p>
        </w:tc>
      </w:tr>
      <w:tr w:rsidR="00A60DDE" w14:paraId="1216C273" w14:textId="77777777">
        <w:trPr>
          <w:trHeight w:val="704"/>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1216C268" w14:textId="77777777" w:rsidR="00A60DDE" w:rsidRDefault="00A60DDE">
            <w:pPr>
              <w:spacing w:after="0" w:line="240" w:lineRule="auto"/>
              <w:jc w:val="center"/>
              <w:rPr>
                <w:rFonts w:ascii="Times New Roman" w:eastAsia="Times New Roman" w:hAnsi="Times New Roman" w:cs="Times New Roman"/>
                <w:b/>
                <w:noProof/>
                <w:sz w:val="18"/>
                <w:szCs w:val="18"/>
              </w:rPr>
            </w:pPr>
          </w:p>
        </w:tc>
        <w:tc>
          <w:tcPr>
            <w:tcW w:w="1559" w:type="dxa"/>
            <w:vMerge/>
            <w:tcBorders>
              <w:left w:val="single" w:sz="4" w:space="0" w:color="auto"/>
              <w:right w:val="single" w:sz="4" w:space="0" w:color="auto"/>
            </w:tcBorders>
            <w:vAlign w:val="center"/>
            <w:hideMark/>
          </w:tcPr>
          <w:p w14:paraId="1216C269" w14:textId="77777777" w:rsidR="00A60DDE" w:rsidRDefault="00A60DDE">
            <w:pPr>
              <w:spacing w:after="0" w:line="240" w:lineRule="auto"/>
              <w:rPr>
                <w:rFonts w:ascii="Times New Roman" w:eastAsia="Times New Roman" w:hAnsi="Times New Roman" w:cs="Times New Roman"/>
                <w:b/>
                <w:bCs/>
                <w:noProof/>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16C26A" w14:textId="77777777" w:rsidR="00A60DDE" w:rsidRDefault="00A60DDE">
            <w:pPr>
              <w:spacing w:after="0" w:line="240" w:lineRule="auto"/>
              <w:jc w:val="center"/>
              <w:rPr>
                <w:rFonts w:ascii="Times New Roman" w:eastAsia="Times New Roman" w:hAnsi="Times New Roman" w:cs="Times New Roman"/>
                <w:b/>
                <w:bCs/>
                <w:noProof/>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16C26B" w14:textId="77777777" w:rsidR="00A60DDE" w:rsidRDefault="00A60DDE">
            <w:pPr>
              <w:spacing w:after="0" w:line="240" w:lineRule="auto"/>
              <w:rPr>
                <w:rFonts w:ascii="Times New Roman" w:eastAsia="Times New Roman" w:hAnsi="Times New Roman" w:cs="Times New Roman"/>
                <w:b/>
                <w:bCs/>
                <w:noProof/>
              </w:rPr>
            </w:pPr>
          </w:p>
        </w:tc>
        <w:tc>
          <w:tcPr>
            <w:tcW w:w="1701" w:type="dxa"/>
            <w:vMerge/>
            <w:tcBorders>
              <w:left w:val="single" w:sz="4" w:space="0" w:color="auto"/>
            </w:tcBorders>
            <w:vAlign w:val="center"/>
            <w:hideMark/>
          </w:tcPr>
          <w:p w14:paraId="1216C26C" w14:textId="77777777" w:rsidR="00A60DDE" w:rsidRDefault="00A60DDE">
            <w:pPr>
              <w:spacing w:after="0" w:line="240" w:lineRule="auto"/>
              <w:rPr>
                <w:rFonts w:ascii="Times New Roman" w:eastAsia="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D" w14:textId="77777777" w:rsidR="00A60DDE" w:rsidRDefault="00095506">
            <w:pPr>
              <w:pStyle w:val="P68B1DB1-Normal96"/>
              <w:spacing w:after="0" w:line="240" w:lineRule="auto"/>
              <w:jc w:val="center"/>
              <w:rPr>
                <w:rFonts w:eastAsia="Times New Roman" w:cs="Times New Roman"/>
                <w:noProof/>
                <w:szCs w:val="18"/>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E" w14:textId="77777777" w:rsidR="00A60DDE" w:rsidRDefault="00095506">
            <w:pPr>
              <w:pStyle w:val="P68B1DB1-Normal96"/>
              <w:spacing w:after="0" w:line="240" w:lineRule="auto"/>
              <w:jc w:val="center"/>
              <w:rPr>
                <w:rFonts w:eastAsia="Times New Roman" w:cs="Times New Roman"/>
                <w:noProof/>
                <w:szCs w:val="18"/>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F" w14:textId="77777777" w:rsidR="00A60DDE" w:rsidRDefault="00095506">
            <w:pPr>
              <w:pStyle w:val="P68B1DB1-Normal96"/>
              <w:spacing w:after="0" w:line="240" w:lineRule="auto"/>
              <w:jc w:val="center"/>
              <w:rPr>
                <w:rFonts w:eastAsia="Times New Roman" w:cs="Times New Roman"/>
                <w:noProof/>
                <w:szCs w:val="18"/>
              </w:rPr>
            </w:pPr>
            <w:r>
              <w:rPr>
                <w:noProof/>
              </w:rPr>
              <w:t>Obiectiv</w:t>
            </w:r>
          </w:p>
        </w:tc>
        <w:tc>
          <w:tcPr>
            <w:tcW w:w="92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0" w14:textId="77777777" w:rsidR="00A60DDE" w:rsidRDefault="00095506">
            <w:pPr>
              <w:pStyle w:val="P68B1DB1-Normal96"/>
              <w:spacing w:after="0" w:line="240" w:lineRule="auto"/>
              <w:jc w:val="center"/>
              <w:rPr>
                <w:rFonts w:eastAsia="Times New Roman" w:cs="Times New Roman"/>
                <w:noProof/>
                <w:szCs w:val="18"/>
              </w:rPr>
            </w:pPr>
            <w:r>
              <w:rPr>
                <w:noProof/>
              </w:rPr>
              <w:t>Trimestrul</w:t>
            </w:r>
          </w:p>
        </w:tc>
        <w:tc>
          <w:tcPr>
            <w:tcW w:w="9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1" w14:textId="77777777" w:rsidR="00A60DDE" w:rsidRDefault="00095506">
            <w:pPr>
              <w:pStyle w:val="P68B1DB1-Normal96"/>
              <w:spacing w:after="0" w:line="240" w:lineRule="auto"/>
              <w:jc w:val="center"/>
              <w:rPr>
                <w:rFonts w:eastAsia="Times New Roman" w:cs="Times New Roman"/>
                <w:noProof/>
                <w:szCs w:val="18"/>
              </w:rPr>
            </w:pPr>
            <w:r>
              <w:rPr>
                <w:noProof/>
              </w:rPr>
              <w:t>Anul</w:t>
            </w:r>
          </w:p>
        </w:tc>
        <w:tc>
          <w:tcPr>
            <w:tcW w:w="3685" w:type="dxa"/>
            <w:vMerge/>
            <w:vAlign w:val="center"/>
            <w:hideMark/>
          </w:tcPr>
          <w:p w14:paraId="1216C272" w14:textId="77777777" w:rsidR="00A60DDE" w:rsidRDefault="00A60DDE">
            <w:pPr>
              <w:spacing w:after="0" w:line="240" w:lineRule="auto"/>
              <w:rPr>
                <w:rFonts w:ascii="Times New Roman" w:eastAsia="Times New Roman" w:hAnsi="Times New Roman" w:cs="Times New Roman"/>
                <w:b/>
                <w:bCs/>
                <w:noProof/>
              </w:rPr>
            </w:pPr>
          </w:p>
        </w:tc>
      </w:tr>
      <w:tr w:rsidR="00A60DDE" w14:paraId="1216C27F"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74" w14:textId="77777777" w:rsidR="00A60DDE" w:rsidRDefault="00095506">
            <w:pPr>
              <w:pStyle w:val="P68B1DB1-Normal45"/>
              <w:spacing w:after="0" w:line="240" w:lineRule="auto"/>
              <w:jc w:val="center"/>
              <w:rPr>
                <w:rFonts w:eastAsia="Times New Roman" w:cs="Times New Roman"/>
                <w:noProof/>
              </w:rPr>
            </w:pPr>
            <w:r>
              <w:rPr>
                <w:noProof/>
              </w:rPr>
              <w:t>G12G</w:t>
            </w:r>
          </w:p>
        </w:tc>
        <w:tc>
          <w:tcPr>
            <w:tcW w:w="1559" w:type="dxa"/>
            <w:tcBorders>
              <w:top w:val="single" w:sz="4" w:space="0" w:color="auto"/>
              <w:left w:val="nil"/>
              <w:bottom w:val="single" w:sz="4" w:space="0" w:color="auto"/>
              <w:right w:val="single" w:sz="4" w:space="0" w:color="auto"/>
            </w:tcBorders>
            <w:shd w:val="clear" w:color="auto" w:fill="C6EFCE"/>
            <w:noWrap/>
          </w:tcPr>
          <w:p w14:paraId="1216C275" w14:textId="77777777" w:rsidR="00A60DDE" w:rsidRDefault="00095506">
            <w:pPr>
              <w:pStyle w:val="P68B1DB1-Normal89"/>
              <w:spacing w:after="0" w:line="240" w:lineRule="auto"/>
              <w:rPr>
                <w:rFonts w:eastAsia="Times New Roman" w:cs="Times New Roman"/>
                <w:noProof/>
                <w:szCs w:val="18"/>
              </w:rPr>
            </w:pPr>
            <w:r>
              <w:rPr>
                <w:noProof/>
              </w:rPr>
              <w:t>G1.2.1 Soluții de reglementare pentru integrarea accelerată a surselor regenerabile de energie în rețelele de distribuție</w:t>
            </w:r>
          </w:p>
        </w:tc>
        <w:tc>
          <w:tcPr>
            <w:tcW w:w="992" w:type="dxa"/>
            <w:tcBorders>
              <w:top w:val="single" w:sz="4" w:space="0" w:color="auto"/>
              <w:left w:val="nil"/>
              <w:bottom w:val="single" w:sz="4" w:space="0" w:color="auto"/>
              <w:right w:val="single" w:sz="4" w:space="0" w:color="auto"/>
            </w:tcBorders>
            <w:shd w:val="clear" w:color="auto" w:fill="C6EFCE"/>
            <w:noWrap/>
          </w:tcPr>
          <w:p w14:paraId="1216C276"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77" w14:textId="77777777" w:rsidR="00A60DDE" w:rsidRDefault="00095506">
            <w:pPr>
              <w:pStyle w:val="P68B1DB1-Normal89"/>
              <w:spacing w:after="0" w:line="240" w:lineRule="auto"/>
              <w:rPr>
                <w:rFonts w:eastAsia="Times New Roman" w:cs="Times New Roman"/>
                <w:noProof/>
                <w:szCs w:val="18"/>
              </w:rPr>
            </w:pPr>
            <w:r>
              <w:rPr>
                <w:noProof/>
              </w:rPr>
              <w:t>Publicarea noului model de reglementare privind investițiile prioritare pentru dezvoltarea rețelei</w:t>
            </w:r>
          </w:p>
        </w:tc>
        <w:tc>
          <w:tcPr>
            <w:tcW w:w="1701" w:type="dxa"/>
            <w:tcBorders>
              <w:top w:val="single" w:sz="4" w:space="0" w:color="auto"/>
              <w:left w:val="nil"/>
              <w:bottom w:val="single" w:sz="4" w:space="0" w:color="auto"/>
              <w:right w:val="single" w:sz="4" w:space="0" w:color="auto"/>
            </w:tcBorders>
            <w:shd w:val="clear" w:color="auto" w:fill="C6EFCE"/>
            <w:noWrap/>
          </w:tcPr>
          <w:p w14:paraId="1216C278" w14:textId="77777777" w:rsidR="00A60DDE" w:rsidRDefault="00095506">
            <w:pPr>
              <w:pStyle w:val="P68B1DB1-Normal89"/>
              <w:spacing w:after="0" w:line="240" w:lineRule="auto"/>
              <w:rPr>
                <w:rFonts w:eastAsia="Times New Roman" w:cs="Times New Roman"/>
                <w:noProof/>
                <w:szCs w:val="18"/>
              </w:rPr>
            </w:pPr>
            <w:r>
              <w:rPr>
                <w:noProof/>
              </w:rPr>
              <w:t xml:space="preserve">Cadrul de reglementare a fost publicat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9"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A"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7B"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7C"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7D" w14:textId="77777777" w:rsidR="00A60DDE" w:rsidRDefault="00095506">
            <w:pPr>
              <w:pStyle w:val="P68B1DB1-Normal89"/>
              <w:spacing w:after="0" w:line="240" w:lineRule="auto"/>
              <w:jc w:val="center"/>
              <w:rPr>
                <w:rFonts w:eastAsia="Times New Roman" w:cs="Times New Roman"/>
                <w:noProof/>
                <w:szCs w:val="18"/>
              </w:rPr>
            </w:pPr>
            <w:r>
              <w:rPr>
                <w:noProof/>
              </w:rPr>
              <w:t>2024</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16C27E" w14:textId="77777777" w:rsidR="00A60DDE" w:rsidRDefault="00095506">
            <w:pPr>
              <w:pStyle w:val="P68B1DB1-Normal45"/>
              <w:spacing w:after="0" w:line="240" w:lineRule="auto"/>
              <w:rPr>
                <w:noProof/>
              </w:rPr>
            </w:pPr>
            <w:r>
              <w:rPr>
                <w:noProof/>
              </w:rPr>
              <w:t>Publicarea unui cadru de reglementare care să permită Oficiului de Reglementare în Domeniul Energiei să identifice investițiile prioritare pentru dezvoltarea rețelei și să reflecte investițiile prioritare în tarifele de rețea de distribuție.</w:t>
            </w:r>
          </w:p>
        </w:tc>
      </w:tr>
      <w:tr w:rsidR="00A60DDE" w14:paraId="1216C28B"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0" w14:textId="77777777" w:rsidR="00A60DDE" w:rsidRDefault="00095506">
            <w:pPr>
              <w:pStyle w:val="P68B1DB1-Normal89"/>
              <w:spacing w:after="0" w:line="240" w:lineRule="auto"/>
              <w:jc w:val="center"/>
              <w:rPr>
                <w:rFonts w:eastAsia="Times New Roman" w:cs="Times New Roman"/>
                <w:noProof/>
                <w:szCs w:val="18"/>
              </w:rPr>
            </w:pPr>
            <w:r>
              <w:rPr>
                <w:noProof/>
              </w:rPr>
              <w:t>G13G</w:t>
            </w:r>
          </w:p>
        </w:tc>
        <w:tc>
          <w:tcPr>
            <w:tcW w:w="1559" w:type="dxa"/>
            <w:tcBorders>
              <w:top w:val="single" w:sz="4" w:space="0" w:color="auto"/>
              <w:left w:val="nil"/>
              <w:bottom w:val="single" w:sz="4" w:space="0" w:color="auto"/>
              <w:right w:val="single" w:sz="4" w:space="0" w:color="auto"/>
            </w:tcBorders>
            <w:shd w:val="clear" w:color="auto" w:fill="C6EFCE"/>
            <w:noWrap/>
          </w:tcPr>
          <w:p w14:paraId="1216C281" w14:textId="05A9C9D6" w:rsidR="00A60DDE" w:rsidRDefault="00095506">
            <w:pPr>
              <w:pStyle w:val="P68B1DB1-Normal89"/>
              <w:spacing w:after="0" w:line="240" w:lineRule="auto"/>
              <w:rPr>
                <w:rFonts w:eastAsia="Times New Roman" w:cs="Times New Roman"/>
                <w:noProof/>
                <w:szCs w:val="18"/>
              </w:rPr>
            </w:pPr>
            <w:r>
              <w:rPr>
                <w:noProof/>
              </w:rPr>
              <w:t>G1.2.2 Eliminarea barierelor din calea integrării surselor regenerabile de energie în rețelele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82"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83" w14:textId="77777777" w:rsidR="00A60DDE" w:rsidRDefault="00095506">
            <w:pPr>
              <w:pStyle w:val="P68B1DB1-Normal89"/>
              <w:spacing w:after="0" w:line="240" w:lineRule="auto"/>
              <w:rPr>
                <w:rFonts w:eastAsia="Times New Roman" w:cs="Times New Roman"/>
                <w:noProof/>
                <w:szCs w:val="18"/>
              </w:rPr>
            </w:pPr>
            <w:r>
              <w:rPr>
                <w:noProof/>
              </w:rPr>
              <w:t>Intrarea în vigoare a cadrului juridic care permite punerea în comun a cablurilor</w:t>
            </w:r>
          </w:p>
        </w:tc>
        <w:tc>
          <w:tcPr>
            <w:tcW w:w="1701" w:type="dxa"/>
            <w:tcBorders>
              <w:top w:val="single" w:sz="4" w:space="0" w:color="auto"/>
              <w:left w:val="nil"/>
              <w:bottom w:val="single" w:sz="4" w:space="0" w:color="auto"/>
              <w:right w:val="single" w:sz="4" w:space="0" w:color="auto"/>
            </w:tcBorders>
            <w:shd w:val="clear" w:color="auto" w:fill="C6EFCE"/>
            <w:noWrap/>
          </w:tcPr>
          <w:p w14:paraId="1216C284" w14:textId="77777777" w:rsidR="00A60DDE" w:rsidRDefault="00095506">
            <w:pPr>
              <w:pStyle w:val="P68B1DB1-Normal89"/>
              <w:spacing w:after="0" w:line="240" w:lineRule="auto"/>
              <w:rPr>
                <w:rFonts w:eastAsia="Times New Roman" w:cs="Times New Roman"/>
                <w:noProof/>
                <w:szCs w:val="18"/>
              </w:rPr>
            </w:pPr>
            <w:r>
              <w:rPr>
                <w:noProof/>
              </w:rPr>
              <w:t>Dispoziție din actul de modificare care indică intrarea sa în vigoare</w:t>
            </w:r>
          </w:p>
        </w:tc>
        <w:tc>
          <w:tcPr>
            <w:tcW w:w="992" w:type="dxa"/>
            <w:tcBorders>
              <w:top w:val="single" w:sz="4" w:space="0" w:color="auto"/>
              <w:left w:val="nil"/>
              <w:bottom w:val="single" w:sz="4" w:space="0" w:color="auto"/>
              <w:right w:val="single" w:sz="4" w:space="0" w:color="auto"/>
            </w:tcBorders>
            <w:shd w:val="clear" w:color="auto" w:fill="C6EFCE"/>
            <w:noWrap/>
          </w:tcPr>
          <w:p w14:paraId="1216C285"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86"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87"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88"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89" w14:textId="77777777" w:rsidR="00A60DDE" w:rsidRDefault="00095506">
            <w:pPr>
              <w:pStyle w:val="P68B1DB1-Normal89"/>
              <w:spacing w:after="0" w:line="240" w:lineRule="auto"/>
              <w:jc w:val="center"/>
              <w:rPr>
                <w:rFonts w:eastAsia="Times New Roman" w:cs="Times New Roman"/>
                <w:noProof/>
                <w:szCs w:val="18"/>
              </w:rPr>
            </w:pPr>
            <w:r>
              <w:rPr>
                <w:noProof/>
              </w:rPr>
              <w:t>2023</w:t>
            </w:r>
          </w:p>
        </w:tc>
        <w:tc>
          <w:tcPr>
            <w:tcW w:w="3685" w:type="dxa"/>
            <w:tcBorders>
              <w:top w:val="single" w:sz="4" w:space="0" w:color="auto"/>
              <w:left w:val="nil"/>
              <w:bottom w:val="single" w:sz="4" w:space="0" w:color="auto"/>
              <w:right w:val="single" w:sz="4" w:space="0" w:color="auto"/>
            </w:tcBorders>
            <w:shd w:val="clear" w:color="auto" w:fill="C6EFCE"/>
            <w:noWrap/>
          </w:tcPr>
          <w:p w14:paraId="1216C28A" w14:textId="77777777" w:rsidR="00A60DDE" w:rsidRDefault="00095506">
            <w:pPr>
              <w:spacing w:after="0" w:line="240" w:lineRule="auto"/>
              <w:rPr>
                <w:rFonts w:ascii="Times New Roman" w:eastAsia="Times New Roman" w:hAnsi="Times New Roman" w:cs="Times New Roman"/>
                <w:noProof/>
                <w:sz w:val="18"/>
                <w:szCs w:val="18"/>
              </w:rPr>
            </w:pPr>
            <w:r>
              <w:rPr>
                <w:rFonts w:ascii="Times New Roman" w:hAnsi="Times New Roman"/>
                <w:noProof/>
                <w:sz w:val="18"/>
              </w:rPr>
              <w:t>Amendamente la Legea privind sursele regenerabile de energie și la Legea energiei care permit conectarea mai multor surse regenerabile de energie la rețeaua de energie electrică într-un singur punct de racordare.</w:t>
            </w:r>
            <w:r>
              <w:rPr>
                <w:noProof/>
              </w:rPr>
              <w:t xml:space="preserve"> Noile </w:t>
            </w:r>
            <w:r>
              <w:rPr>
                <w:rFonts w:ascii="Times New Roman" w:hAnsi="Times New Roman"/>
                <w:noProof/>
                <w:sz w:val="18"/>
              </w:rPr>
              <w:t>norme permit producătorilor de energie din surse regenerabile care încheie un acord, în condițiile prevăzute în Legea energiei, să partajeze o conexiune, și anume să utilizeze aceeași capacitate de racordare într-un singur punct de racordare, păstrând în același timp posibilitatea de a încheia contracte de vânzare a energiei produse. În plus, se modifică Legea privind sursele regenerabile de energie. Modificările permit entităților care beneficiază de scheme de sprijin pentru sursele regenerabile de energie să își partajeze capacitatea de racordare cu alte instalații conectate la același punct de racordare, fără a pierde dreptul la sprijin prevăzut în legea respectivă. Dintre instalațiile care au în comun un singur punct de racordare, numai unul poate beneficia de o schemă de sprijin.</w:t>
            </w:r>
          </w:p>
        </w:tc>
      </w:tr>
      <w:tr w:rsidR="00A60DDE" w14:paraId="1216C29B"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C" w14:textId="77777777" w:rsidR="00A60DDE" w:rsidRDefault="00095506">
            <w:pPr>
              <w:pStyle w:val="P68B1DB1-Normal45"/>
              <w:spacing w:after="0" w:line="240" w:lineRule="auto"/>
              <w:jc w:val="center"/>
              <w:rPr>
                <w:rFonts w:eastAsia="Times New Roman" w:cs="Times New Roman"/>
                <w:noProof/>
              </w:rPr>
            </w:pPr>
            <w:r>
              <w:rPr>
                <w:noProof/>
              </w:rPr>
              <w:t>G14G</w:t>
            </w:r>
          </w:p>
        </w:tc>
        <w:tc>
          <w:tcPr>
            <w:tcW w:w="1559" w:type="dxa"/>
            <w:tcBorders>
              <w:top w:val="single" w:sz="4" w:space="0" w:color="auto"/>
              <w:left w:val="nil"/>
              <w:bottom w:val="single" w:sz="4" w:space="0" w:color="auto"/>
              <w:right w:val="single" w:sz="4" w:space="0" w:color="auto"/>
            </w:tcBorders>
            <w:shd w:val="clear" w:color="auto" w:fill="C6EFCE"/>
            <w:noWrap/>
          </w:tcPr>
          <w:p w14:paraId="1216C28D" w14:textId="77777777" w:rsidR="00A60DDE" w:rsidRDefault="00095506">
            <w:pPr>
              <w:pStyle w:val="P68B1DB1-Normal89"/>
              <w:spacing w:after="0" w:line="240" w:lineRule="auto"/>
              <w:rPr>
                <w:rFonts w:eastAsia="Times New Roman" w:cs="Times New Roman"/>
                <w:noProof/>
                <w:szCs w:val="18"/>
              </w:rPr>
            </w:pPr>
            <w:r>
              <w:rPr>
                <w:noProof/>
              </w:rPr>
              <w:t>G1.2.2 Eliminarea barierelor din calea integrării surselor regenerabile de energie în rețelele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8E"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8F" w14:textId="77777777" w:rsidR="00A60DDE" w:rsidRDefault="00095506">
            <w:pPr>
              <w:pStyle w:val="P68B1DB1-Normal45"/>
              <w:spacing w:after="0" w:line="240" w:lineRule="auto"/>
              <w:rPr>
                <w:rFonts w:eastAsia="Times New Roman" w:cs="Times New Roman"/>
                <w:noProof/>
              </w:rPr>
            </w:pPr>
            <w:r>
              <w:rPr>
                <w:noProof/>
              </w:rPr>
              <w:t>Intrarea în vigoare a actului (actelor) juridic(e) privind conexiunile la rețea</w:t>
            </w:r>
          </w:p>
        </w:tc>
        <w:tc>
          <w:tcPr>
            <w:tcW w:w="1701" w:type="dxa"/>
            <w:tcBorders>
              <w:top w:val="single" w:sz="4" w:space="0" w:color="auto"/>
              <w:left w:val="nil"/>
              <w:bottom w:val="single" w:sz="4" w:space="0" w:color="auto"/>
              <w:right w:val="single" w:sz="4" w:space="0" w:color="auto"/>
            </w:tcBorders>
            <w:shd w:val="clear" w:color="auto" w:fill="C6EFCE"/>
            <w:noWrap/>
          </w:tcPr>
          <w:p w14:paraId="1216C290" w14:textId="77777777" w:rsidR="00A60DDE" w:rsidRDefault="00095506">
            <w:pPr>
              <w:pStyle w:val="P68B1DB1-Normal45"/>
              <w:spacing w:after="0" w:line="240" w:lineRule="auto"/>
              <w:rPr>
                <w:rFonts w:eastAsia="Times New Roman" w:cs="Times New Roman"/>
                <w:noProof/>
              </w:rPr>
            </w:pPr>
            <w:r>
              <w:rPr>
                <w:noProof/>
              </w:rPr>
              <w:t>Dispoziții din actul (actele) juridic(e) care indică intrarea lor în vigoare</w:t>
            </w:r>
          </w:p>
        </w:tc>
        <w:tc>
          <w:tcPr>
            <w:tcW w:w="992" w:type="dxa"/>
            <w:tcBorders>
              <w:top w:val="single" w:sz="4" w:space="0" w:color="auto"/>
              <w:left w:val="nil"/>
              <w:bottom w:val="single" w:sz="4" w:space="0" w:color="auto"/>
              <w:right w:val="single" w:sz="4" w:space="0" w:color="auto"/>
            </w:tcBorders>
            <w:shd w:val="clear" w:color="auto" w:fill="C6EFCE"/>
            <w:noWrap/>
          </w:tcPr>
          <w:p w14:paraId="1216C291"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92"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93"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94"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95"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1216C297" w14:textId="4F31EAEA" w:rsidR="00A60DDE" w:rsidRDefault="00095506">
            <w:pPr>
              <w:pStyle w:val="P68B1DB1-Normal89"/>
              <w:spacing w:after="0" w:line="240" w:lineRule="auto"/>
              <w:rPr>
                <w:rFonts w:eastAsia="Times New Roman" w:cs="Times New Roman"/>
                <w:noProof/>
                <w:szCs w:val="18"/>
              </w:rPr>
            </w:pPr>
            <w:r>
              <w:rPr>
                <w:noProof/>
              </w:rPr>
              <w:t xml:space="preserve">Actul (actele) juridic(e) intră în vigoare impunând </w:t>
            </w:r>
            <w:r>
              <w:rPr>
                <w:noProof/>
                <w:szCs w:val="18"/>
              </w:rPr>
              <w:t>operatorilor de transport și distribuție a energiei electrice care deservesc cel puțin o sută de mii de clienți racordați:</w:t>
            </w:r>
          </w:p>
          <w:p w14:paraId="1216C298" w14:textId="77777777" w:rsidR="00A60DDE" w:rsidRDefault="00095506">
            <w:pPr>
              <w:pStyle w:val="P68B1DB1-Normal45"/>
              <w:numPr>
                <w:ilvl w:val="0"/>
                <w:numId w:val="29"/>
              </w:numPr>
              <w:spacing w:after="0" w:line="240" w:lineRule="auto"/>
              <w:ind w:left="169" w:hanging="175"/>
              <w:contextualSpacing/>
              <w:rPr>
                <w:rFonts w:eastAsia="Times New Roman" w:cs="Times New Roman"/>
                <w:noProof/>
              </w:rPr>
            </w:pPr>
            <w:r>
              <w:rPr>
                <w:noProof/>
              </w:rPr>
              <w:t>să stabilească un set uniform de norme, inclusiv cu privire la criteriile și termenele pentru prelucrarea cererilor de conectare;</w:t>
            </w:r>
          </w:p>
          <w:p w14:paraId="1216C299" w14:textId="2086672C" w:rsidR="00A60DDE" w:rsidRDefault="00095506">
            <w:pPr>
              <w:pStyle w:val="P68B1DB1-Normal45"/>
              <w:numPr>
                <w:ilvl w:val="0"/>
                <w:numId w:val="29"/>
              </w:numPr>
              <w:spacing w:after="0" w:line="240" w:lineRule="auto"/>
              <w:ind w:left="169" w:hanging="175"/>
              <w:contextualSpacing/>
              <w:rPr>
                <w:rFonts w:eastAsia="Times New Roman" w:cs="Times New Roman"/>
                <w:noProof/>
              </w:rPr>
            </w:pPr>
            <w:r>
              <w:rPr>
                <w:noProof/>
              </w:rPr>
              <w:t>Să pună la dispoziția publicului următoarele informații: (i) capacitățile disponibile de conectare la rețea; (ii) cererile de conectare respinse, inclusiv motivele respingerii și (iii) setul uniform de norme;</w:t>
            </w:r>
          </w:p>
          <w:p w14:paraId="1216C29A" w14:textId="77777777" w:rsidR="00A60DDE" w:rsidRDefault="00095506">
            <w:pPr>
              <w:pStyle w:val="P68B1DB1-Normal45"/>
              <w:numPr>
                <w:ilvl w:val="0"/>
                <w:numId w:val="29"/>
              </w:numPr>
              <w:spacing w:after="0" w:line="240" w:lineRule="auto"/>
              <w:ind w:left="169" w:hanging="175"/>
              <w:contextualSpacing/>
              <w:rPr>
                <w:rFonts w:eastAsia="Times New Roman" w:cs="Times New Roman"/>
                <w:noProof/>
              </w:rPr>
            </w:pPr>
            <w:r>
              <w:rPr>
                <w:noProof/>
              </w:rPr>
              <w:t>Permite depunerea electronică a cererilor de conectare.</w:t>
            </w:r>
          </w:p>
        </w:tc>
      </w:tr>
      <w:tr w:rsidR="00A60DDE" w14:paraId="1216C2A7"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9C" w14:textId="77777777" w:rsidR="00A60DDE" w:rsidRDefault="00095506">
            <w:pPr>
              <w:pStyle w:val="P68B1DB1-Normal45"/>
              <w:spacing w:after="0" w:line="240" w:lineRule="auto"/>
              <w:jc w:val="center"/>
              <w:rPr>
                <w:rFonts w:eastAsia="Times New Roman" w:cs="Times New Roman"/>
                <w:noProof/>
              </w:rPr>
            </w:pPr>
            <w:r>
              <w:rPr>
                <w:noProof/>
              </w:rPr>
              <w:t>G17G</w:t>
            </w:r>
          </w:p>
        </w:tc>
        <w:tc>
          <w:tcPr>
            <w:tcW w:w="1559" w:type="dxa"/>
            <w:tcBorders>
              <w:top w:val="single" w:sz="4" w:space="0" w:color="auto"/>
              <w:left w:val="nil"/>
              <w:bottom w:val="single" w:sz="4" w:space="0" w:color="auto"/>
              <w:right w:val="single" w:sz="4" w:space="0" w:color="auto"/>
            </w:tcBorders>
            <w:shd w:val="clear" w:color="auto" w:fill="C6EFCE"/>
            <w:noWrap/>
          </w:tcPr>
          <w:p w14:paraId="1216C29D" w14:textId="77777777" w:rsidR="00A60DDE" w:rsidRDefault="00095506">
            <w:pPr>
              <w:pStyle w:val="P68B1DB1-Normal89"/>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9E" w14:textId="267CC296"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9F" w14:textId="6905E7C8" w:rsidR="00A60DDE" w:rsidRDefault="00095506">
            <w:pPr>
              <w:pStyle w:val="P68B1DB1-Normal89"/>
              <w:spacing w:after="0" w:line="240" w:lineRule="auto"/>
              <w:rPr>
                <w:rFonts w:eastAsia="Times New Roman" w:cs="Times New Roman"/>
                <w:noProof/>
                <w:szCs w:val="18"/>
              </w:rPr>
            </w:pPr>
            <w:r>
              <w:rPr>
                <w:noProof/>
              </w:rPr>
              <w:t>Infrastructură de rețea și clădire tehnică</w:t>
            </w:r>
          </w:p>
        </w:tc>
        <w:tc>
          <w:tcPr>
            <w:tcW w:w="1701" w:type="dxa"/>
            <w:tcBorders>
              <w:top w:val="single" w:sz="4" w:space="0" w:color="auto"/>
              <w:left w:val="nil"/>
              <w:bottom w:val="single" w:sz="4" w:space="0" w:color="auto"/>
              <w:right w:val="single" w:sz="4" w:space="0" w:color="auto"/>
            </w:tcBorders>
            <w:shd w:val="clear" w:color="auto" w:fill="C6EFCE"/>
            <w:noWrap/>
          </w:tcPr>
          <w:p w14:paraId="1216C2A0" w14:textId="77777777" w:rsidR="00A60DDE" w:rsidRDefault="00A60DDE">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1" w14:textId="1503D4E2" w:rsidR="00A60DDE" w:rsidRDefault="00A60DDE">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2" w14:textId="43AE6920"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A3" w14:textId="061A8D61"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A4" w14:textId="03836B45" w:rsidR="00A60DDE" w:rsidRDefault="00095506">
            <w:pPr>
              <w:pStyle w:val="P68B1DB1-Normal89"/>
              <w:spacing w:after="0" w:line="240" w:lineRule="auto"/>
              <w:jc w:val="center"/>
              <w:rPr>
                <w:rFonts w:eastAsia="Times New Roman" w:cs="Times New Roman"/>
                <w:noProof/>
                <w:szCs w:val="18"/>
              </w:rPr>
            </w:pPr>
            <w:r>
              <w:rPr>
                <w:noProof/>
              </w:rPr>
              <w:t>T3</w:t>
            </w:r>
          </w:p>
        </w:tc>
        <w:tc>
          <w:tcPr>
            <w:tcW w:w="922" w:type="dxa"/>
            <w:tcBorders>
              <w:top w:val="single" w:sz="4" w:space="0" w:color="auto"/>
              <w:left w:val="nil"/>
              <w:bottom w:val="single" w:sz="4" w:space="0" w:color="auto"/>
              <w:right w:val="single" w:sz="4" w:space="0" w:color="auto"/>
            </w:tcBorders>
            <w:shd w:val="clear" w:color="auto" w:fill="C6EFCE"/>
            <w:noWrap/>
          </w:tcPr>
          <w:p w14:paraId="1216C2A5"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56EB7A9" w14:textId="28CC0154" w:rsidR="00A60DDE" w:rsidRDefault="00095506">
            <w:pPr>
              <w:pStyle w:val="P68B1DB1-Normal45"/>
              <w:spacing w:after="0" w:line="240" w:lineRule="auto"/>
              <w:jc w:val="both"/>
              <w:rPr>
                <w:noProof/>
              </w:rPr>
            </w:pPr>
            <w:r>
              <w:rPr>
                <w:noProof/>
              </w:rPr>
              <w:t>Construirea sau modernizarea a 360 de kilometri de tronsoane ale rețelei de transport al energiei electrice (400 kV).</w:t>
            </w:r>
          </w:p>
          <w:p w14:paraId="6D1FBFEF" w14:textId="77777777" w:rsidR="00A60DDE" w:rsidRDefault="00A60DDE">
            <w:pPr>
              <w:spacing w:after="0" w:line="240" w:lineRule="auto"/>
              <w:rPr>
                <w:rFonts w:ascii="Times New Roman" w:hAnsi="Times New Roman"/>
                <w:noProof/>
                <w:sz w:val="18"/>
                <w:szCs w:val="18"/>
              </w:rPr>
            </w:pPr>
          </w:p>
          <w:p w14:paraId="1F6303D1" w14:textId="3ED0D8F3" w:rsidR="00A60DDE" w:rsidRDefault="00095506">
            <w:pPr>
              <w:pStyle w:val="P68B1DB1-Normal45"/>
              <w:spacing w:after="0" w:line="240" w:lineRule="auto"/>
              <w:jc w:val="both"/>
              <w:rPr>
                <w:noProof/>
              </w:rPr>
            </w:pPr>
            <w:r>
              <w:rPr>
                <w:noProof/>
              </w:rPr>
              <w:t>Autorizație de ocupare eliberată pentru o clădire tehnică care servește drept centru de prelucrare a datelor.</w:t>
            </w:r>
          </w:p>
          <w:p w14:paraId="1216C2A6" w14:textId="6519D413" w:rsidR="00A60DDE" w:rsidRDefault="00A60DDE">
            <w:pPr>
              <w:spacing w:after="0" w:line="240" w:lineRule="auto"/>
              <w:rPr>
                <w:rFonts w:ascii="Times New Roman" w:eastAsia="Times New Roman" w:hAnsi="Times New Roman" w:cs="Times New Roman"/>
                <w:noProof/>
                <w:sz w:val="18"/>
                <w:szCs w:val="18"/>
              </w:rPr>
            </w:pPr>
          </w:p>
        </w:tc>
      </w:tr>
      <w:tr w:rsidR="00A60DDE" w14:paraId="1216C2B3"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A8" w14:textId="77777777" w:rsidR="00A60DDE" w:rsidRDefault="00095506">
            <w:pPr>
              <w:pStyle w:val="P68B1DB1-Normal89"/>
              <w:spacing w:after="0" w:line="240" w:lineRule="auto"/>
              <w:jc w:val="center"/>
              <w:rPr>
                <w:noProof/>
              </w:rPr>
            </w:pPr>
            <w:r>
              <w:rPr>
                <w:noProof/>
              </w:rPr>
              <w:t>G18G</w:t>
            </w:r>
          </w:p>
        </w:tc>
        <w:tc>
          <w:tcPr>
            <w:tcW w:w="1559" w:type="dxa"/>
            <w:tcBorders>
              <w:top w:val="single" w:sz="4" w:space="0" w:color="auto"/>
              <w:left w:val="nil"/>
              <w:bottom w:val="single" w:sz="4" w:space="0" w:color="auto"/>
              <w:right w:val="single" w:sz="4" w:space="0" w:color="auto"/>
            </w:tcBorders>
            <w:shd w:val="clear" w:color="auto" w:fill="C6EFCE"/>
            <w:noWrap/>
          </w:tcPr>
          <w:p w14:paraId="1216C2A9" w14:textId="77777777" w:rsidR="00A60DDE" w:rsidRDefault="00095506">
            <w:pPr>
              <w:pStyle w:val="P68B1DB1-Normal89"/>
              <w:spacing w:after="0" w:line="240" w:lineRule="auto"/>
              <w:rPr>
                <w:noProof/>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AA" w14:textId="77777777" w:rsidR="00A60DDE" w:rsidRDefault="00095506">
            <w:pPr>
              <w:pStyle w:val="P68B1DB1-Normal89"/>
              <w:spacing w:after="0" w:line="240" w:lineRule="auto"/>
              <w:jc w:val="center"/>
              <w:rPr>
                <w:noProof/>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AB" w14:textId="77777777" w:rsidR="00A60DDE" w:rsidRDefault="00095506">
            <w:pPr>
              <w:pStyle w:val="P68B1DB1-Normal89"/>
              <w:spacing w:after="0" w:line="240" w:lineRule="auto"/>
              <w:rPr>
                <w:noProof/>
              </w:rPr>
            </w:pPr>
            <w:r>
              <w:rPr>
                <w:noProof/>
              </w:rPr>
              <w:t>Semnarea acordurilor de grant între operatorul de transport și de sistem (OTS) și autorități privind construirea sau modernizarea tronsoanelor rețelei de transport al energiei electrice</w:t>
            </w:r>
          </w:p>
        </w:tc>
        <w:tc>
          <w:tcPr>
            <w:tcW w:w="1701" w:type="dxa"/>
            <w:tcBorders>
              <w:top w:val="single" w:sz="4" w:space="0" w:color="auto"/>
              <w:left w:val="nil"/>
              <w:bottom w:val="single" w:sz="4" w:space="0" w:color="auto"/>
              <w:right w:val="single" w:sz="4" w:space="0" w:color="auto"/>
            </w:tcBorders>
            <w:shd w:val="clear" w:color="auto" w:fill="C6EFCE"/>
            <w:noWrap/>
          </w:tcPr>
          <w:p w14:paraId="1216C2AC" w14:textId="77777777" w:rsidR="00A60DDE" w:rsidRDefault="00095506">
            <w:pPr>
              <w:pStyle w:val="P68B1DB1-Normal89"/>
              <w:spacing w:after="0" w:line="240" w:lineRule="auto"/>
              <w:rPr>
                <w:rFonts w:eastAsia="Times New Roman" w:cs="Times New Roman"/>
                <w:noProof/>
                <w:szCs w:val="18"/>
              </w:rPr>
            </w:pPr>
            <w:r>
              <w:rPr>
                <w:noProof/>
              </w:rPr>
              <w:t>Acorduri de grant semnate</w:t>
            </w:r>
          </w:p>
        </w:tc>
        <w:tc>
          <w:tcPr>
            <w:tcW w:w="992" w:type="dxa"/>
            <w:tcBorders>
              <w:top w:val="single" w:sz="4" w:space="0" w:color="auto"/>
              <w:left w:val="nil"/>
              <w:bottom w:val="single" w:sz="4" w:space="0" w:color="auto"/>
              <w:right w:val="single" w:sz="4" w:space="0" w:color="auto"/>
            </w:tcBorders>
            <w:shd w:val="clear" w:color="auto" w:fill="C6EFCE"/>
            <w:noWrap/>
          </w:tcPr>
          <w:p w14:paraId="1216C2AD" w14:textId="77777777" w:rsidR="00A60DDE" w:rsidRDefault="00A60DDE">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E" w14:textId="77777777" w:rsidR="00A60DDE" w:rsidRDefault="00A60DDE">
            <w:pPr>
              <w:spacing w:after="0" w:line="240" w:lineRule="auto"/>
              <w:jc w:val="center"/>
              <w:rPr>
                <w:rFonts w:ascii="Times New Roman" w:hAnsi="Times New Roman"/>
                <w:noProof/>
                <w:sz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AF" w14:textId="77777777" w:rsidR="00A60DDE" w:rsidRDefault="00A60DDE">
            <w:pPr>
              <w:spacing w:after="0" w:line="240" w:lineRule="auto"/>
              <w:jc w:val="center"/>
              <w:rPr>
                <w:rFonts w:ascii="Times New Roman" w:hAnsi="Times New Roman"/>
                <w:noProof/>
                <w:sz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B0" w14:textId="77777777" w:rsidR="00A60DDE" w:rsidRDefault="00095506">
            <w:pPr>
              <w:pStyle w:val="P68B1DB1-Normal89"/>
              <w:spacing w:after="0" w:line="240" w:lineRule="auto"/>
              <w:jc w:val="center"/>
              <w:rPr>
                <w:noProof/>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B1" w14:textId="77777777" w:rsidR="00A60DDE" w:rsidRDefault="00095506">
            <w:pPr>
              <w:pStyle w:val="P68B1DB1-Normal89"/>
              <w:spacing w:after="0" w:line="240" w:lineRule="auto"/>
              <w:jc w:val="center"/>
              <w:rPr>
                <w:noProof/>
              </w:rPr>
            </w:pPr>
            <w:r>
              <w:rPr>
                <w:noProof/>
              </w:rPr>
              <w:t>2024</w:t>
            </w:r>
          </w:p>
        </w:tc>
        <w:tc>
          <w:tcPr>
            <w:tcW w:w="3685" w:type="dxa"/>
            <w:tcBorders>
              <w:top w:val="single" w:sz="4" w:space="0" w:color="auto"/>
              <w:left w:val="nil"/>
              <w:bottom w:val="single" w:sz="4" w:space="0" w:color="auto"/>
              <w:right w:val="single" w:sz="4" w:space="0" w:color="auto"/>
            </w:tcBorders>
            <w:shd w:val="clear" w:color="auto" w:fill="C6EFCE"/>
            <w:noWrap/>
          </w:tcPr>
          <w:p w14:paraId="1216C2B2" w14:textId="1A6C9591" w:rsidR="00A60DDE" w:rsidRDefault="00095506">
            <w:pPr>
              <w:pStyle w:val="P68B1DB1-Normal89"/>
              <w:spacing w:after="0" w:line="240" w:lineRule="auto"/>
              <w:rPr>
                <w:rFonts w:eastAsia="Times New Roman" w:cs="Times New Roman"/>
                <w:noProof/>
                <w:szCs w:val="18"/>
              </w:rPr>
            </w:pPr>
            <w:r>
              <w:rPr>
                <w:noProof/>
              </w:rPr>
              <w:t xml:space="preserve">Semnarea acordurilor de grant pentru proiecte privind construirea sau modernizarea tronsoanelor rețelei de transport al energiei electrice, reprezentând 50 km de tronsoane </w:t>
            </w:r>
            <w:r>
              <w:rPr>
                <w:noProof/>
                <w:szCs w:val="18"/>
              </w:rPr>
              <w:t xml:space="preserve">ale rețelei de transport al energiei electrice de 220 kV </w:t>
            </w:r>
            <w:r>
              <w:rPr>
                <w:noProof/>
              </w:rPr>
              <w:t>și 5 (sub)stații</w:t>
            </w:r>
            <w:r>
              <w:rPr>
                <w:noProof/>
                <w:szCs w:val="18"/>
              </w:rPr>
              <w:t xml:space="preserve"> ale rețelei de transport al energiei electrice.</w:t>
            </w:r>
          </w:p>
        </w:tc>
      </w:tr>
      <w:tr w:rsidR="00A60DDE" w14:paraId="1216C2BF"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B4" w14:textId="77777777" w:rsidR="00A60DDE" w:rsidRDefault="00095506">
            <w:pPr>
              <w:pStyle w:val="P68B1DB1-Normal89"/>
              <w:spacing w:after="0" w:line="240" w:lineRule="auto"/>
              <w:jc w:val="center"/>
              <w:rPr>
                <w:rFonts w:eastAsia="Times New Roman" w:cs="Times New Roman"/>
                <w:noProof/>
                <w:szCs w:val="18"/>
              </w:rPr>
            </w:pPr>
            <w:r>
              <w:rPr>
                <w:noProof/>
              </w:rPr>
              <w:t>G19G</w:t>
            </w:r>
          </w:p>
        </w:tc>
        <w:tc>
          <w:tcPr>
            <w:tcW w:w="1559" w:type="dxa"/>
            <w:tcBorders>
              <w:top w:val="single" w:sz="4" w:space="0" w:color="auto"/>
              <w:left w:val="nil"/>
              <w:bottom w:val="single" w:sz="4" w:space="0" w:color="auto"/>
              <w:right w:val="single" w:sz="4" w:space="0" w:color="auto"/>
            </w:tcBorders>
            <w:shd w:val="clear" w:color="auto" w:fill="C6EFCE"/>
            <w:noWrap/>
          </w:tcPr>
          <w:p w14:paraId="1216C2B5" w14:textId="77777777" w:rsidR="00A60DDE" w:rsidRDefault="00095506">
            <w:pPr>
              <w:pStyle w:val="P68B1DB1-Normal89"/>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B6" w14:textId="77777777" w:rsidR="00A60DDE" w:rsidRDefault="00095506">
            <w:pPr>
              <w:pStyle w:val="P68B1DB1-Normal89"/>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noWrap/>
          </w:tcPr>
          <w:p w14:paraId="1216C2B7" w14:textId="67DE447C" w:rsidR="00A60DDE" w:rsidRDefault="00095506">
            <w:pPr>
              <w:pStyle w:val="P68B1DB1-Normal89"/>
              <w:spacing w:after="0" w:line="240" w:lineRule="auto"/>
              <w:rPr>
                <w:rFonts w:eastAsia="Times New Roman" w:cs="Times New Roman"/>
                <w:noProof/>
                <w:szCs w:val="18"/>
              </w:rPr>
            </w:pPr>
            <w:r>
              <w:rPr>
                <w:noProof/>
              </w:rPr>
              <w:t xml:space="preserve">Lungimea rețelei construite, modernizate sau modernizate </w:t>
            </w:r>
            <w:r>
              <w:rPr>
                <w:noProof/>
                <w:szCs w:val="18"/>
              </w:rPr>
              <w:t xml:space="preserve">de transport al energiei electrice </w:t>
            </w:r>
            <w:r>
              <w:rPr>
                <w:noProof/>
              </w:rPr>
              <w:t>(km)</w:t>
            </w:r>
          </w:p>
        </w:tc>
        <w:tc>
          <w:tcPr>
            <w:tcW w:w="1701" w:type="dxa"/>
            <w:tcBorders>
              <w:top w:val="single" w:sz="4" w:space="0" w:color="auto"/>
              <w:left w:val="nil"/>
              <w:bottom w:val="single" w:sz="4" w:space="0" w:color="auto"/>
              <w:right w:val="single" w:sz="4" w:space="0" w:color="auto"/>
            </w:tcBorders>
            <w:shd w:val="clear" w:color="auto" w:fill="C6EFCE"/>
            <w:noWrap/>
          </w:tcPr>
          <w:p w14:paraId="1216C2B8" w14:textId="77777777" w:rsidR="00A60DDE" w:rsidRDefault="00A60DDE">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B9" w14:textId="77777777" w:rsidR="00A60DDE" w:rsidRDefault="00095506">
            <w:pPr>
              <w:pStyle w:val="P68B1DB1-Normal89"/>
              <w:spacing w:after="0" w:line="240" w:lineRule="auto"/>
              <w:jc w:val="center"/>
              <w:rPr>
                <w:rFonts w:eastAsia="Times New Roman" w:cs="Times New Roman"/>
                <w:noProof/>
                <w:szCs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216C2BA" w14:textId="77777777" w:rsidR="00A60DDE" w:rsidRDefault="00095506">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BB" w14:textId="77777777" w:rsidR="00A60DDE" w:rsidRDefault="00095506">
            <w:pPr>
              <w:pStyle w:val="P68B1DB1-Normal89"/>
              <w:spacing w:after="0" w:line="240" w:lineRule="auto"/>
              <w:jc w:val="center"/>
              <w:rPr>
                <w:rFonts w:eastAsia="Times New Roman" w:cs="Times New Roman"/>
                <w:noProof/>
                <w:szCs w:val="18"/>
              </w:rPr>
            </w:pPr>
            <w:r>
              <w:rPr>
                <w:noProof/>
              </w:rPr>
              <w:t>50</w:t>
            </w:r>
          </w:p>
        </w:tc>
        <w:tc>
          <w:tcPr>
            <w:tcW w:w="921" w:type="dxa"/>
            <w:tcBorders>
              <w:top w:val="single" w:sz="4" w:space="0" w:color="auto"/>
              <w:left w:val="nil"/>
              <w:bottom w:val="single" w:sz="4" w:space="0" w:color="auto"/>
              <w:right w:val="single" w:sz="4" w:space="0" w:color="auto"/>
            </w:tcBorders>
            <w:shd w:val="clear" w:color="auto" w:fill="C6EFCE"/>
            <w:noWrap/>
          </w:tcPr>
          <w:p w14:paraId="1216C2BC" w14:textId="77777777" w:rsidR="00A60DDE" w:rsidRDefault="00095506">
            <w:pPr>
              <w:pStyle w:val="P68B1DB1-Normal89"/>
              <w:spacing w:after="0" w:line="240" w:lineRule="auto"/>
              <w:jc w:val="center"/>
              <w:rPr>
                <w:rFonts w:eastAsia="Times New Roman" w:cs="Times New Roman"/>
                <w:noProof/>
                <w:szCs w:val="18"/>
              </w:rPr>
            </w:pPr>
            <w:r>
              <w:rPr>
                <w:noProof/>
              </w:rPr>
              <w:t>T2</w:t>
            </w:r>
          </w:p>
        </w:tc>
        <w:tc>
          <w:tcPr>
            <w:tcW w:w="922" w:type="dxa"/>
            <w:tcBorders>
              <w:top w:val="single" w:sz="4" w:space="0" w:color="auto"/>
              <w:left w:val="nil"/>
              <w:bottom w:val="single" w:sz="4" w:space="0" w:color="auto"/>
              <w:right w:val="single" w:sz="4" w:space="0" w:color="auto"/>
            </w:tcBorders>
            <w:shd w:val="clear" w:color="auto" w:fill="C6EFCE"/>
            <w:noWrap/>
          </w:tcPr>
          <w:p w14:paraId="1216C2BD"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216C2BE" w14:textId="31E69E32" w:rsidR="00A60DDE" w:rsidRDefault="00095506">
            <w:pPr>
              <w:pStyle w:val="P68B1DB1-Normal45"/>
              <w:spacing w:after="0" w:line="240" w:lineRule="auto"/>
              <w:rPr>
                <w:rFonts w:eastAsia="Times New Roman" w:cs="Times New Roman"/>
                <w:noProof/>
              </w:rPr>
            </w:pPr>
            <w:r>
              <w:rPr>
                <w:noProof/>
              </w:rPr>
              <w:t>Numărul de kilometri de tronsoane construite, modernizate sau modernizate ale rețelei de transport al energiei electrice (220 kV).</w:t>
            </w:r>
          </w:p>
        </w:tc>
      </w:tr>
      <w:tr w:rsidR="00A60DDE" w14:paraId="1216C2CB"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0" w14:textId="77777777" w:rsidR="00A60DDE" w:rsidRDefault="00095506">
            <w:pPr>
              <w:pStyle w:val="P68B1DB1-Normal89"/>
              <w:spacing w:after="0" w:line="240" w:lineRule="auto"/>
              <w:jc w:val="center"/>
              <w:rPr>
                <w:rFonts w:eastAsia="Times New Roman" w:cs="Times New Roman"/>
                <w:noProof/>
                <w:szCs w:val="18"/>
              </w:rPr>
            </w:pPr>
            <w:r>
              <w:rPr>
                <w:noProof/>
              </w:rPr>
              <w:t>G20G</w:t>
            </w:r>
          </w:p>
        </w:tc>
        <w:tc>
          <w:tcPr>
            <w:tcW w:w="1559" w:type="dxa"/>
            <w:tcBorders>
              <w:top w:val="single" w:sz="4" w:space="0" w:color="auto"/>
              <w:left w:val="nil"/>
              <w:bottom w:val="single" w:sz="4" w:space="0" w:color="auto"/>
              <w:right w:val="single" w:sz="4" w:space="0" w:color="auto"/>
            </w:tcBorders>
            <w:shd w:val="clear" w:color="auto" w:fill="C6EFCE"/>
            <w:noWrap/>
          </w:tcPr>
          <w:p w14:paraId="1216C2C1" w14:textId="61A0806C" w:rsidR="00A60DDE" w:rsidRDefault="00095506">
            <w:pPr>
              <w:pStyle w:val="P68B1DB1-Normal89"/>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C2" w14:textId="77777777" w:rsidR="00A60DDE" w:rsidRDefault="00095506">
            <w:pPr>
              <w:pStyle w:val="P68B1DB1-Normal89"/>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noWrap/>
          </w:tcPr>
          <w:p w14:paraId="1216C2C3" w14:textId="77777777" w:rsidR="00A60DDE" w:rsidRDefault="00095506">
            <w:pPr>
              <w:pStyle w:val="P68B1DB1-Normal89"/>
              <w:spacing w:after="0" w:line="240" w:lineRule="auto"/>
              <w:rPr>
                <w:rFonts w:eastAsia="Times New Roman" w:cs="Times New Roman"/>
                <w:noProof/>
                <w:szCs w:val="18"/>
              </w:rPr>
            </w:pPr>
            <w:r>
              <w:rPr>
                <w:noProof/>
              </w:rPr>
              <w:t>(Sub)stații extinse, modernizate sau noi în cadrul rețelei de transport</w:t>
            </w:r>
          </w:p>
        </w:tc>
        <w:tc>
          <w:tcPr>
            <w:tcW w:w="1701" w:type="dxa"/>
            <w:tcBorders>
              <w:top w:val="single" w:sz="4" w:space="0" w:color="auto"/>
              <w:left w:val="nil"/>
              <w:bottom w:val="single" w:sz="4" w:space="0" w:color="auto"/>
              <w:right w:val="single" w:sz="4" w:space="0" w:color="auto"/>
            </w:tcBorders>
            <w:shd w:val="clear" w:color="auto" w:fill="C6EFCE"/>
            <w:noWrap/>
          </w:tcPr>
          <w:p w14:paraId="1216C2C4" w14:textId="77777777" w:rsidR="00A60DDE" w:rsidRDefault="00A60DDE">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C5" w14:textId="77777777" w:rsidR="00A60DDE" w:rsidRDefault="00095506">
            <w:pPr>
              <w:pStyle w:val="P68B1DB1-Normal89"/>
              <w:spacing w:after="0" w:line="240" w:lineRule="auto"/>
              <w:jc w:val="center"/>
              <w:rPr>
                <w:rFonts w:eastAsia="Times New Roman" w:cs="Times New Roman"/>
                <w:noProof/>
                <w:szCs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216C2C6" w14:textId="77777777" w:rsidR="00A60DDE" w:rsidRDefault="00095506">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C7" w14:textId="77777777" w:rsidR="00A60DDE" w:rsidRDefault="00095506">
            <w:pPr>
              <w:pStyle w:val="P68B1DB1-Normal89"/>
              <w:spacing w:after="0" w:line="240" w:lineRule="auto"/>
              <w:jc w:val="center"/>
              <w:rPr>
                <w:rFonts w:eastAsia="Times New Roman" w:cs="Times New Roman"/>
                <w:noProof/>
                <w:szCs w:val="18"/>
              </w:rPr>
            </w:pPr>
            <w:r>
              <w:rPr>
                <w:noProof/>
              </w:rPr>
              <w:t>5</w:t>
            </w:r>
          </w:p>
        </w:tc>
        <w:tc>
          <w:tcPr>
            <w:tcW w:w="921" w:type="dxa"/>
            <w:tcBorders>
              <w:top w:val="single" w:sz="4" w:space="0" w:color="auto"/>
              <w:left w:val="nil"/>
              <w:bottom w:val="single" w:sz="4" w:space="0" w:color="auto"/>
              <w:right w:val="single" w:sz="4" w:space="0" w:color="auto"/>
            </w:tcBorders>
            <w:shd w:val="clear" w:color="auto" w:fill="C6EFCE"/>
            <w:noWrap/>
          </w:tcPr>
          <w:p w14:paraId="1216C2C8" w14:textId="77777777" w:rsidR="00A60DDE" w:rsidRDefault="00095506">
            <w:pPr>
              <w:pStyle w:val="P68B1DB1-Normal89"/>
              <w:spacing w:after="0" w:line="240" w:lineRule="auto"/>
              <w:jc w:val="center"/>
              <w:rPr>
                <w:rFonts w:eastAsia="Times New Roman" w:cs="Times New Roman"/>
                <w:noProof/>
                <w:szCs w:val="18"/>
              </w:rPr>
            </w:pPr>
            <w:r>
              <w:rPr>
                <w:noProof/>
              </w:rPr>
              <w:t>T2</w:t>
            </w:r>
          </w:p>
        </w:tc>
        <w:tc>
          <w:tcPr>
            <w:tcW w:w="922" w:type="dxa"/>
            <w:tcBorders>
              <w:top w:val="single" w:sz="4" w:space="0" w:color="auto"/>
              <w:left w:val="nil"/>
              <w:bottom w:val="single" w:sz="4" w:space="0" w:color="auto"/>
              <w:right w:val="single" w:sz="4" w:space="0" w:color="auto"/>
            </w:tcBorders>
            <w:shd w:val="clear" w:color="auto" w:fill="C6EFCE"/>
            <w:noWrap/>
          </w:tcPr>
          <w:p w14:paraId="1216C2C9"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216C2CA" w14:textId="10024F68" w:rsidR="00A60DDE" w:rsidRDefault="00095506">
            <w:pPr>
              <w:pStyle w:val="P68B1DB1-Normal45"/>
              <w:spacing w:after="0" w:line="240" w:lineRule="auto"/>
              <w:rPr>
                <w:rFonts w:eastAsia="Times New Roman" w:cs="Times New Roman"/>
                <w:noProof/>
              </w:rPr>
            </w:pPr>
            <w:r>
              <w:rPr>
                <w:noProof/>
              </w:rPr>
              <w:t>Numărul de (sub)stații extinse, modernizate sau noi ale rețelei de transport al energiei electrice.</w:t>
            </w:r>
          </w:p>
        </w:tc>
      </w:tr>
      <w:tr w:rsidR="00A60DDE" w14:paraId="1216C2D7"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C" w14:textId="7666F315" w:rsidR="00A60DDE" w:rsidRDefault="00095506">
            <w:pPr>
              <w:pStyle w:val="P68B1DB1-Normal45"/>
              <w:spacing w:after="0" w:line="240" w:lineRule="auto"/>
              <w:jc w:val="center"/>
              <w:rPr>
                <w:rFonts w:eastAsia="Times New Roman" w:cs="Times New Roman"/>
                <w:noProof/>
              </w:rPr>
            </w:pPr>
            <w:r>
              <w:rPr>
                <w:noProof/>
              </w:rPr>
              <w:t>G21G</w:t>
            </w:r>
          </w:p>
        </w:tc>
        <w:tc>
          <w:tcPr>
            <w:tcW w:w="1559" w:type="dxa"/>
            <w:tcBorders>
              <w:top w:val="single" w:sz="4" w:space="0" w:color="auto"/>
              <w:left w:val="nil"/>
              <w:bottom w:val="single" w:sz="4" w:space="0" w:color="auto"/>
              <w:right w:val="single" w:sz="4" w:space="0" w:color="auto"/>
            </w:tcBorders>
            <w:shd w:val="clear" w:color="auto" w:fill="C6EFCE"/>
            <w:noWrap/>
          </w:tcPr>
          <w:p w14:paraId="1216C2CD" w14:textId="77777777" w:rsidR="00A60DDE" w:rsidRDefault="00095506">
            <w:pPr>
              <w:pStyle w:val="P68B1DB1-Normal89"/>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CE"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CF" w14:textId="271D89D2" w:rsidR="00A60DDE" w:rsidRDefault="00095506">
            <w:pPr>
              <w:pStyle w:val="P68B1DB1-Normal89"/>
              <w:spacing w:after="0" w:line="240" w:lineRule="auto"/>
              <w:rPr>
                <w:rFonts w:eastAsia="Times New Roman" w:cs="Times New Roman"/>
                <w:noProof/>
                <w:szCs w:val="18"/>
              </w:rPr>
            </w:pPr>
            <w:r>
              <w:rPr>
                <w:noProof/>
                <w:szCs w:val="18"/>
              </w:rPr>
              <w:t>Sistemul central de informare al pieței energiei (CSIRE) și</w:t>
            </w:r>
            <w:r w:rsidR="00A52676">
              <w:rPr>
                <w:noProof/>
                <w:szCs w:val="18"/>
              </w:rPr>
              <w:t xml:space="preserve"> </w:t>
            </w:r>
            <w:r>
              <w:rPr>
                <w:noProof/>
                <w:szCs w:val="18"/>
              </w:rPr>
              <w:t>sistemele de monitorizare a calității</w:t>
            </w:r>
            <w:r>
              <w:rPr>
                <w:noProof/>
              </w:rPr>
              <w:t xml:space="preserve"> energiei electrice</w:t>
            </w:r>
          </w:p>
        </w:tc>
        <w:tc>
          <w:tcPr>
            <w:tcW w:w="1701" w:type="dxa"/>
            <w:tcBorders>
              <w:top w:val="single" w:sz="4" w:space="0" w:color="auto"/>
              <w:left w:val="nil"/>
              <w:bottom w:val="single" w:sz="4" w:space="0" w:color="auto"/>
              <w:right w:val="single" w:sz="4" w:space="0" w:color="auto"/>
            </w:tcBorders>
            <w:shd w:val="clear" w:color="auto" w:fill="C6EFCE"/>
            <w:noWrap/>
          </w:tcPr>
          <w:p w14:paraId="1216C2D0" w14:textId="04678888" w:rsidR="00A60DDE" w:rsidRDefault="00095506">
            <w:pPr>
              <w:pStyle w:val="P68B1DB1-Normal89"/>
              <w:spacing w:after="0" w:line="240" w:lineRule="auto"/>
              <w:rPr>
                <w:rFonts w:eastAsia="Times New Roman" w:cs="Times New Roman"/>
                <w:noProof/>
                <w:szCs w:val="18"/>
              </w:rPr>
            </w:pPr>
            <w:r>
              <w:rPr>
                <w:noProof/>
                <w:szCs w:val="18"/>
              </w:rPr>
              <w:t>Instalarea unui sistem central de informare a pieței energiei (CSIRE) și instalarea unor sisteme de monitorizare a calității energiei electrice la 48 de stații electrice</w:t>
            </w:r>
          </w:p>
        </w:tc>
        <w:tc>
          <w:tcPr>
            <w:tcW w:w="992" w:type="dxa"/>
            <w:tcBorders>
              <w:top w:val="single" w:sz="4" w:space="0" w:color="auto"/>
              <w:left w:val="nil"/>
              <w:bottom w:val="single" w:sz="4" w:space="0" w:color="auto"/>
              <w:right w:val="single" w:sz="4" w:space="0" w:color="auto"/>
            </w:tcBorders>
            <w:shd w:val="clear" w:color="auto" w:fill="C6EFCE"/>
            <w:noWrap/>
          </w:tcPr>
          <w:p w14:paraId="1216C2D1"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2"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D3"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D4" w14:textId="77777777" w:rsidR="00A60DDE" w:rsidRDefault="00095506">
            <w:pPr>
              <w:pStyle w:val="P68B1DB1-Normal89"/>
              <w:spacing w:after="0" w:line="240" w:lineRule="auto"/>
              <w:jc w:val="center"/>
              <w:rPr>
                <w:rFonts w:eastAsia="Times New Roman" w:cs="Times New Roman"/>
                <w:noProof/>
                <w:szCs w:val="18"/>
              </w:rPr>
            </w:pPr>
            <w:r>
              <w:rPr>
                <w:noProof/>
              </w:rPr>
              <w:t>T3</w:t>
            </w:r>
          </w:p>
        </w:tc>
        <w:tc>
          <w:tcPr>
            <w:tcW w:w="922" w:type="dxa"/>
            <w:tcBorders>
              <w:top w:val="single" w:sz="4" w:space="0" w:color="auto"/>
              <w:left w:val="nil"/>
              <w:bottom w:val="single" w:sz="4" w:space="0" w:color="auto"/>
              <w:right w:val="single" w:sz="4" w:space="0" w:color="auto"/>
            </w:tcBorders>
            <w:shd w:val="clear" w:color="auto" w:fill="C6EFCE"/>
            <w:noWrap/>
          </w:tcPr>
          <w:p w14:paraId="1216C2D5"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1216C2D6" w14:textId="3E9A1C38" w:rsidR="00A60DDE" w:rsidRDefault="00095506">
            <w:pPr>
              <w:pStyle w:val="P68B1DB1-Normal45"/>
              <w:spacing w:after="0" w:line="240" w:lineRule="auto"/>
              <w:rPr>
                <w:rFonts w:eastAsia="Times New Roman" w:cs="Times New Roman"/>
                <w:noProof/>
              </w:rPr>
            </w:pPr>
            <w:r>
              <w:rPr>
                <w:noProof/>
              </w:rPr>
              <w:t>Instalarea unui sistem central de informare privind piața energiei (CSIRE) și instalarea unor sisteme de monitorizare a calității energiei electrice la 48 de stații electrice.</w:t>
            </w:r>
          </w:p>
        </w:tc>
      </w:tr>
      <w:tr w:rsidR="00A60DDE" w14:paraId="1216C2E3"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D8" w14:textId="5CA786A7" w:rsidR="00A60DDE" w:rsidRDefault="00095506">
            <w:pPr>
              <w:pStyle w:val="P68B1DB1-Normal89"/>
              <w:spacing w:after="0" w:line="240" w:lineRule="auto"/>
              <w:jc w:val="center"/>
              <w:rPr>
                <w:rFonts w:eastAsia="Times New Roman" w:cs="Times New Roman"/>
                <w:noProof/>
                <w:szCs w:val="18"/>
              </w:rPr>
            </w:pPr>
            <w:r>
              <w:rPr>
                <w:noProof/>
              </w:rPr>
              <w:t>G22G</w:t>
            </w:r>
          </w:p>
        </w:tc>
        <w:tc>
          <w:tcPr>
            <w:tcW w:w="1559" w:type="dxa"/>
            <w:tcBorders>
              <w:top w:val="single" w:sz="4" w:space="0" w:color="auto"/>
              <w:left w:val="nil"/>
              <w:bottom w:val="single" w:sz="4" w:space="0" w:color="auto"/>
              <w:right w:val="single" w:sz="4" w:space="0" w:color="auto"/>
            </w:tcBorders>
            <w:shd w:val="clear" w:color="auto" w:fill="C6EFCE"/>
            <w:noWrap/>
          </w:tcPr>
          <w:p w14:paraId="1216C2D9" w14:textId="77777777" w:rsidR="00A60DDE" w:rsidRDefault="00095506">
            <w:pPr>
              <w:pStyle w:val="P68B1DB1-Normal89"/>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DA" w14:textId="77777777" w:rsidR="00A60DDE" w:rsidRDefault="00095506">
            <w:pPr>
              <w:pStyle w:val="P68B1DB1-Normal89"/>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noWrap/>
          </w:tcPr>
          <w:p w14:paraId="1216C2DB" w14:textId="7D021176" w:rsidR="00A60DDE" w:rsidRDefault="00095506">
            <w:pPr>
              <w:pStyle w:val="P68B1DB1-Normal45"/>
              <w:spacing w:after="0" w:line="240" w:lineRule="auto"/>
              <w:rPr>
                <w:rFonts w:eastAsia="Times New Roman" w:cs="Times New Roman"/>
                <w:noProof/>
              </w:rPr>
            </w:pPr>
            <w:r>
              <w:rPr>
                <w:noProof/>
              </w:rPr>
              <w:t>Sisteme informatice pentru operatorul de transport și de sistem</w:t>
            </w:r>
          </w:p>
        </w:tc>
        <w:tc>
          <w:tcPr>
            <w:tcW w:w="1701" w:type="dxa"/>
            <w:tcBorders>
              <w:top w:val="single" w:sz="4" w:space="0" w:color="auto"/>
              <w:left w:val="nil"/>
              <w:bottom w:val="single" w:sz="4" w:space="0" w:color="auto"/>
              <w:right w:val="single" w:sz="4" w:space="0" w:color="auto"/>
            </w:tcBorders>
            <w:shd w:val="clear" w:color="auto" w:fill="C6EFCE"/>
            <w:noWrap/>
          </w:tcPr>
          <w:p w14:paraId="1216C2DC" w14:textId="77777777" w:rsidR="00A60DDE" w:rsidRDefault="00A60DDE">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D" w14:textId="77777777" w:rsidR="00A60DDE" w:rsidRDefault="00095506">
            <w:pPr>
              <w:pStyle w:val="P68B1DB1-Normal89"/>
              <w:spacing w:after="0" w:line="240" w:lineRule="auto"/>
              <w:jc w:val="center"/>
              <w:rPr>
                <w:rFonts w:eastAsia="Times New Roman" w:cs="Times New Roman"/>
                <w:noProof/>
                <w:szCs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216C2DE" w14:textId="77777777" w:rsidR="00A60DDE" w:rsidRDefault="00095506">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DF" w14:textId="77777777" w:rsidR="00A60DDE" w:rsidRDefault="00095506">
            <w:pPr>
              <w:pStyle w:val="P68B1DB1-Normal89"/>
              <w:spacing w:after="0" w:line="240" w:lineRule="auto"/>
              <w:jc w:val="center"/>
              <w:rPr>
                <w:rFonts w:eastAsia="Times New Roman" w:cs="Times New Roman"/>
                <w:noProof/>
                <w:szCs w:val="18"/>
              </w:rPr>
            </w:pPr>
            <w:r>
              <w:rPr>
                <w:noProof/>
              </w:rPr>
              <w:t>3</w:t>
            </w:r>
          </w:p>
        </w:tc>
        <w:tc>
          <w:tcPr>
            <w:tcW w:w="921" w:type="dxa"/>
            <w:tcBorders>
              <w:top w:val="single" w:sz="4" w:space="0" w:color="auto"/>
              <w:left w:val="nil"/>
              <w:bottom w:val="single" w:sz="4" w:space="0" w:color="auto"/>
              <w:right w:val="single" w:sz="4" w:space="0" w:color="auto"/>
            </w:tcBorders>
            <w:shd w:val="clear" w:color="auto" w:fill="C6EFCE"/>
            <w:noWrap/>
          </w:tcPr>
          <w:p w14:paraId="1216C2E0"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E1"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32869D9A" w14:textId="615DF936" w:rsidR="00A60DDE" w:rsidRDefault="00095506">
            <w:pPr>
              <w:pStyle w:val="P68B1DB1-Normal45"/>
              <w:spacing w:after="0" w:line="240" w:lineRule="auto"/>
              <w:rPr>
                <w:noProof/>
              </w:rPr>
            </w:pPr>
            <w:r>
              <w:rPr>
                <w:noProof/>
              </w:rPr>
              <w:t>Trei sisteme informatice noi, modernizate sau extinse, inclusiv infrastructura tehnică, pentru operatorul de transport și de sistem (OTS), inclusiv:</w:t>
            </w:r>
          </w:p>
          <w:p w14:paraId="4B893741" w14:textId="28D28008" w:rsidR="00A60DDE" w:rsidRDefault="00095506">
            <w:pPr>
              <w:pStyle w:val="P68B1DB1-ListParagraph97"/>
              <w:numPr>
                <w:ilvl w:val="0"/>
                <w:numId w:val="39"/>
              </w:numPr>
              <w:spacing w:after="0" w:line="240" w:lineRule="auto"/>
              <w:ind w:left="173" w:hanging="173"/>
              <w:rPr>
                <w:noProof/>
              </w:rPr>
            </w:pPr>
            <w:r>
              <w:rPr>
                <w:noProof/>
              </w:rPr>
              <w:t>un centru de date;</w:t>
            </w:r>
          </w:p>
          <w:p w14:paraId="4F2F0593" w14:textId="22E1F26B" w:rsidR="00A60DDE" w:rsidRDefault="00095506">
            <w:pPr>
              <w:pStyle w:val="P68B1DB1-ListParagraph97"/>
              <w:numPr>
                <w:ilvl w:val="0"/>
                <w:numId w:val="39"/>
              </w:numPr>
              <w:spacing w:after="0" w:line="240" w:lineRule="auto"/>
              <w:ind w:left="173" w:hanging="173"/>
              <w:rPr>
                <w:noProof/>
              </w:rPr>
            </w:pPr>
            <w:r>
              <w:rPr>
                <w:noProof/>
              </w:rPr>
              <w:t>software pentru piața de echilibrare a energiei electrice;</w:t>
            </w:r>
          </w:p>
          <w:p w14:paraId="1216C2E2" w14:textId="55A2337E" w:rsidR="00A60DDE" w:rsidRDefault="00095506">
            <w:pPr>
              <w:pStyle w:val="P68B1DB1-ListParagraph97"/>
              <w:numPr>
                <w:ilvl w:val="0"/>
                <w:numId w:val="39"/>
              </w:numPr>
              <w:spacing w:after="0" w:line="240" w:lineRule="auto"/>
              <w:ind w:left="173" w:hanging="173"/>
              <w:rPr>
                <w:rFonts w:eastAsia="Times New Roman" w:cs="Times New Roman"/>
                <w:noProof/>
              </w:rPr>
            </w:pPr>
            <w:r>
              <w:rPr>
                <w:noProof/>
              </w:rPr>
              <w:t>modernizarea (sub)sistemelor SCADA și EMS ale sistemului DYSTER.</w:t>
            </w:r>
          </w:p>
        </w:tc>
      </w:tr>
      <w:tr w:rsidR="00A60DDE" w14:paraId="1216C2F3"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E4" w14:textId="77777777" w:rsidR="00A60DDE" w:rsidRDefault="00095506">
            <w:pPr>
              <w:pStyle w:val="P68B1DB1-Normal89"/>
              <w:spacing w:after="0" w:line="240" w:lineRule="auto"/>
              <w:jc w:val="center"/>
              <w:rPr>
                <w:noProof/>
              </w:rPr>
            </w:pPr>
            <w:r>
              <w:rPr>
                <w:noProof/>
              </w:rPr>
              <w:t>G23G</w:t>
            </w:r>
          </w:p>
        </w:tc>
        <w:tc>
          <w:tcPr>
            <w:tcW w:w="1559" w:type="dxa"/>
            <w:tcBorders>
              <w:top w:val="single" w:sz="4" w:space="0" w:color="auto"/>
              <w:left w:val="nil"/>
              <w:bottom w:val="single" w:sz="4" w:space="0" w:color="auto"/>
              <w:right w:val="single" w:sz="4" w:space="0" w:color="auto"/>
            </w:tcBorders>
            <w:shd w:val="clear" w:color="auto" w:fill="C6EFCE"/>
            <w:noWrap/>
          </w:tcPr>
          <w:p w14:paraId="1216C2E5" w14:textId="77777777" w:rsidR="00A60DDE" w:rsidRDefault="00095506">
            <w:pPr>
              <w:pStyle w:val="P68B1DB1-Normal89"/>
              <w:spacing w:after="0" w:line="240" w:lineRule="auto"/>
              <w:rPr>
                <w:noProof/>
              </w:rPr>
            </w:pPr>
            <w:r>
              <w:rPr>
                <w:noProof/>
              </w:rPr>
              <w:t xml:space="preserve">G1.2.4 Construirea sau modernizarea rețelelor de distribuție a energiei electrice </w:t>
            </w:r>
          </w:p>
        </w:tc>
        <w:tc>
          <w:tcPr>
            <w:tcW w:w="992" w:type="dxa"/>
            <w:tcBorders>
              <w:top w:val="single" w:sz="4" w:space="0" w:color="auto"/>
              <w:left w:val="nil"/>
              <w:bottom w:val="single" w:sz="4" w:space="0" w:color="auto"/>
              <w:right w:val="single" w:sz="4" w:space="0" w:color="auto"/>
            </w:tcBorders>
            <w:shd w:val="clear" w:color="auto" w:fill="C6EFCE"/>
            <w:noWrap/>
          </w:tcPr>
          <w:p w14:paraId="1216C2E6" w14:textId="77777777" w:rsidR="00A60DDE" w:rsidRDefault="00095506">
            <w:pPr>
              <w:pStyle w:val="P68B1DB1-Normal89"/>
              <w:spacing w:after="0" w:line="240" w:lineRule="auto"/>
              <w:jc w:val="center"/>
              <w:rPr>
                <w:noProof/>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E7" w14:textId="77777777" w:rsidR="00A60DDE" w:rsidRDefault="00095506">
            <w:pPr>
              <w:pStyle w:val="P68B1DB1-Normal89"/>
              <w:spacing w:after="0" w:line="240" w:lineRule="auto"/>
              <w:rPr>
                <w:noProof/>
              </w:rPr>
            </w:pPr>
            <w:r>
              <w:rPr>
                <w:noProof/>
              </w:rPr>
              <w:t xml:space="preserve">Identificarea și definirea proiectelor </w:t>
            </w:r>
          </w:p>
        </w:tc>
        <w:tc>
          <w:tcPr>
            <w:tcW w:w="1701" w:type="dxa"/>
            <w:tcBorders>
              <w:top w:val="single" w:sz="4" w:space="0" w:color="auto"/>
              <w:left w:val="nil"/>
              <w:bottom w:val="single" w:sz="4" w:space="0" w:color="auto"/>
              <w:right w:val="single" w:sz="4" w:space="0" w:color="auto"/>
            </w:tcBorders>
            <w:shd w:val="clear" w:color="auto" w:fill="C6EFCE"/>
            <w:noWrap/>
          </w:tcPr>
          <w:p w14:paraId="1216C2E8" w14:textId="77777777" w:rsidR="00A60DDE" w:rsidRDefault="00095506">
            <w:pPr>
              <w:pStyle w:val="P68B1DB1-Normal89"/>
              <w:spacing w:after="0" w:line="240" w:lineRule="auto"/>
              <w:rPr>
                <w:noProof/>
              </w:rPr>
            </w:pPr>
            <w:r>
              <w:rPr>
                <w:noProof/>
              </w:rPr>
              <w:t>Document intern de identificare a proiectelor de îmbunătățire a rețelelor de distribuție din Polonia, semnat de autoritatea competentă</w:t>
            </w:r>
          </w:p>
        </w:tc>
        <w:tc>
          <w:tcPr>
            <w:tcW w:w="992" w:type="dxa"/>
            <w:tcBorders>
              <w:top w:val="single" w:sz="4" w:space="0" w:color="auto"/>
              <w:left w:val="nil"/>
              <w:bottom w:val="single" w:sz="4" w:space="0" w:color="auto"/>
              <w:right w:val="single" w:sz="4" w:space="0" w:color="auto"/>
            </w:tcBorders>
            <w:shd w:val="clear" w:color="auto" w:fill="C6EFCE"/>
            <w:noWrap/>
          </w:tcPr>
          <w:p w14:paraId="1216C2E9" w14:textId="77777777" w:rsidR="00A60DDE" w:rsidRDefault="00A60DDE">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EA" w14:textId="77777777" w:rsidR="00A60DDE" w:rsidRDefault="00A60DDE">
            <w:pPr>
              <w:spacing w:after="0" w:line="240" w:lineRule="auto"/>
              <w:jc w:val="center"/>
              <w:rPr>
                <w:rFonts w:ascii="Times New Roman" w:hAnsi="Times New Roman"/>
                <w:noProof/>
                <w:sz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EB" w14:textId="77777777" w:rsidR="00A60DDE" w:rsidRDefault="00A60DDE">
            <w:pPr>
              <w:spacing w:after="0" w:line="240" w:lineRule="auto"/>
              <w:jc w:val="center"/>
              <w:rPr>
                <w:rFonts w:ascii="Times New Roman" w:hAnsi="Times New Roman"/>
                <w:noProof/>
                <w:sz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EC" w14:textId="77777777" w:rsidR="00A60DDE" w:rsidRDefault="00095506">
            <w:pPr>
              <w:pStyle w:val="P68B1DB1-Normal89"/>
              <w:spacing w:after="0" w:line="240" w:lineRule="auto"/>
              <w:jc w:val="center"/>
              <w:rPr>
                <w:noProof/>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ED" w14:textId="77777777" w:rsidR="00A60DDE" w:rsidRDefault="00095506">
            <w:pPr>
              <w:pStyle w:val="P68B1DB1-Normal89"/>
              <w:spacing w:after="0" w:line="240" w:lineRule="auto"/>
              <w:jc w:val="center"/>
              <w:rPr>
                <w:noProof/>
              </w:rPr>
            </w:pPr>
            <w:r>
              <w:rPr>
                <w:noProof/>
              </w:rPr>
              <w:t>2024</w:t>
            </w:r>
          </w:p>
        </w:tc>
        <w:tc>
          <w:tcPr>
            <w:tcW w:w="3685" w:type="dxa"/>
            <w:tcBorders>
              <w:top w:val="single" w:sz="4" w:space="0" w:color="auto"/>
              <w:left w:val="nil"/>
              <w:bottom w:val="single" w:sz="4" w:space="0" w:color="auto"/>
              <w:right w:val="single" w:sz="4" w:space="0" w:color="auto"/>
            </w:tcBorders>
            <w:shd w:val="clear" w:color="auto" w:fill="C6EFCE"/>
            <w:noWrap/>
            <w:vAlign w:val="bottom"/>
          </w:tcPr>
          <w:p w14:paraId="1216C2EE" w14:textId="77777777" w:rsidR="00A60DDE" w:rsidRDefault="00095506">
            <w:pPr>
              <w:pStyle w:val="P68B1DB1-Normal89"/>
              <w:spacing w:after="0" w:line="240" w:lineRule="auto"/>
              <w:rPr>
                <w:noProof/>
              </w:rPr>
            </w:pPr>
            <w:r>
              <w:rPr>
                <w:noProof/>
              </w:rPr>
              <w:t>Proiectele destinate îmbunătățirii rețelelor de distribuție care deservesc în principal zonele rurale sunt identificate și prezentate într-un document finalizat, aprobat la nivel intern de autoritatea poloneză competentă. Acest document indică, de asemenea, pentru fiecare proiect, sursa sa de finanțare, care nu include alte surse ale UE.</w:t>
            </w:r>
          </w:p>
          <w:p w14:paraId="1216C2EF" w14:textId="77777777" w:rsidR="00A60DDE" w:rsidRDefault="00A60DDE">
            <w:pPr>
              <w:spacing w:after="0" w:line="240" w:lineRule="auto"/>
              <w:rPr>
                <w:rFonts w:ascii="Times New Roman" w:hAnsi="Times New Roman"/>
                <w:noProof/>
                <w:sz w:val="18"/>
              </w:rPr>
            </w:pPr>
          </w:p>
          <w:p w14:paraId="1216C2F0" w14:textId="6963AD7D" w:rsidR="00A60DDE" w:rsidRDefault="00095506">
            <w:pPr>
              <w:pStyle w:val="P68B1DB1-Normal89"/>
              <w:spacing w:after="0" w:line="240" w:lineRule="auto"/>
              <w:rPr>
                <w:noProof/>
              </w:rPr>
            </w:pPr>
            <w:r>
              <w:rPr>
                <w:noProof/>
              </w:rPr>
              <w:t xml:space="preserve">Împreună, proiectele identificate conduc la construirea sau modernizarea a cel puțin 880 km de rețele de distribuție (indiferent de tensiune), inclusiv stațiile asociate. </w:t>
            </w:r>
          </w:p>
          <w:p w14:paraId="1216C2F1" w14:textId="77777777" w:rsidR="00A60DDE" w:rsidRDefault="00A60DDE">
            <w:pPr>
              <w:spacing w:after="0" w:line="240" w:lineRule="auto"/>
              <w:rPr>
                <w:rFonts w:ascii="Times New Roman" w:hAnsi="Times New Roman"/>
                <w:noProof/>
                <w:sz w:val="18"/>
              </w:rPr>
            </w:pPr>
          </w:p>
          <w:p w14:paraId="1216C2F2" w14:textId="77777777" w:rsidR="00A60DDE" w:rsidRDefault="00095506">
            <w:pPr>
              <w:pStyle w:val="P68B1DB1-Normal89"/>
              <w:spacing w:after="0" w:line="240" w:lineRule="auto"/>
              <w:rPr>
                <w:noProof/>
              </w:rPr>
            </w:pPr>
            <w:r>
              <w:rPr>
                <w:noProof/>
              </w:rPr>
              <w:t>Toate proiectele identificate includ funcționalități ale rețelelor inteligente cu scopul de a permite comunicarea digitală bidirecțională, monitorizarea și gestionarea interactivă și inteligentă, în timp real sau aproape în timp real, a producerii, transportului, distribuției și consumului de energie electrică în cadrul unei rețele de energie electrică, contribuind astfel la dezvoltarea surselor regenerabile de energie.</w:t>
            </w:r>
          </w:p>
        </w:tc>
      </w:tr>
      <w:tr w:rsidR="00A60DDE" w14:paraId="1216C300"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F4" w14:textId="77777777" w:rsidR="00A60DDE" w:rsidRDefault="00095506">
            <w:pPr>
              <w:pStyle w:val="P68B1DB1-Normal89"/>
              <w:spacing w:after="0" w:line="240" w:lineRule="auto"/>
              <w:jc w:val="center"/>
              <w:rPr>
                <w:rFonts w:eastAsia="Times New Roman" w:cs="Times New Roman"/>
                <w:noProof/>
                <w:szCs w:val="18"/>
              </w:rPr>
            </w:pPr>
            <w:r>
              <w:rPr>
                <w:noProof/>
              </w:rPr>
              <w:t>G24G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16C2F5" w14:textId="38F999DD" w:rsidR="00A60DDE" w:rsidRDefault="00095506">
            <w:pPr>
              <w:pStyle w:val="P68B1DB1-Normal45"/>
              <w:spacing w:after="0" w:line="240" w:lineRule="auto"/>
              <w:rPr>
                <w:rFonts w:eastAsia="Times New Roman" w:cs="Times New Roman"/>
                <w:noProof/>
              </w:rPr>
            </w:pPr>
            <w:r>
              <w:rPr>
                <w:noProof/>
              </w:rPr>
              <w:t>G1.2.4 Construirea sau modernizarea rețelelor de distribuție a energiei electrice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6" w14:textId="77777777" w:rsidR="00A60DDE" w:rsidRDefault="00095506">
            <w:pPr>
              <w:pStyle w:val="P68B1DB1-Normal89"/>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1216C2F7" w14:textId="694EA1B1" w:rsidR="00A60DDE" w:rsidRDefault="00095506">
            <w:pPr>
              <w:pStyle w:val="P68B1DB1-Normal89"/>
              <w:spacing w:after="0" w:line="240" w:lineRule="auto"/>
              <w:rPr>
                <w:rFonts w:eastAsia="Times New Roman" w:cs="Times New Roman"/>
                <w:noProof/>
                <w:szCs w:val="18"/>
              </w:rPr>
            </w:pPr>
            <w:r>
              <w:rPr>
                <w:noProof/>
              </w:rPr>
              <w:t>Lungimea rețelei de distribuție construite, modernizate sau modernizate (km)</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216C2F8" w14:textId="77777777" w:rsidR="00A60DDE" w:rsidRDefault="00A60DDE">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9" w14:textId="77777777" w:rsidR="00A60DDE" w:rsidRDefault="00095506">
            <w:pPr>
              <w:pStyle w:val="P68B1DB1-Normal89"/>
              <w:spacing w:after="0" w:line="240" w:lineRule="auto"/>
              <w:jc w:val="center"/>
              <w:rPr>
                <w:rFonts w:eastAsia="Times New Roman" w:cs="Times New Roman"/>
                <w:noProof/>
                <w:szCs w:val="18"/>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A" w14:textId="77777777" w:rsidR="00A60DDE" w:rsidRDefault="00095506">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FB" w14:textId="77777777" w:rsidR="00A60DDE" w:rsidRDefault="00095506">
            <w:pPr>
              <w:pStyle w:val="P68B1DB1-Normal89"/>
              <w:spacing w:after="0" w:line="240" w:lineRule="auto"/>
              <w:jc w:val="center"/>
              <w:rPr>
                <w:rFonts w:eastAsia="Times New Roman" w:cs="Times New Roman"/>
                <w:noProof/>
                <w:szCs w:val="18"/>
              </w:rPr>
            </w:pPr>
            <w:r>
              <w:rPr>
                <w:noProof/>
              </w:rPr>
              <w:t>880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FC" w14:textId="77777777" w:rsidR="00A60DDE" w:rsidRDefault="00095506">
            <w:pPr>
              <w:pStyle w:val="P68B1DB1-Normal89"/>
              <w:spacing w:after="0" w:line="240" w:lineRule="auto"/>
              <w:jc w:val="center"/>
              <w:rPr>
                <w:rFonts w:eastAsia="Times New Roman" w:cs="Times New Roman"/>
                <w:noProof/>
                <w:szCs w:val="18"/>
              </w:rPr>
            </w:pPr>
            <w:r>
              <w:rPr>
                <w:noProof/>
              </w:rPr>
              <w:t>T2</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FD"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16C2FF" w14:textId="2797D7ED" w:rsidR="00A60DDE" w:rsidRDefault="00095506">
            <w:pPr>
              <w:pStyle w:val="P68B1DB1-Normal89"/>
              <w:spacing w:after="0" w:line="240" w:lineRule="auto"/>
              <w:rPr>
                <w:rFonts w:eastAsia="Times New Roman" w:cs="Times New Roman"/>
                <w:noProof/>
                <w:szCs w:val="18"/>
              </w:rPr>
            </w:pPr>
            <w:r>
              <w:rPr>
                <w:noProof/>
                <w:szCs w:val="18"/>
              </w:rPr>
              <w:t>Numărul de kilometri de rețele de distribuție construite, modernizate sau modernizate.</w:t>
            </w:r>
          </w:p>
        </w:tc>
      </w:tr>
    </w:tbl>
    <w:p w14:paraId="1216C301" w14:textId="77777777" w:rsidR="00A60DDE" w:rsidRDefault="00095506">
      <w:pPr>
        <w:pStyle w:val="P68B1DB1-Normal93"/>
        <w:pageBreakBefore/>
        <w:spacing w:before="120" w:after="120" w:line="240" w:lineRule="auto"/>
        <w:jc w:val="both"/>
        <w:rPr>
          <w:noProof/>
        </w:rPr>
      </w:pPr>
      <w:r>
        <w:rPr>
          <w:noProof/>
        </w:rPr>
        <w:t>Subcomponenta G1.3 – Dezvoltarea unui transport durabil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565"/>
        <w:gridCol w:w="992"/>
        <w:gridCol w:w="1985"/>
        <w:gridCol w:w="1701"/>
        <w:gridCol w:w="992"/>
        <w:gridCol w:w="992"/>
        <w:gridCol w:w="709"/>
        <w:gridCol w:w="992"/>
        <w:gridCol w:w="851"/>
        <w:gridCol w:w="3690"/>
      </w:tblGrid>
      <w:tr w:rsidR="00A60DDE" w14:paraId="1216C30A" w14:textId="77777777">
        <w:trPr>
          <w:trHeight w:val="731"/>
          <w:tblHeader/>
          <w:jc w:val="center"/>
        </w:trPr>
        <w:tc>
          <w:tcPr>
            <w:tcW w:w="840" w:type="dxa"/>
            <w:vMerge w:val="restart"/>
            <w:shd w:val="clear" w:color="auto" w:fill="BDD7EE"/>
            <w:vAlign w:val="center"/>
            <w:hideMark/>
          </w:tcPr>
          <w:p w14:paraId="1216C302" w14:textId="3206CFB1" w:rsidR="00A60DDE" w:rsidRDefault="005631E2">
            <w:pPr>
              <w:pStyle w:val="P68B1DB1-Normal96"/>
              <w:spacing w:after="0" w:line="240" w:lineRule="auto"/>
              <w:jc w:val="center"/>
              <w:rPr>
                <w:rFonts w:eastAsia="Times New Roman" w:cs="Times New Roman"/>
                <w:noProof/>
                <w:szCs w:val="18"/>
              </w:rPr>
            </w:pPr>
            <w:r>
              <w:rPr>
                <w:noProof/>
              </w:rPr>
              <w:t>Nr. secv</w:t>
            </w:r>
          </w:p>
        </w:tc>
        <w:tc>
          <w:tcPr>
            <w:tcW w:w="1565" w:type="dxa"/>
            <w:vMerge w:val="restart"/>
            <w:shd w:val="clear" w:color="auto" w:fill="BDD7EE"/>
            <w:vAlign w:val="center"/>
            <w:hideMark/>
          </w:tcPr>
          <w:p w14:paraId="1216C303" w14:textId="77777777" w:rsidR="00A60DDE" w:rsidRDefault="00095506">
            <w:pPr>
              <w:pStyle w:val="P68B1DB1-Normal88"/>
              <w:spacing w:after="0" w:line="240" w:lineRule="auto"/>
              <w:jc w:val="center"/>
              <w:rPr>
                <w:rFonts w:eastAsia="Times New Roman" w:cs="Times New Roman"/>
                <w:noProof/>
              </w:rPr>
            </w:pPr>
            <w:r>
              <w:rPr>
                <w:noProof/>
              </w:rPr>
              <w:t>Măsură conexă (reformă sau investiție)</w:t>
            </w:r>
          </w:p>
        </w:tc>
        <w:tc>
          <w:tcPr>
            <w:tcW w:w="992" w:type="dxa"/>
            <w:vMerge w:val="restart"/>
            <w:shd w:val="clear" w:color="auto" w:fill="BDD7EE"/>
            <w:vAlign w:val="center"/>
            <w:hideMark/>
          </w:tcPr>
          <w:p w14:paraId="1216C304" w14:textId="77777777" w:rsidR="00A60DDE" w:rsidRDefault="00095506">
            <w:pPr>
              <w:pStyle w:val="P68B1DB1-Normal88"/>
              <w:keepNext/>
              <w:keepLines/>
              <w:spacing w:after="0" w:line="240" w:lineRule="auto"/>
              <w:jc w:val="center"/>
              <w:rPr>
                <w:rFonts w:eastAsia="Times New Roman" w:cs="Times New Roman"/>
                <w:noProof/>
              </w:rPr>
            </w:pPr>
            <w:r>
              <w:rPr>
                <w:noProof/>
              </w:rPr>
              <w:t>Etapa/ținta</w:t>
            </w:r>
          </w:p>
        </w:tc>
        <w:tc>
          <w:tcPr>
            <w:tcW w:w="1985" w:type="dxa"/>
            <w:vMerge w:val="restart"/>
            <w:shd w:val="clear" w:color="auto" w:fill="BDD7EE"/>
            <w:vAlign w:val="center"/>
            <w:hideMark/>
          </w:tcPr>
          <w:p w14:paraId="1216C305" w14:textId="77777777" w:rsidR="00A60DDE" w:rsidRDefault="00095506">
            <w:pPr>
              <w:pStyle w:val="P68B1DB1-Normal88"/>
              <w:spacing w:after="0" w:line="240" w:lineRule="auto"/>
              <w:jc w:val="center"/>
              <w:rPr>
                <w:rFonts w:eastAsia="Times New Roman" w:cs="Times New Roman"/>
                <w:noProof/>
              </w:rPr>
            </w:pPr>
            <w:r>
              <w:rPr>
                <w:noProof/>
              </w:rPr>
              <w:t>Denumire</w:t>
            </w:r>
          </w:p>
        </w:tc>
        <w:tc>
          <w:tcPr>
            <w:tcW w:w="1701" w:type="dxa"/>
            <w:vMerge w:val="restart"/>
            <w:shd w:val="clear" w:color="auto" w:fill="BDD7EE"/>
            <w:vAlign w:val="center"/>
            <w:hideMark/>
          </w:tcPr>
          <w:p w14:paraId="1216C306" w14:textId="71DA741F" w:rsidR="00A60DDE" w:rsidRDefault="00095506">
            <w:pPr>
              <w:pStyle w:val="P68B1DB1-Normal88"/>
              <w:spacing w:after="0" w:line="240" w:lineRule="auto"/>
              <w:jc w:val="center"/>
              <w:rPr>
                <w:rFonts w:eastAsia="Times New Roman" w:cs="Times New Roman"/>
                <w:noProof/>
              </w:rPr>
            </w:pPr>
            <w:r>
              <w:rPr>
                <w:noProof/>
              </w:rPr>
              <w:t>Indicatori calitativi (pentru obiectivele de etapă)</w:t>
            </w:r>
          </w:p>
        </w:tc>
        <w:tc>
          <w:tcPr>
            <w:tcW w:w="2693" w:type="dxa"/>
            <w:gridSpan w:val="3"/>
            <w:shd w:val="clear" w:color="auto" w:fill="BDD7EE"/>
            <w:vAlign w:val="center"/>
            <w:hideMark/>
          </w:tcPr>
          <w:p w14:paraId="1216C307" w14:textId="3985FDF3" w:rsidR="00A60DDE" w:rsidRDefault="00095506">
            <w:pPr>
              <w:pStyle w:val="P68B1DB1-Normal88"/>
              <w:spacing w:after="0" w:line="240" w:lineRule="auto"/>
              <w:jc w:val="center"/>
              <w:rPr>
                <w:rFonts w:eastAsia="Times New Roman" w:cs="Times New Roman"/>
                <w:noProof/>
              </w:rPr>
            </w:pPr>
            <w:r>
              <w:rPr>
                <w:noProof/>
              </w:rPr>
              <w:t>Indicatori cantitativi (pentru obiective)</w:t>
            </w:r>
          </w:p>
        </w:tc>
        <w:tc>
          <w:tcPr>
            <w:tcW w:w="1843" w:type="dxa"/>
            <w:gridSpan w:val="2"/>
            <w:shd w:val="clear" w:color="auto" w:fill="BDD7EE"/>
            <w:vAlign w:val="center"/>
            <w:hideMark/>
          </w:tcPr>
          <w:p w14:paraId="1216C308" w14:textId="77777777" w:rsidR="00A60DDE" w:rsidRDefault="00095506">
            <w:pPr>
              <w:pStyle w:val="P68B1DB1-Normal88"/>
              <w:spacing w:after="0" w:line="240" w:lineRule="auto"/>
              <w:jc w:val="center"/>
              <w:rPr>
                <w:rFonts w:eastAsia="Times New Roman" w:cs="Times New Roman"/>
                <w:noProof/>
              </w:rPr>
            </w:pPr>
            <w:r>
              <w:rPr>
                <w:noProof/>
              </w:rPr>
              <w:t>Calendar orientativ pentru finalizare</w:t>
            </w:r>
          </w:p>
        </w:tc>
        <w:tc>
          <w:tcPr>
            <w:tcW w:w="3690" w:type="dxa"/>
            <w:vMerge w:val="restart"/>
            <w:shd w:val="clear" w:color="auto" w:fill="BDD7EE"/>
            <w:vAlign w:val="center"/>
            <w:hideMark/>
          </w:tcPr>
          <w:p w14:paraId="1216C309" w14:textId="77777777" w:rsidR="00A60DDE" w:rsidRDefault="00095506">
            <w:pPr>
              <w:pStyle w:val="P68B1DB1-Normal88"/>
              <w:spacing w:after="0" w:line="240" w:lineRule="auto"/>
              <w:jc w:val="center"/>
              <w:rPr>
                <w:rFonts w:eastAsia="Times New Roman" w:cs="Times New Roman"/>
                <w:noProof/>
              </w:rPr>
            </w:pPr>
            <w:r>
              <w:rPr>
                <w:noProof/>
              </w:rPr>
              <w:t>Descrierea fiecărui jalon și a fiecărei ținte</w:t>
            </w:r>
          </w:p>
        </w:tc>
      </w:tr>
      <w:tr w:rsidR="00A60DDE" w14:paraId="1216C316" w14:textId="77777777">
        <w:trPr>
          <w:trHeight w:val="699"/>
          <w:tblHeader/>
          <w:jc w:val="center"/>
        </w:trPr>
        <w:tc>
          <w:tcPr>
            <w:tcW w:w="840" w:type="dxa"/>
            <w:vMerge/>
            <w:vAlign w:val="center"/>
            <w:hideMark/>
          </w:tcPr>
          <w:p w14:paraId="1216C30B" w14:textId="77777777" w:rsidR="00A60DDE" w:rsidRDefault="00A60DDE">
            <w:pPr>
              <w:spacing w:after="0" w:line="240" w:lineRule="auto"/>
              <w:jc w:val="center"/>
              <w:rPr>
                <w:rFonts w:ascii="Times New Roman" w:eastAsia="Times New Roman" w:hAnsi="Times New Roman" w:cs="Times New Roman"/>
                <w:b/>
                <w:noProof/>
                <w:sz w:val="18"/>
                <w:szCs w:val="18"/>
              </w:rPr>
            </w:pPr>
          </w:p>
        </w:tc>
        <w:tc>
          <w:tcPr>
            <w:tcW w:w="1565" w:type="dxa"/>
            <w:vMerge/>
            <w:vAlign w:val="center"/>
            <w:hideMark/>
          </w:tcPr>
          <w:p w14:paraId="1216C30C" w14:textId="77777777" w:rsidR="00A60DDE" w:rsidRDefault="00A60DDE">
            <w:pPr>
              <w:spacing w:after="0" w:line="240" w:lineRule="auto"/>
              <w:rPr>
                <w:rFonts w:ascii="Times New Roman" w:eastAsia="Times New Roman" w:hAnsi="Times New Roman" w:cs="Times New Roman"/>
                <w:b/>
                <w:bCs/>
                <w:noProof/>
              </w:rPr>
            </w:pPr>
          </w:p>
        </w:tc>
        <w:tc>
          <w:tcPr>
            <w:tcW w:w="992" w:type="dxa"/>
            <w:vMerge/>
            <w:vAlign w:val="center"/>
            <w:hideMark/>
          </w:tcPr>
          <w:p w14:paraId="1216C30D" w14:textId="77777777" w:rsidR="00A60DDE" w:rsidRDefault="00A60DDE">
            <w:pPr>
              <w:spacing w:after="0" w:line="240" w:lineRule="auto"/>
              <w:jc w:val="center"/>
              <w:rPr>
                <w:rFonts w:ascii="Times New Roman" w:eastAsia="Times New Roman" w:hAnsi="Times New Roman" w:cs="Times New Roman"/>
                <w:b/>
                <w:bCs/>
                <w:noProof/>
              </w:rPr>
            </w:pPr>
          </w:p>
        </w:tc>
        <w:tc>
          <w:tcPr>
            <w:tcW w:w="1985" w:type="dxa"/>
            <w:vMerge/>
            <w:vAlign w:val="center"/>
            <w:hideMark/>
          </w:tcPr>
          <w:p w14:paraId="1216C30E" w14:textId="77777777" w:rsidR="00A60DDE" w:rsidRDefault="00A60DDE">
            <w:pPr>
              <w:spacing w:after="0" w:line="240" w:lineRule="auto"/>
              <w:rPr>
                <w:rFonts w:ascii="Times New Roman" w:eastAsia="Times New Roman" w:hAnsi="Times New Roman" w:cs="Times New Roman"/>
                <w:b/>
                <w:bCs/>
                <w:noProof/>
              </w:rPr>
            </w:pPr>
          </w:p>
        </w:tc>
        <w:tc>
          <w:tcPr>
            <w:tcW w:w="1701" w:type="dxa"/>
            <w:vMerge/>
            <w:vAlign w:val="center"/>
            <w:hideMark/>
          </w:tcPr>
          <w:p w14:paraId="1216C30F" w14:textId="77777777" w:rsidR="00A60DDE" w:rsidRDefault="00A60DDE">
            <w:pPr>
              <w:spacing w:after="0" w:line="240" w:lineRule="auto"/>
              <w:rPr>
                <w:rFonts w:ascii="Times New Roman" w:eastAsia="Times New Roman" w:hAnsi="Times New Roman" w:cs="Times New Roman"/>
                <w:b/>
                <w:bCs/>
                <w:noProof/>
              </w:rPr>
            </w:pPr>
          </w:p>
        </w:tc>
        <w:tc>
          <w:tcPr>
            <w:tcW w:w="992" w:type="dxa"/>
            <w:shd w:val="clear" w:color="auto" w:fill="BDD7EE"/>
            <w:vAlign w:val="center"/>
            <w:hideMark/>
          </w:tcPr>
          <w:p w14:paraId="1216C310" w14:textId="77777777" w:rsidR="00A60DDE" w:rsidRDefault="00095506">
            <w:pPr>
              <w:pStyle w:val="P68B1DB1-Normal96"/>
              <w:spacing w:after="0" w:line="240" w:lineRule="auto"/>
              <w:jc w:val="center"/>
              <w:rPr>
                <w:rFonts w:eastAsia="Times New Roman" w:cs="Times New Roman"/>
                <w:noProof/>
                <w:szCs w:val="18"/>
              </w:rPr>
            </w:pPr>
            <w:r>
              <w:rPr>
                <w:noProof/>
              </w:rPr>
              <w:t>Unitatea de măsură</w:t>
            </w:r>
          </w:p>
        </w:tc>
        <w:tc>
          <w:tcPr>
            <w:tcW w:w="992" w:type="dxa"/>
            <w:shd w:val="clear" w:color="auto" w:fill="BDD7EE"/>
            <w:vAlign w:val="center"/>
            <w:hideMark/>
          </w:tcPr>
          <w:p w14:paraId="1216C311" w14:textId="77777777" w:rsidR="00A60DDE" w:rsidRDefault="00095506">
            <w:pPr>
              <w:pStyle w:val="P68B1DB1-Normal96"/>
              <w:spacing w:after="0" w:line="240" w:lineRule="auto"/>
              <w:jc w:val="center"/>
              <w:rPr>
                <w:rFonts w:eastAsia="Times New Roman" w:cs="Times New Roman"/>
                <w:noProof/>
                <w:szCs w:val="18"/>
              </w:rPr>
            </w:pPr>
            <w:r>
              <w:rPr>
                <w:noProof/>
              </w:rPr>
              <w:t>Situația de referință</w:t>
            </w:r>
          </w:p>
        </w:tc>
        <w:tc>
          <w:tcPr>
            <w:tcW w:w="709" w:type="dxa"/>
            <w:shd w:val="clear" w:color="auto" w:fill="BDD7EE"/>
            <w:vAlign w:val="center"/>
            <w:hideMark/>
          </w:tcPr>
          <w:p w14:paraId="1216C312" w14:textId="77777777" w:rsidR="00A60DDE" w:rsidRDefault="00095506">
            <w:pPr>
              <w:pStyle w:val="P68B1DB1-Normal96"/>
              <w:spacing w:after="0" w:line="240" w:lineRule="auto"/>
              <w:jc w:val="center"/>
              <w:rPr>
                <w:rFonts w:eastAsia="Times New Roman" w:cs="Times New Roman"/>
                <w:noProof/>
                <w:szCs w:val="18"/>
              </w:rPr>
            </w:pPr>
            <w:r>
              <w:rPr>
                <w:noProof/>
              </w:rPr>
              <w:t>Obiectiv</w:t>
            </w:r>
          </w:p>
        </w:tc>
        <w:tc>
          <w:tcPr>
            <w:tcW w:w="992" w:type="dxa"/>
            <w:shd w:val="clear" w:color="auto" w:fill="BDD7EE"/>
            <w:vAlign w:val="center"/>
            <w:hideMark/>
          </w:tcPr>
          <w:p w14:paraId="1216C313" w14:textId="77777777" w:rsidR="00A60DDE" w:rsidRDefault="00095506">
            <w:pPr>
              <w:pStyle w:val="P68B1DB1-Normal96"/>
              <w:spacing w:after="0" w:line="240" w:lineRule="auto"/>
              <w:jc w:val="center"/>
              <w:rPr>
                <w:rFonts w:eastAsia="Times New Roman" w:cs="Times New Roman"/>
                <w:noProof/>
                <w:szCs w:val="18"/>
              </w:rPr>
            </w:pPr>
            <w:r>
              <w:rPr>
                <w:noProof/>
              </w:rPr>
              <w:t>Trimestrul</w:t>
            </w:r>
          </w:p>
        </w:tc>
        <w:tc>
          <w:tcPr>
            <w:tcW w:w="851" w:type="dxa"/>
            <w:shd w:val="clear" w:color="auto" w:fill="BDD7EE"/>
            <w:vAlign w:val="center"/>
            <w:hideMark/>
          </w:tcPr>
          <w:p w14:paraId="1216C314" w14:textId="77777777" w:rsidR="00A60DDE" w:rsidRDefault="00095506">
            <w:pPr>
              <w:pStyle w:val="P68B1DB1-Normal96"/>
              <w:spacing w:after="0" w:line="240" w:lineRule="auto"/>
              <w:jc w:val="center"/>
              <w:rPr>
                <w:rFonts w:eastAsia="Times New Roman" w:cs="Times New Roman"/>
                <w:noProof/>
                <w:szCs w:val="18"/>
              </w:rPr>
            </w:pPr>
            <w:r>
              <w:rPr>
                <w:noProof/>
              </w:rPr>
              <w:t>Anul</w:t>
            </w:r>
          </w:p>
        </w:tc>
        <w:tc>
          <w:tcPr>
            <w:tcW w:w="3690" w:type="dxa"/>
            <w:vMerge/>
            <w:vAlign w:val="center"/>
            <w:hideMark/>
          </w:tcPr>
          <w:p w14:paraId="1216C315" w14:textId="77777777" w:rsidR="00A60DDE" w:rsidRDefault="00A60DDE">
            <w:pPr>
              <w:spacing w:after="0" w:line="240" w:lineRule="auto"/>
              <w:rPr>
                <w:rFonts w:ascii="Times New Roman" w:eastAsia="Times New Roman" w:hAnsi="Times New Roman" w:cs="Times New Roman"/>
                <w:b/>
                <w:bCs/>
                <w:noProof/>
              </w:rPr>
            </w:pPr>
          </w:p>
        </w:tc>
      </w:tr>
      <w:tr w:rsidR="00A60DDE" w14:paraId="1216C322" w14:textId="77777777">
        <w:trPr>
          <w:trHeight w:val="300"/>
          <w:jc w:val="center"/>
        </w:trPr>
        <w:tc>
          <w:tcPr>
            <w:tcW w:w="840" w:type="dxa"/>
            <w:shd w:val="clear" w:color="auto" w:fill="C6EFCE"/>
            <w:noWrap/>
          </w:tcPr>
          <w:p w14:paraId="1216C317" w14:textId="77777777" w:rsidR="00A60DDE" w:rsidRDefault="00095506">
            <w:pPr>
              <w:pStyle w:val="P68B1DB1-Normal82"/>
              <w:spacing w:line="240" w:lineRule="auto"/>
              <w:jc w:val="center"/>
              <w:rPr>
                <w:noProof/>
              </w:rPr>
            </w:pPr>
            <w:r>
              <w:rPr>
                <w:noProof/>
              </w:rPr>
              <w:t>G26G</w:t>
            </w:r>
          </w:p>
        </w:tc>
        <w:tc>
          <w:tcPr>
            <w:tcW w:w="1565" w:type="dxa"/>
            <w:shd w:val="clear" w:color="auto" w:fill="C6EFCE"/>
            <w:noWrap/>
          </w:tcPr>
          <w:p w14:paraId="1216C318" w14:textId="77777777" w:rsidR="00A60DDE" w:rsidRDefault="00095506">
            <w:pPr>
              <w:pStyle w:val="P68B1DB1-Normal45"/>
              <w:spacing w:line="240" w:lineRule="auto"/>
              <w:rPr>
                <w:noProof/>
              </w:rPr>
            </w:pPr>
            <w:r>
              <w:rPr>
                <w:noProof/>
              </w:rPr>
              <w:t>G1.3.2 Transportul în comun cu emisii zero (autobuze)</w:t>
            </w:r>
          </w:p>
        </w:tc>
        <w:tc>
          <w:tcPr>
            <w:tcW w:w="992" w:type="dxa"/>
            <w:shd w:val="clear" w:color="auto" w:fill="C6EFCE"/>
            <w:noWrap/>
          </w:tcPr>
          <w:p w14:paraId="1216C319" w14:textId="77777777" w:rsidR="00A60DDE" w:rsidRDefault="00095506">
            <w:pPr>
              <w:pStyle w:val="P68B1DB1-Normal45"/>
              <w:spacing w:line="240" w:lineRule="auto"/>
              <w:jc w:val="center"/>
              <w:rPr>
                <w:noProof/>
              </w:rPr>
            </w:pPr>
            <w:r>
              <w:rPr>
                <w:noProof/>
              </w:rPr>
              <w:t>Etapa de referință</w:t>
            </w:r>
          </w:p>
        </w:tc>
        <w:tc>
          <w:tcPr>
            <w:tcW w:w="1985" w:type="dxa"/>
            <w:shd w:val="clear" w:color="auto" w:fill="C6EFCE"/>
            <w:noWrap/>
          </w:tcPr>
          <w:p w14:paraId="1216C31A" w14:textId="77777777" w:rsidR="00A60DDE" w:rsidRDefault="00095506">
            <w:pPr>
              <w:pStyle w:val="P68B1DB1-Normal45"/>
              <w:spacing w:line="240" w:lineRule="auto"/>
              <w:rPr>
                <w:noProof/>
              </w:rPr>
            </w:pPr>
            <w:r>
              <w:rPr>
                <w:noProof/>
              </w:rPr>
              <w:t>Autobuze noi cu emisii zero: semnarea contractelor</w:t>
            </w:r>
          </w:p>
        </w:tc>
        <w:tc>
          <w:tcPr>
            <w:tcW w:w="1701" w:type="dxa"/>
            <w:shd w:val="clear" w:color="auto" w:fill="C6EFCE"/>
            <w:noWrap/>
          </w:tcPr>
          <w:p w14:paraId="1216C31B" w14:textId="77777777" w:rsidR="00A60DDE" w:rsidRDefault="00095506">
            <w:pPr>
              <w:pStyle w:val="P68B1DB1-Normal82"/>
              <w:spacing w:line="240" w:lineRule="auto"/>
              <w:rPr>
                <w:noProof/>
              </w:rPr>
            </w:pPr>
            <w:r>
              <w:rPr>
                <w:noProof/>
              </w:rPr>
              <w:t>Contracte semnate</w:t>
            </w:r>
          </w:p>
        </w:tc>
        <w:tc>
          <w:tcPr>
            <w:tcW w:w="992" w:type="dxa"/>
            <w:shd w:val="clear" w:color="auto" w:fill="C6EFCE"/>
            <w:noWrap/>
          </w:tcPr>
          <w:p w14:paraId="1216C31C" w14:textId="77777777" w:rsidR="00A60DDE" w:rsidRDefault="00A60DDE">
            <w:pPr>
              <w:spacing w:line="240" w:lineRule="auto"/>
              <w:jc w:val="center"/>
              <w:rPr>
                <w:rFonts w:ascii="Times New Roman" w:hAnsi="Times New Roman"/>
                <w:noProof/>
                <w:sz w:val="18"/>
                <w:szCs w:val="18"/>
              </w:rPr>
            </w:pPr>
          </w:p>
        </w:tc>
        <w:tc>
          <w:tcPr>
            <w:tcW w:w="992" w:type="dxa"/>
            <w:shd w:val="clear" w:color="auto" w:fill="C6EFCE"/>
            <w:noWrap/>
          </w:tcPr>
          <w:p w14:paraId="1216C31D" w14:textId="77777777" w:rsidR="00A60DDE" w:rsidRDefault="00A60DDE">
            <w:pPr>
              <w:spacing w:line="240" w:lineRule="auto"/>
              <w:jc w:val="center"/>
              <w:rPr>
                <w:rFonts w:ascii="Times New Roman" w:hAnsi="Times New Roman"/>
                <w:noProof/>
                <w:sz w:val="18"/>
                <w:szCs w:val="18"/>
              </w:rPr>
            </w:pPr>
          </w:p>
        </w:tc>
        <w:tc>
          <w:tcPr>
            <w:tcW w:w="709" w:type="dxa"/>
            <w:shd w:val="clear" w:color="auto" w:fill="C6EFCE"/>
            <w:noWrap/>
          </w:tcPr>
          <w:p w14:paraId="1216C31E" w14:textId="77777777" w:rsidR="00A60DDE" w:rsidRDefault="00A60DDE">
            <w:pPr>
              <w:spacing w:line="240" w:lineRule="auto"/>
              <w:jc w:val="center"/>
              <w:rPr>
                <w:rFonts w:ascii="Times New Roman" w:hAnsi="Times New Roman"/>
                <w:noProof/>
                <w:sz w:val="18"/>
                <w:szCs w:val="18"/>
              </w:rPr>
            </w:pPr>
          </w:p>
        </w:tc>
        <w:tc>
          <w:tcPr>
            <w:tcW w:w="992" w:type="dxa"/>
            <w:shd w:val="clear" w:color="auto" w:fill="C6EFCE"/>
            <w:noWrap/>
          </w:tcPr>
          <w:p w14:paraId="1216C31F" w14:textId="77777777" w:rsidR="00A60DDE" w:rsidRDefault="00095506">
            <w:pPr>
              <w:pStyle w:val="P68B1DB1-Normal45"/>
              <w:spacing w:line="240" w:lineRule="auto"/>
              <w:jc w:val="center"/>
              <w:rPr>
                <w:noProof/>
              </w:rPr>
            </w:pPr>
            <w:r>
              <w:rPr>
                <w:noProof/>
              </w:rPr>
              <w:t>T3</w:t>
            </w:r>
          </w:p>
        </w:tc>
        <w:tc>
          <w:tcPr>
            <w:tcW w:w="851" w:type="dxa"/>
            <w:shd w:val="clear" w:color="auto" w:fill="C6EFCE"/>
            <w:noWrap/>
          </w:tcPr>
          <w:p w14:paraId="1216C320" w14:textId="77777777" w:rsidR="00A60DDE" w:rsidRDefault="00095506">
            <w:pPr>
              <w:pStyle w:val="P68B1DB1-Normal45"/>
              <w:spacing w:line="240" w:lineRule="auto"/>
              <w:jc w:val="center"/>
              <w:rPr>
                <w:noProof/>
              </w:rPr>
            </w:pPr>
            <w:r>
              <w:rPr>
                <w:noProof/>
              </w:rPr>
              <w:t>2024</w:t>
            </w:r>
          </w:p>
        </w:tc>
        <w:tc>
          <w:tcPr>
            <w:tcW w:w="3690" w:type="dxa"/>
            <w:shd w:val="clear" w:color="auto" w:fill="C6EFCE"/>
            <w:noWrap/>
            <w:vAlign w:val="bottom"/>
          </w:tcPr>
          <w:p w14:paraId="1216C321" w14:textId="3003773E" w:rsidR="00A60DDE" w:rsidRDefault="00095506">
            <w:pPr>
              <w:pStyle w:val="P68B1DB1-Normal45"/>
              <w:spacing w:line="240" w:lineRule="auto"/>
              <w:rPr>
                <w:noProof/>
              </w:rPr>
            </w:pPr>
            <w:r>
              <w:rPr>
                <w:noProof/>
              </w:rPr>
              <w:t>Contractele se semnează între autoritățile poloneze și entitățile beneficiare (autorități locale sau operatori de servicii publice) pentru achiziționarea a 1 159 de autobuze noi cu emisii zero. Trebuie sprijinite numai autobuzele electrice, troleibuzele sau autobuzele cu hidrogen.</w:t>
            </w:r>
          </w:p>
        </w:tc>
      </w:tr>
      <w:tr w:rsidR="00A60DDE" w14:paraId="1216C32E" w14:textId="77777777">
        <w:trPr>
          <w:trHeight w:val="1815"/>
          <w:jc w:val="center"/>
        </w:trPr>
        <w:tc>
          <w:tcPr>
            <w:tcW w:w="840" w:type="dxa"/>
            <w:shd w:val="clear" w:color="auto" w:fill="C6EFCE"/>
            <w:noWrap/>
          </w:tcPr>
          <w:p w14:paraId="1216C323" w14:textId="41C50527" w:rsidR="00A60DDE" w:rsidRDefault="00095506">
            <w:pPr>
              <w:pStyle w:val="P68B1DB1-Normal45"/>
              <w:spacing w:after="0" w:line="240" w:lineRule="auto"/>
              <w:jc w:val="center"/>
              <w:rPr>
                <w:rFonts w:eastAsia="Times New Roman" w:cs="Times New Roman"/>
                <w:noProof/>
              </w:rPr>
            </w:pPr>
            <w:r>
              <w:rPr>
                <w:noProof/>
              </w:rPr>
              <w:t>G27G</w:t>
            </w:r>
          </w:p>
        </w:tc>
        <w:tc>
          <w:tcPr>
            <w:tcW w:w="1565" w:type="dxa"/>
            <w:shd w:val="clear" w:color="auto" w:fill="C6EFCE"/>
            <w:noWrap/>
          </w:tcPr>
          <w:p w14:paraId="1216C324" w14:textId="77777777" w:rsidR="00A60DDE" w:rsidRDefault="00095506">
            <w:pPr>
              <w:pStyle w:val="P68B1DB1-Normal89"/>
              <w:spacing w:after="0" w:line="240" w:lineRule="auto"/>
              <w:rPr>
                <w:rFonts w:eastAsia="Times New Roman" w:cs="Times New Roman"/>
                <w:noProof/>
                <w:szCs w:val="18"/>
              </w:rPr>
            </w:pPr>
            <w:r>
              <w:rPr>
                <w:noProof/>
              </w:rPr>
              <w:t>G1.3.2 Transportul în comun cu emisii zero (autobuze)</w:t>
            </w:r>
          </w:p>
        </w:tc>
        <w:tc>
          <w:tcPr>
            <w:tcW w:w="992" w:type="dxa"/>
            <w:shd w:val="clear" w:color="auto" w:fill="C6EFCE"/>
            <w:noWrap/>
          </w:tcPr>
          <w:p w14:paraId="1216C325" w14:textId="77777777" w:rsidR="00A60DDE" w:rsidRDefault="00095506">
            <w:pPr>
              <w:pStyle w:val="P68B1DB1-Normal45"/>
              <w:spacing w:after="0" w:line="240" w:lineRule="auto"/>
              <w:jc w:val="center"/>
              <w:rPr>
                <w:noProof/>
              </w:rPr>
            </w:pPr>
            <w:r>
              <w:rPr>
                <w:noProof/>
              </w:rPr>
              <w:t>Țintă</w:t>
            </w:r>
          </w:p>
        </w:tc>
        <w:tc>
          <w:tcPr>
            <w:tcW w:w="1985" w:type="dxa"/>
            <w:shd w:val="clear" w:color="auto" w:fill="C6EFCE"/>
            <w:noWrap/>
          </w:tcPr>
          <w:p w14:paraId="1216C326" w14:textId="5A90822F" w:rsidR="00A60DDE" w:rsidRDefault="00095506">
            <w:pPr>
              <w:pStyle w:val="P68B1DB1-Normal45"/>
              <w:spacing w:after="0" w:line="240" w:lineRule="auto"/>
              <w:rPr>
                <w:rFonts w:eastAsia="Times New Roman" w:cs="Times New Roman"/>
                <w:noProof/>
              </w:rPr>
            </w:pPr>
            <w:r>
              <w:rPr>
                <w:noProof/>
              </w:rPr>
              <w:t>Autobuze cu emisii zero</w:t>
            </w:r>
          </w:p>
        </w:tc>
        <w:tc>
          <w:tcPr>
            <w:tcW w:w="1701" w:type="dxa"/>
            <w:shd w:val="clear" w:color="auto" w:fill="C6EFCE"/>
            <w:noWrap/>
          </w:tcPr>
          <w:p w14:paraId="1216C327" w14:textId="77777777" w:rsidR="00A60DDE" w:rsidRDefault="00A60DDE">
            <w:pPr>
              <w:spacing w:after="0" w:line="240" w:lineRule="auto"/>
              <w:rPr>
                <w:rFonts w:ascii="Times New Roman" w:eastAsia="Times New Roman" w:hAnsi="Times New Roman" w:cs="Times New Roman"/>
                <w:noProof/>
                <w:sz w:val="18"/>
                <w:szCs w:val="18"/>
              </w:rPr>
            </w:pPr>
          </w:p>
        </w:tc>
        <w:tc>
          <w:tcPr>
            <w:tcW w:w="992" w:type="dxa"/>
            <w:shd w:val="clear" w:color="auto" w:fill="C6EFCE"/>
            <w:noWrap/>
          </w:tcPr>
          <w:p w14:paraId="1216C328" w14:textId="77777777" w:rsidR="00A60DDE" w:rsidRDefault="00095506">
            <w:pPr>
              <w:pStyle w:val="P68B1DB1-Normal89"/>
              <w:spacing w:after="0" w:line="240" w:lineRule="auto"/>
              <w:jc w:val="center"/>
              <w:rPr>
                <w:rFonts w:eastAsia="Times New Roman" w:cs="Times New Roman"/>
                <w:noProof/>
                <w:szCs w:val="18"/>
              </w:rPr>
            </w:pPr>
            <w:r>
              <w:rPr>
                <w:noProof/>
              </w:rPr>
              <w:t>Număr</w:t>
            </w:r>
          </w:p>
        </w:tc>
        <w:tc>
          <w:tcPr>
            <w:tcW w:w="992" w:type="dxa"/>
            <w:shd w:val="clear" w:color="auto" w:fill="C6EFCE"/>
            <w:noWrap/>
          </w:tcPr>
          <w:p w14:paraId="1216C329" w14:textId="77777777" w:rsidR="00A60DDE" w:rsidRDefault="00095506">
            <w:pPr>
              <w:pStyle w:val="P68B1DB1-Normal89"/>
              <w:spacing w:after="0" w:line="240" w:lineRule="auto"/>
              <w:jc w:val="center"/>
              <w:rPr>
                <w:rFonts w:eastAsia="Times New Roman" w:cs="Times New Roman"/>
                <w:noProof/>
                <w:szCs w:val="18"/>
              </w:rPr>
            </w:pPr>
            <w:r>
              <w:rPr>
                <w:noProof/>
              </w:rPr>
              <w:t>0</w:t>
            </w:r>
          </w:p>
        </w:tc>
        <w:tc>
          <w:tcPr>
            <w:tcW w:w="709" w:type="dxa"/>
            <w:shd w:val="clear" w:color="auto" w:fill="C6EFCE"/>
            <w:noWrap/>
          </w:tcPr>
          <w:p w14:paraId="1216C32A" w14:textId="60E54F3B" w:rsidR="00A60DDE" w:rsidRDefault="00095506">
            <w:pPr>
              <w:pStyle w:val="P68B1DB1-Normal89"/>
              <w:spacing w:after="0" w:line="240" w:lineRule="auto"/>
              <w:jc w:val="center"/>
              <w:rPr>
                <w:rFonts w:eastAsia="Times New Roman" w:cs="Times New Roman"/>
                <w:noProof/>
                <w:szCs w:val="18"/>
              </w:rPr>
            </w:pPr>
            <w:r>
              <w:rPr>
                <w:noProof/>
              </w:rPr>
              <w:t>1 044</w:t>
            </w:r>
          </w:p>
        </w:tc>
        <w:tc>
          <w:tcPr>
            <w:tcW w:w="992" w:type="dxa"/>
            <w:shd w:val="clear" w:color="auto" w:fill="C6EFCE"/>
            <w:noWrap/>
          </w:tcPr>
          <w:p w14:paraId="1216C32B" w14:textId="77777777" w:rsidR="00A60DDE" w:rsidRDefault="00095506">
            <w:pPr>
              <w:pStyle w:val="P68B1DB1-Normal89"/>
              <w:spacing w:after="0" w:line="240" w:lineRule="auto"/>
              <w:jc w:val="center"/>
              <w:rPr>
                <w:rFonts w:eastAsia="Times New Roman" w:cs="Times New Roman"/>
                <w:noProof/>
                <w:szCs w:val="18"/>
              </w:rPr>
            </w:pPr>
            <w:r>
              <w:rPr>
                <w:noProof/>
              </w:rPr>
              <w:t>T2</w:t>
            </w:r>
          </w:p>
        </w:tc>
        <w:tc>
          <w:tcPr>
            <w:tcW w:w="851" w:type="dxa"/>
            <w:shd w:val="clear" w:color="auto" w:fill="C6EFCE"/>
            <w:noWrap/>
          </w:tcPr>
          <w:p w14:paraId="1216C32C"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3690" w:type="dxa"/>
            <w:shd w:val="clear" w:color="auto" w:fill="C6EFCE"/>
            <w:noWrap/>
          </w:tcPr>
          <w:p w14:paraId="1216C32D" w14:textId="7F6A715A" w:rsidR="00A60DDE" w:rsidRDefault="00095506">
            <w:pPr>
              <w:pStyle w:val="P68B1DB1-Normal45"/>
              <w:spacing w:after="0" w:line="240" w:lineRule="auto"/>
              <w:rPr>
                <w:noProof/>
              </w:rPr>
            </w:pPr>
            <w:r>
              <w:rPr>
                <w:noProof/>
              </w:rPr>
              <w:t>Livrarea de autobuze cu emisii zero (electrice, troleibuze sau hidrogen).</w:t>
            </w:r>
          </w:p>
        </w:tc>
      </w:tr>
    </w:tbl>
    <w:p w14:paraId="1216C32F" w14:textId="77777777" w:rsidR="00A60DDE" w:rsidRDefault="00A60DDE">
      <w:pPr>
        <w:rPr>
          <w:rFonts w:ascii="Times New Roman" w:hAnsi="Times New Roman" w:cs="Times New Roman"/>
          <w:noProof/>
        </w:rPr>
      </w:pPr>
    </w:p>
    <w:p w14:paraId="1216C330" w14:textId="77777777" w:rsidR="00A60DDE" w:rsidRDefault="00095506">
      <w:pPr>
        <w:pStyle w:val="P68B1DB1-Normal71"/>
        <w:rPr>
          <w:noProof/>
        </w:rPr>
      </w:pPr>
      <w:r>
        <w:rPr>
          <w:noProof/>
        </w:rPr>
        <w:br w:type="page"/>
      </w:r>
    </w:p>
    <w:p w14:paraId="1216C331" w14:textId="77777777" w:rsidR="00A60DDE" w:rsidRDefault="00A60DDE">
      <w:pPr>
        <w:rPr>
          <w:rFonts w:ascii="Times New Roman" w:hAnsi="Times New Roman"/>
          <w:noProof/>
          <w:color w:val="000000"/>
        </w:rPr>
        <w:sectPr w:rsidR="00A60DDE" w:rsidSect="006C5441">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299"/>
        </w:sectPr>
      </w:pPr>
    </w:p>
    <w:p w14:paraId="1216C332" w14:textId="77777777" w:rsidR="00A60DDE" w:rsidRDefault="00095506">
      <w:pPr>
        <w:pStyle w:val="P68B1DB1-Normal91"/>
        <w:spacing w:before="120" w:after="120" w:line="240" w:lineRule="auto"/>
        <w:jc w:val="both"/>
        <w:rPr>
          <w:smallCaps/>
          <w:noProof/>
        </w:rPr>
      </w:pPr>
      <w:r>
        <w:rPr>
          <w:b/>
          <w:noProof/>
        </w:rPr>
        <w:t xml:space="preserve">G3. </w:t>
      </w:r>
      <w:r>
        <w:rPr>
          <w:noProof/>
        </w:rPr>
        <w:t xml:space="preserve"> </w:t>
      </w:r>
      <w:r>
        <w:rPr>
          <w:b/>
          <w:noProof/>
        </w:rPr>
        <w:t xml:space="preserve">Descrierea reformelor și a investițiilor pentru sprijinul sub formă de împrumut </w:t>
      </w:r>
    </w:p>
    <w:p w14:paraId="1216C333" w14:textId="77777777" w:rsidR="00A60DDE" w:rsidRDefault="00A60DDE">
      <w:pPr>
        <w:spacing w:before="120" w:after="120" w:line="240" w:lineRule="auto"/>
        <w:rPr>
          <w:noProof/>
        </w:rPr>
      </w:pPr>
    </w:p>
    <w:p w14:paraId="1216C334" w14:textId="77777777" w:rsidR="00A60DDE" w:rsidRDefault="00095506">
      <w:pPr>
        <w:pStyle w:val="P68B1DB1-Normal93"/>
        <w:spacing w:before="120" w:after="120" w:line="240" w:lineRule="auto"/>
        <w:jc w:val="both"/>
        <w:rPr>
          <w:noProof/>
        </w:rPr>
      </w:pPr>
      <w:r>
        <w:rPr>
          <w:noProof/>
        </w:rPr>
        <w:t>Subcomponenta G3.1 – Îmbunătățirea utilizării energiei din surse regenerabile, a competențelor verzi și a eficienței energetice</w:t>
      </w:r>
    </w:p>
    <w:p w14:paraId="1216C335" w14:textId="77777777" w:rsidR="00A60DDE" w:rsidRDefault="00095506">
      <w:pPr>
        <w:pStyle w:val="P68B1DB1-Normal85"/>
        <w:spacing w:before="120" w:after="120" w:line="240" w:lineRule="auto"/>
        <w:jc w:val="both"/>
        <w:rPr>
          <w:rFonts w:cs="Times New Roman"/>
          <w:noProof/>
        </w:rPr>
      </w:pPr>
      <w:r>
        <w:rPr>
          <w:noProof/>
        </w:rPr>
        <w:t>Subcomponenta urmărește să raționalizeze procedurile de autorizare pentru a accelera utilizarea energiei din surse regenerabile, să accelereze ritmul renovărilor vizând eficiența energetică și să încurajeze recalificarea forței de muncă în vederea dobândirii de competențe verzi. De asemenea, se preconizează că aceasta va stimula investițiile private și va îmbunătăți accesul la finanțare în sectorul energetic, inclusiv în sectorul energiei eoliene offshore.</w:t>
      </w:r>
    </w:p>
    <w:p w14:paraId="1216C336" w14:textId="77777777" w:rsidR="00A60DDE" w:rsidRDefault="00A60DDE">
      <w:pPr>
        <w:spacing w:before="120" w:after="120" w:line="240" w:lineRule="auto"/>
        <w:jc w:val="both"/>
        <w:rPr>
          <w:rFonts w:ascii="Times New Roman" w:hAnsi="Times New Roman" w:cs="Times New Roman"/>
          <w:noProof/>
        </w:rPr>
      </w:pPr>
    </w:p>
    <w:p w14:paraId="1216C337" w14:textId="792EF4E4" w:rsidR="00A60DDE" w:rsidRDefault="00095506">
      <w:pPr>
        <w:pStyle w:val="P68B1DB1-Normal86"/>
        <w:spacing w:before="120" w:after="120" w:line="240" w:lineRule="auto"/>
        <w:jc w:val="both"/>
        <w:rPr>
          <w:rFonts w:cs="Times New Roman"/>
          <w:bCs/>
          <w:noProof/>
        </w:rPr>
      </w:pPr>
      <w:r>
        <w:rPr>
          <w:noProof/>
        </w:rPr>
        <w:t>G3.1.1 Raționalizarea autorizării surselor regenerabile de energie</w:t>
      </w:r>
    </w:p>
    <w:p w14:paraId="1216C338" w14:textId="303B96F7" w:rsidR="00A60DDE" w:rsidRDefault="00095506">
      <w:pPr>
        <w:pStyle w:val="P68B1DB1-Normal91"/>
        <w:spacing w:before="120" w:after="120" w:line="240" w:lineRule="auto"/>
        <w:jc w:val="both"/>
        <w:rPr>
          <w:noProof/>
        </w:rPr>
      </w:pPr>
      <w:r>
        <w:rPr>
          <w:noProof/>
        </w:rPr>
        <w:t>Obiectivul acestei reforme este de a accelera instalarea surselor regenerabile de energie și raționalizarea procedurilor de autorizare. Această măsură constă în (i) publicarea unei cartografieri a potențialului energiei din surse regenerabile pentru tehnologiile din domeniul energiei din surse regenerabile, (ii) intrarea în vigoare a actului (actelor) juridic(e) de stabilire a unui cadru juridic pentru desemnarea zonelor pretabile accelerării proiectelor de producere a energiei din surse regenerabile, (iii) intrarea în vigoare a unei rezoluții de aprobare a finanțării unei platforme informatice pentru procedurile de autorizare a instalațiilor de energie din surse regenerabile și (iv) capacitățile totale instalate ale instalațiilor eoliene și fotovoltaice terestre de 30 GW.</w:t>
      </w:r>
    </w:p>
    <w:p w14:paraId="1216C339" w14:textId="77777777" w:rsidR="00A60DDE" w:rsidRDefault="00A60DDE">
      <w:pPr>
        <w:spacing w:before="120" w:after="120" w:line="240" w:lineRule="auto"/>
        <w:jc w:val="both"/>
        <w:rPr>
          <w:rFonts w:ascii="Times New Roman" w:hAnsi="Times New Roman" w:cs="Times New Roman"/>
          <w:noProof/>
        </w:rPr>
      </w:pPr>
    </w:p>
    <w:p w14:paraId="1216C33A" w14:textId="77777777" w:rsidR="00A60DDE" w:rsidRDefault="00095506">
      <w:pPr>
        <w:pStyle w:val="P68B1DB1-Normal86"/>
        <w:keepNext/>
        <w:spacing w:before="120" w:after="120" w:line="240" w:lineRule="auto"/>
        <w:jc w:val="both"/>
        <w:rPr>
          <w:rFonts w:cs="Times New Roman"/>
          <w:bCs/>
          <w:noProof/>
        </w:rPr>
      </w:pPr>
      <w:r>
        <w:rPr>
          <w:noProof/>
        </w:rPr>
        <w:t>G3.1.2. Competențe pentru tranziția verde</w:t>
      </w:r>
    </w:p>
    <w:p w14:paraId="1216C33B" w14:textId="77777777" w:rsidR="00A60DDE" w:rsidRDefault="00095506">
      <w:pPr>
        <w:pStyle w:val="P68B1DB1-Normal85"/>
        <w:spacing w:before="120" w:after="120" w:line="240" w:lineRule="auto"/>
        <w:jc w:val="both"/>
        <w:rPr>
          <w:rFonts w:eastAsia="Times New Roman" w:cs="Times New Roman"/>
          <w:noProof/>
        </w:rPr>
      </w:pPr>
      <w:r>
        <w:rPr>
          <w:noProof/>
        </w:rPr>
        <w:t>Obiectivul reformei este de a modifica cadrele de calificare în sectoarele esențiale pentru transformarea verde. Această măsură constă în modificarea cadrelor sectoriale de calificare pentru construcții, energie, gestionarea apei și gestionarea deșeurilor și în încorporarea acestora în sistemul integrat de calificări.</w:t>
      </w:r>
    </w:p>
    <w:p w14:paraId="1216C33C" w14:textId="77777777" w:rsidR="00A60DDE" w:rsidRDefault="00A60DDE">
      <w:pPr>
        <w:spacing w:before="120" w:after="120" w:line="240" w:lineRule="auto"/>
        <w:jc w:val="both"/>
        <w:rPr>
          <w:rFonts w:ascii="Times New Roman" w:hAnsi="Times New Roman" w:cs="Times New Roman"/>
          <w:noProof/>
        </w:rPr>
      </w:pPr>
    </w:p>
    <w:p w14:paraId="1216C33D" w14:textId="77777777" w:rsidR="00A60DDE" w:rsidRDefault="00095506">
      <w:pPr>
        <w:pStyle w:val="P68B1DB1-Normal86"/>
        <w:keepNext/>
        <w:spacing w:before="120" w:after="120" w:line="240" w:lineRule="auto"/>
        <w:jc w:val="both"/>
        <w:rPr>
          <w:rFonts w:cs="Times New Roman"/>
          <w:bCs/>
          <w:noProof/>
        </w:rPr>
      </w:pPr>
      <w:r>
        <w:rPr>
          <w:noProof/>
        </w:rPr>
        <w:t>G3.1.3. Stimularea eficienței energetice și accelerarea eliminării treptate a combustibililor fosili în sectorul încălzirii</w:t>
      </w:r>
    </w:p>
    <w:p w14:paraId="1216C33E" w14:textId="77777777" w:rsidR="00A60DDE" w:rsidRDefault="00095506">
      <w:pPr>
        <w:pStyle w:val="P68B1DB1-Normal98"/>
        <w:spacing w:before="120" w:after="120" w:line="240" w:lineRule="auto"/>
        <w:jc w:val="both"/>
        <w:rPr>
          <w:rFonts w:eastAsia="Times New Roman"/>
          <w:noProof/>
        </w:rPr>
      </w:pPr>
      <w:r>
        <w:rPr>
          <w:noProof/>
        </w:rPr>
        <w:t>Obiectivul reformei este de a accelera renovarea locuințelor și eliminarea treptată a combustibililor fosili din sectorul încălzirii. Această măsură constă în actualizarea unui program prioritar existent de către Fondul național pentru protecția mediului și gestionarea apei pentru a sprijini financiar furnizorii de servicii integrate de renovare a locuințelor.</w:t>
      </w:r>
    </w:p>
    <w:p w14:paraId="1216C33F" w14:textId="77777777" w:rsidR="00A60DDE" w:rsidRDefault="00A60DDE">
      <w:pPr>
        <w:rPr>
          <w:rFonts w:ascii="Times New Roman" w:eastAsia="Times New Roman" w:hAnsi="Times New Roman" w:cs="Times New Roman"/>
          <w:noProof/>
          <w:color w:val="000000"/>
        </w:rPr>
      </w:pPr>
    </w:p>
    <w:p w14:paraId="1216C340" w14:textId="77777777" w:rsidR="00A60DDE" w:rsidRDefault="00095506">
      <w:pPr>
        <w:pStyle w:val="P68B1DB1-Normal86"/>
        <w:spacing w:before="120" w:after="120" w:line="240" w:lineRule="auto"/>
        <w:jc w:val="both"/>
        <w:rPr>
          <w:rFonts w:cs="Times New Roman"/>
          <w:bCs/>
          <w:noProof/>
        </w:rPr>
      </w:pPr>
      <w:r>
        <w:rPr>
          <w:noProof/>
        </w:rPr>
        <w:t>G3.1.4. Sprijin pentru sistemul energetic național (Fondul de sprijin pentru energie)</w:t>
      </w:r>
    </w:p>
    <w:p w14:paraId="1216C341" w14:textId="77777777" w:rsidR="00A60DDE" w:rsidRDefault="00A60DDE">
      <w:pPr>
        <w:spacing w:after="0" w:line="240" w:lineRule="auto"/>
        <w:jc w:val="both"/>
        <w:rPr>
          <w:rFonts w:ascii="Times New Roman" w:eastAsia="Times New Roman" w:hAnsi="Times New Roman" w:cs="Times New Roman"/>
          <w:noProof/>
        </w:rPr>
      </w:pPr>
    </w:p>
    <w:p w14:paraId="1216C342" w14:textId="77777777" w:rsidR="00A60DDE" w:rsidRDefault="00095506">
      <w:pPr>
        <w:pStyle w:val="P68B1DB1-Normal85"/>
        <w:spacing w:after="0" w:line="240" w:lineRule="auto"/>
        <w:jc w:val="both"/>
        <w:rPr>
          <w:noProof/>
        </w:rPr>
      </w:pPr>
      <w:r>
        <w:rPr>
          <w:noProof/>
        </w:rPr>
        <w:t>Această măsură constă într-o investiție publică într-o facilitate, Fondul de sprijin energetic, pentru a stimula investițiile private și a îmbunătăți accesul la finanțare în sectoarele economiei poloneze care suportă în mod direct costurile tranziției energetice. Mecanismul funcționează prin acordarea de împrumuturi sectorului privat, precum și entităților din sectorul public implicate în activități similare. Orice investiție sprijinită de mecanism trebuie să fie în conformitate cu obiectivele REPowerEU relevante prevăzute la articolul 21c alineatul (3) din Regulamentul privind MRR, cu excepția articolului 21c alineatul (3) litera (a). Pe baza investițiilor MRR, mecanismul urmărește să ofere inițial o finanțare de cel puțin 15 045 143 508 EUR.</w:t>
      </w:r>
    </w:p>
    <w:p w14:paraId="1216C343" w14:textId="77777777" w:rsidR="00A60DDE" w:rsidRDefault="00A60DDE">
      <w:pPr>
        <w:spacing w:after="0" w:line="240" w:lineRule="auto"/>
        <w:jc w:val="both"/>
        <w:rPr>
          <w:rFonts w:ascii="Times New Roman" w:hAnsi="Times New Roman"/>
          <w:noProof/>
        </w:rPr>
      </w:pPr>
    </w:p>
    <w:p w14:paraId="1216C344" w14:textId="77777777" w:rsidR="00A60DDE" w:rsidRDefault="00095506">
      <w:pPr>
        <w:pStyle w:val="P68B1DB1-Normal85"/>
        <w:spacing w:after="0" w:line="240" w:lineRule="auto"/>
        <w:jc w:val="both"/>
        <w:textAlignment w:val="baseline"/>
        <w:rPr>
          <w:noProof/>
        </w:rPr>
      </w:pPr>
      <w:r>
        <w:rPr>
          <w:noProof/>
        </w:rPr>
        <w:t xml:space="preserve">Facilitatea este gestionată de Bank Gospodarstwa Krajowego (BGK), în calitate de partener de implementare. </w:t>
      </w:r>
    </w:p>
    <w:p w14:paraId="1216C345" w14:textId="77777777" w:rsidR="00A60DDE" w:rsidRDefault="00A60DDE">
      <w:pPr>
        <w:spacing w:after="0" w:line="240" w:lineRule="auto"/>
        <w:jc w:val="both"/>
        <w:rPr>
          <w:rFonts w:ascii="Times New Roman" w:hAnsi="Times New Roman"/>
          <w:noProof/>
        </w:rPr>
      </w:pPr>
    </w:p>
    <w:p w14:paraId="1216C346" w14:textId="77777777" w:rsidR="00A60DDE" w:rsidRDefault="00095506">
      <w:pPr>
        <w:pStyle w:val="P68B1DB1-Normal85"/>
        <w:spacing w:after="0" w:line="240" w:lineRule="auto"/>
        <w:jc w:val="both"/>
        <w:textAlignment w:val="baseline"/>
        <w:rPr>
          <w:rFonts w:ascii="Segoe UI" w:hAnsi="Segoe UI"/>
          <w:noProof/>
          <w:sz w:val="18"/>
        </w:rPr>
      </w:pPr>
      <w:r>
        <w:rPr>
          <w:noProof/>
        </w:rPr>
        <w:t xml:space="preserve">Facilitatea include următoarele linii de produse: </w:t>
      </w:r>
    </w:p>
    <w:p w14:paraId="1216C347" w14:textId="77777777" w:rsidR="00A60DDE" w:rsidRDefault="00095506">
      <w:pPr>
        <w:pStyle w:val="P68B1DB1-Normal85"/>
        <w:numPr>
          <w:ilvl w:val="0"/>
          <w:numId w:val="30"/>
        </w:numPr>
        <w:spacing w:after="0" w:line="240" w:lineRule="auto"/>
        <w:jc w:val="both"/>
        <w:textAlignment w:val="baseline"/>
        <w:rPr>
          <w:noProof/>
        </w:rPr>
      </w:pPr>
      <w:r>
        <w:rPr>
          <w:noProof/>
        </w:rPr>
        <w:t>Finanțare directă din partea BGK: această linie oferă împrumuturi directe beneficiarilor finali pentru finanțarea proiectelor verzi. Împrumuturile sunt acordate direct de BGK.</w:t>
      </w:r>
    </w:p>
    <w:p w14:paraId="1216C348" w14:textId="77777777" w:rsidR="00A60DDE" w:rsidRDefault="00A60DDE">
      <w:pPr>
        <w:spacing w:after="0" w:line="240" w:lineRule="auto"/>
        <w:jc w:val="both"/>
        <w:textAlignment w:val="baseline"/>
        <w:rPr>
          <w:rFonts w:ascii="Times New Roman" w:hAnsi="Times New Roman"/>
          <w:noProof/>
        </w:rPr>
      </w:pPr>
    </w:p>
    <w:p w14:paraId="1216C349" w14:textId="77777777" w:rsidR="00A60DDE" w:rsidRDefault="00095506">
      <w:pPr>
        <w:pStyle w:val="P68B1DB1-Normal85"/>
        <w:spacing w:after="0" w:line="240" w:lineRule="auto"/>
        <w:jc w:val="both"/>
        <w:textAlignment w:val="baseline"/>
        <w:rPr>
          <w:noProof/>
        </w:rPr>
      </w:pPr>
      <w:r>
        <w:rPr>
          <w:noProof/>
        </w:rPr>
        <w:t xml:space="preserve">Pentru a pune în aplicare investiția în mecanism, Polonia și BGK semnează un acord de punere în aplicare care include următorul conținut: </w:t>
      </w:r>
    </w:p>
    <w:p w14:paraId="1216C34A" w14:textId="77777777" w:rsidR="00A60DDE" w:rsidRDefault="00A60DDE">
      <w:pPr>
        <w:spacing w:after="0" w:line="240" w:lineRule="auto"/>
        <w:jc w:val="both"/>
        <w:textAlignment w:val="baseline"/>
        <w:rPr>
          <w:rFonts w:ascii="Segoe UI" w:hAnsi="Segoe UI"/>
          <w:noProof/>
          <w:sz w:val="18"/>
        </w:rPr>
      </w:pPr>
    </w:p>
    <w:p w14:paraId="1216C34B" w14:textId="77777777" w:rsidR="00A60DDE" w:rsidRDefault="00095506">
      <w:pPr>
        <w:pStyle w:val="P68B1DB1-Normal85"/>
        <w:numPr>
          <w:ilvl w:val="0"/>
          <w:numId w:val="31"/>
        </w:numPr>
        <w:spacing w:after="0" w:line="240" w:lineRule="auto"/>
        <w:jc w:val="both"/>
        <w:rPr>
          <w:noProof/>
        </w:rPr>
      </w:pPr>
      <w:r>
        <w:rPr>
          <w:noProof/>
        </w:rPr>
        <w:t xml:space="preserve">Descrierea procesului decizional al instrumentului: Decizia finală de investiții a facilității este luată de un comitet pentru investiții sau de un alt organ de conducere echivalent relevant și este aprobată cu majoritatea voturilor membrilor independenți de guvern. </w:t>
      </w:r>
    </w:p>
    <w:p w14:paraId="1216C34C" w14:textId="77777777" w:rsidR="00A60DDE" w:rsidRDefault="00A60DDE">
      <w:pPr>
        <w:spacing w:after="0" w:line="240" w:lineRule="auto"/>
        <w:jc w:val="both"/>
        <w:textAlignment w:val="baseline"/>
        <w:rPr>
          <w:rFonts w:ascii="Times New Roman" w:hAnsi="Times New Roman"/>
          <w:noProof/>
        </w:rPr>
      </w:pPr>
    </w:p>
    <w:p w14:paraId="1216C34D" w14:textId="77777777" w:rsidR="00A60DDE" w:rsidRDefault="00095506">
      <w:pPr>
        <w:pStyle w:val="P68B1DB1-Normal85"/>
        <w:numPr>
          <w:ilvl w:val="0"/>
          <w:numId w:val="31"/>
        </w:numPr>
        <w:spacing w:after="0" w:line="240" w:lineRule="auto"/>
        <w:jc w:val="both"/>
        <w:rPr>
          <w:noProof/>
        </w:rPr>
      </w:pPr>
      <w:r>
        <w:rPr>
          <w:noProof/>
        </w:rPr>
        <w:t>Cerințele-cheie ale politicii de investiții asociate,</w:t>
      </w:r>
      <w:r>
        <w:rPr>
          <w:b/>
          <w:noProof/>
        </w:rPr>
        <w:t xml:space="preserve"> </w:t>
      </w:r>
      <w:r>
        <w:rPr>
          <w:noProof/>
        </w:rPr>
        <w:t xml:space="preserve">care includ: </w:t>
      </w:r>
    </w:p>
    <w:p w14:paraId="1216C34E" w14:textId="2BC3798B" w:rsidR="00A60DDE" w:rsidRDefault="00095506">
      <w:pPr>
        <w:pStyle w:val="P68B1DB1-Normal85"/>
        <w:numPr>
          <w:ilvl w:val="0"/>
          <w:numId w:val="32"/>
        </w:numPr>
        <w:spacing w:after="0" w:line="240" w:lineRule="auto"/>
        <w:ind w:left="1080"/>
        <w:jc w:val="both"/>
        <w:textAlignment w:val="baseline"/>
        <w:rPr>
          <w:noProof/>
        </w:rPr>
      </w:pPr>
      <w:r>
        <w:rPr>
          <w:noProof/>
        </w:rPr>
        <w:t xml:space="preserve">Descrierea produselor financiare și a beneficiarilor finali eligibili. </w:t>
      </w:r>
    </w:p>
    <w:p w14:paraId="1216C34F" w14:textId="77777777" w:rsidR="00A60DDE" w:rsidRDefault="00095506">
      <w:pPr>
        <w:pStyle w:val="P68B1DB1-Normal85"/>
        <w:numPr>
          <w:ilvl w:val="0"/>
          <w:numId w:val="32"/>
        </w:numPr>
        <w:spacing w:after="0" w:line="240" w:lineRule="auto"/>
        <w:ind w:left="1080"/>
        <w:jc w:val="both"/>
        <w:textAlignment w:val="baseline"/>
        <w:rPr>
          <w:noProof/>
        </w:rPr>
      </w:pPr>
      <w:r>
        <w:rPr>
          <w:noProof/>
        </w:rPr>
        <w:t>Cerința ca toate investițiile sprijinite să fie viabile din punct</w:t>
      </w:r>
      <w:r>
        <w:rPr>
          <w:b/>
          <w:noProof/>
        </w:rPr>
        <w:t xml:space="preserve"> de vedere economic.</w:t>
      </w:r>
      <w:r>
        <w:rPr>
          <w:noProof/>
        </w:rPr>
        <w:t xml:space="preserve"> </w:t>
      </w:r>
    </w:p>
    <w:p w14:paraId="1216C350" w14:textId="77777777" w:rsidR="00A60DDE" w:rsidRDefault="00095506">
      <w:pPr>
        <w:pStyle w:val="P68B1DB1-Normal85"/>
        <w:numPr>
          <w:ilvl w:val="0"/>
          <w:numId w:val="32"/>
        </w:numPr>
        <w:spacing w:after="0" w:line="240" w:lineRule="auto"/>
        <w:ind w:left="1080"/>
        <w:jc w:val="both"/>
        <w:textAlignment w:val="baseline"/>
        <w:rPr>
          <w:noProof/>
        </w:rPr>
      </w:pPr>
      <w:r>
        <w:rPr>
          <w:noProof/>
        </w:rPr>
        <w:t>Cerința de a respecta principiul de „a nu prejudicia în mod semnificativ”, astfel cum este prevăzut în Orientările tehnice privind principiul de „a nu aduce prejudicii semnificative” [C(2023) 6454 final]. În special:</w:t>
      </w:r>
    </w:p>
    <w:p w14:paraId="1216C351" w14:textId="77777777" w:rsidR="00A60DDE" w:rsidRDefault="00095506">
      <w:pPr>
        <w:pStyle w:val="P68B1DB1-Normal85"/>
        <w:numPr>
          <w:ilvl w:val="0"/>
          <w:numId w:val="33"/>
        </w:numPr>
        <w:spacing w:after="0" w:line="240" w:lineRule="auto"/>
        <w:ind w:left="1440"/>
        <w:jc w:val="both"/>
        <w:textAlignment w:val="baseline"/>
        <w:rPr>
          <w:noProof/>
        </w:rPr>
      </w:pPr>
      <w:r>
        <w:rPr>
          <w:noProof/>
        </w:rPr>
        <w:t>Politica de investiții exclude de la eligibilitate următoarea listă de activități și active: (i) activitățile și activele legate de combustibilii fosili, inclusiv utilizarea în aval,</w:t>
      </w:r>
      <w:r>
        <w:rPr>
          <w:noProof/>
        </w:rPr>
        <w:footnoteReference w:id="40"/>
      </w:r>
      <w:r>
        <w:rPr>
          <w:noProof/>
        </w:rPr>
        <w:t>(ii) activitățile și activele din cadrul schemei UE de comercializare a certificatelor de emisii (ETS) care generează emisii de gaze cu efect de seră preconizate care nu sunt mai mici decât valorile de referință relevante,</w:t>
      </w:r>
      <w:r>
        <w:rPr>
          <w:noProof/>
        </w:rPr>
        <w:footnoteReference w:id="41"/>
      </w:r>
      <w:r>
        <w:rPr>
          <w:noProof/>
        </w:rPr>
        <w:t>(iii) activitățile și activele legate de depozitele de deșeuri, incineratoare</w:t>
      </w:r>
      <w:r>
        <w:rPr>
          <w:noProof/>
        </w:rPr>
        <w:footnoteReference w:id="42"/>
      </w:r>
      <w:r>
        <w:rPr>
          <w:noProof/>
        </w:rPr>
        <w:t xml:space="preserve"> și stațiile de tratare mecano-biologică</w:t>
      </w:r>
      <w:r>
        <w:rPr>
          <w:noProof/>
        </w:rPr>
        <w:footnoteReference w:id="43"/>
      </w:r>
      <w:r>
        <w:rPr>
          <w:noProof/>
        </w:rPr>
        <w:t xml:space="preserve"> și (iv) activitățile și activele legate de minerit. </w:t>
      </w:r>
    </w:p>
    <w:p w14:paraId="1216C352" w14:textId="2795AD69" w:rsidR="00A60DDE" w:rsidRDefault="00095506">
      <w:pPr>
        <w:pStyle w:val="P68B1DB1-Normal85"/>
        <w:numPr>
          <w:ilvl w:val="0"/>
          <w:numId w:val="33"/>
        </w:numPr>
        <w:spacing w:after="0" w:line="240" w:lineRule="auto"/>
        <w:ind w:left="1440"/>
        <w:jc w:val="both"/>
        <w:textAlignment w:val="baseline"/>
        <w:rPr>
          <w:noProof/>
        </w:rPr>
      </w:pPr>
      <w:r>
        <w:rPr>
          <w:noProof/>
        </w:rPr>
        <w:t>Politica de investiții sprijină hidrogenul din surse regenerabile numai în conformitate cu actele delegate relevante în temeiul Directivei (UE) 2018/2001 a Parlamentului European și a Consiliului din 11 decembrie 2018.</w:t>
      </w:r>
    </w:p>
    <w:p w14:paraId="1216C353" w14:textId="77777777" w:rsidR="00A60DDE" w:rsidRDefault="00095506">
      <w:pPr>
        <w:pStyle w:val="P68B1DB1-Normal85"/>
        <w:numPr>
          <w:ilvl w:val="0"/>
          <w:numId w:val="33"/>
        </w:numPr>
        <w:spacing w:after="0" w:line="240" w:lineRule="auto"/>
        <w:ind w:left="1440"/>
        <w:jc w:val="both"/>
        <w:rPr>
          <w:noProof/>
        </w:rPr>
      </w:pPr>
      <w:r>
        <w:rPr>
          <w:noProof/>
        </w:rPr>
        <w:t>Politica de investiții sprijină numai producția, transportul, distribuția și stocarea biometanului durabil în conformitate cu criteriile de durabilitate și de reducere a emisiilor de gaze cu efect de seră prevăzute la articolele 29-31 și cu normele privind biocombustibilii pe bază de alimente și furaje prevăzute la articolul 26 din Directiva (UE) 2018/2001 revizuită privind energia din surse regenerabile, precum și cu actele de punere în aplicare și actele delegate conexe. Pentru investițiile în transportul și distribuția biometanului durabil, se garantează conformitatea politicii de investiții cu conceptul de „rețea inteligentă de gaze”, astfel cum este definit în propunerea de revizuire a Regulamentului TEN-E [COM(2020) 824 final], și se introduc dispoziții care să asigure standarde de detectare și prevenire a scurgerilor de metan și biometan, ca parte integrantă a cerințelor de securitate.</w:t>
      </w:r>
    </w:p>
    <w:p w14:paraId="1216C354" w14:textId="77777777" w:rsidR="00A60DDE" w:rsidRDefault="00095506">
      <w:pPr>
        <w:pStyle w:val="P68B1DB1-Normal85"/>
        <w:numPr>
          <w:ilvl w:val="0"/>
          <w:numId w:val="33"/>
        </w:numPr>
        <w:spacing w:after="0" w:line="240" w:lineRule="auto"/>
        <w:ind w:left="1440"/>
        <w:jc w:val="both"/>
        <w:rPr>
          <w:noProof/>
        </w:rPr>
      </w:pPr>
      <w:r>
        <w:rPr>
          <w:noProof/>
        </w:rPr>
        <w:t>Politica de investiții sprijină doar renovarea eficientă din punct de vedere energetic a clădirilor care realizează economii de energie primară de cel puțin 30 %.</w:t>
      </w:r>
    </w:p>
    <w:p w14:paraId="1216C355" w14:textId="77777777" w:rsidR="00A60DDE" w:rsidRDefault="00095506">
      <w:pPr>
        <w:pStyle w:val="P68B1DB1-Normal85"/>
        <w:numPr>
          <w:ilvl w:val="0"/>
          <w:numId w:val="33"/>
        </w:numPr>
        <w:spacing w:after="0" w:line="240" w:lineRule="auto"/>
        <w:ind w:left="1440"/>
        <w:jc w:val="both"/>
        <w:rPr>
          <w:noProof/>
        </w:rPr>
      </w:pPr>
      <w:r>
        <w:rPr>
          <w:noProof/>
        </w:rPr>
        <w:t>În plus, politica de investiții impune respectarea legislației UE și naționale relevante în materie de mediu a beneficiarilor finali ai facilității.</w:t>
      </w:r>
    </w:p>
    <w:p w14:paraId="1216C356" w14:textId="77777777" w:rsidR="00A60DDE" w:rsidRDefault="00095506">
      <w:pPr>
        <w:pStyle w:val="P68B1DB1-Normal85"/>
        <w:numPr>
          <w:ilvl w:val="0"/>
          <w:numId w:val="32"/>
        </w:numPr>
        <w:spacing w:after="0" w:line="240" w:lineRule="auto"/>
        <w:ind w:left="1080"/>
        <w:jc w:val="both"/>
        <w:textAlignment w:val="baseline"/>
        <w:rPr>
          <w:noProof/>
        </w:rPr>
      </w:pPr>
      <w:r>
        <w:rPr>
          <w:noProof/>
        </w:rPr>
        <w:t>Cerința ca beneficiarii finali ai mecanismului să nu primească sprijin din partea altor instrumente ale Uniunii pentru a acoperi aceleași costuri.</w:t>
      </w:r>
    </w:p>
    <w:p w14:paraId="1216C357" w14:textId="77777777" w:rsidR="00A60DDE" w:rsidRDefault="00A60DDE">
      <w:pPr>
        <w:spacing w:after="0" w:line="240" w:lineRule="auto"/>
        <w:ind w:left="1080"/>
        <w:jc w:val="both"/>
        <w:textAlignment w:val="baseline"/>
        <w:rPr>
          <w:rFonts w:ascii="Times New Roman" w:hAnsi="Times New Roman"/>
          <w:noProof/>
        </w:rPr>
      </w:pPr>
    </w:p>
    <w:p w14:paraId="1216C358" w14:textId="77777777" w:rsidR="00A60DDE" w:rsidRDefault="00095506">
      <w:pPr>
        <w:pStyle w:val="P68B1DB1-Normal85"/>
        <w:numPr>
          <w:ilvl w:val="0"/>
          <w:numId w:val="31"/>
        </w:numPr>
        <w:spacing w:after="0" w:line="240" w:lineRule="auto"/>
        <w:jc w:val="both"/>
        <w:rPr>
          <w:noProof/>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 </w:t>
      </w:r>
    </w:p>
    <w:p w14:paraId="1216C359" w14:textId="77777777" w:rsidR="00A60DDE" w:rsidRDefault="00A60DDE">
      <w:pPr>
        <w:spacing w:after="0" w:line="240" w:lineRule="auto"/>
        <w:ind w:left="720"/>
        <w:jc w:val="both"/>
        <w:rPr>
          <w:noProof/>
        </w:rPr>
      </w:pPr>
    </w:p>
    <w:p w14:paraId="1216C35A" w14:textId="77777777" w:rsidR="00A60DDE" w:rsidRDefault="00095506">
      <w:pPr>
        <w:pStyle w:val="P68B1DB1-Normal85"/>
        <w:numPr>
          <w:ilvl w:val="0"/>
          <w:numId w:val="31"/>
        </w:numPr>
        <w:spacing w:after="0" w:line="240" w:lineRule="auto"/>
        <w:jc w:val="both"/>
        <w:rPr>
          <w:noProof/>
        </w:rPr>
      </w:pPr>
      <w:r>
        <w:rPr>
          <w:noProof/>
        </w:rPr>
        <w:t xml:space="preserve">Cerințe de monitorizare, audit și control, inclusiv: </w:t>
      </w:r>
    </w:p>
    <w:p w14:paraId="1216C35B" w14:textId="77777777" w:rsidR="00A60DDE" w:rsidRDefault="00095506">
      <w:pPr>
        <w:pStyle w:val="P68B1DB1-Normal85"/>
        <w:numPr>
          <w:ilvl w:val="1"/>
          <w:numId w:val="31"/>
        </w:numPr>
        <w:spacing w:after="0" w:line="240" w:lineRule="auto"/>
        <w:jc w:val="both"/>
        <w:rPr>
          <w:noProof/>
        </w:rPr>
      </w:pPr>
      <w:r>
        <w:rPr>
          <w:noProof/>
        </w:rPr>
        <w:t>Descrierea sistemului de monitorizare al partenerului de implementare pentru raportarea cu privire la investiția mobilizată.</w:t>
      </w:r>
    </w:p>
    <w:p w14:paraId="1216C35C" w14:textId="77777777" w:rsidR="00A60DDE" w:rsidRDefault="00095506">
      <w:pPr>
        <w:pStyle w:val="P68B1DB1-Normal85"/>
        <w:numPr>
          <w:ilvl w:val="1"/>
          <w:numId w:val="31"/>
        </w:numPr>
        <w:spacing w:after="0" w:line="240" w:lineRule="auto"/>
        <w:jc w:val="both"/>
        <w:rPr>
          <w:noProof/>
        </w:rPr>
      </w:pPr>
      <w:r>
        <w:rPr>
          <w:noProof/>
        </w:rPr>
        <w:t>Descrierea procedurilor partenerului de implementare care vor asigura prevenirea, detectarea și corectarea fraudei, a corupției și a conflictelor de interese.</w:t>
      </w:r>
    </w:p>
    <w:p w14:paraId="1216C35D" w14:textId="77777777" w:rsidR="00A60DDE" w:rsidRDefault="00095506">
      <w:pPr>
        <w:pStyle w:val="P68B1DB1-Normal85"/>
        <w:numPr>
          <w:ilvl w:val="1"/>
          <w:numId w:val="31"/>
        </w:numPr>
        <w:spacing w:after="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1216C35E" w14:textId="77777777" w:rsidR="00A60DDE" w:rsidRDefault="00095506">
      <w:pPr>
        <w:pStyle w:val="P68B1DB1-Normal85"/>
        <w:numPr>
          <w:ilvl w:val="1"/>
          <w:numId w:val="31"/>
        </w:numPr>
        <w:spacing w:after="0" w:line="240" w:lineRule="auto"/>
        <w:jc w:val="both"/>
        <w:rPr>
          <w:noProof/>
        </w:rPr>
      </w:pPr>
      <w:r>
        <w:rPr>
          <w:noProof/>
        </w:rPr>
        <w:t>Obligația de a efectua audituri ex post bazate pe riscuri în conformitate cu un plan de audit al BGK.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w:t>
      </w:r>
    </w:p>
    <w:p w14:paraId="1216C35F" w14:textId="77777777" w:rsidR="00A60DDE" w:rsidRDefault="00A60DDE">
      <w:pPr>
        <w:spacing w:after="0" w:line="240" w:lineRule="auto"/>
        <w:ind w:left="1440"/>
        <w:jc w:val="both"/>
        <w:rPr>
          <w:rFonts w:ascii="Times New Roman" w:hAnsi="Times New Roman"/>
          <w:noProof/>
        </w:rPr>
      </w:pPr>
    </w:p>
    <w:p w14:paraId="1216C360" w14:textId="77777777" w:rsidR="00A60DDE" w:rsidRDefault="00095506">
      <w:pPr>
        <w:numPr>
          <w:ilvl w:val="0"/>
          <w:numId w:val="31"/>
        </w:numPr>
        <w:spacing w:after="0" w:line="240" w:lineRule="auto"/>
        <w:jc w:val="both"/>
        <w:rPr>
          <w:noProof/>
        </w:rPr>
      </w:pPr>
      <w:r>
        <w:rPr>
          <w:rFonts w:ascii="Times New Roman" w:hAnsi="Times New Roman"/>
          <w:noProof/>
        </w:rPr>
        <w:t>Cerințe pentru investițiile în domeniul climei efectuate de partenerul de implementare: cel puțin</w:t>
      </w:r>
      <w:r>
        <w:rPr>
          <w:rFonts w:eastAsia="Times New Roman"/>
          <w:noProof/>
          <w:color w:val="006100"/>
          <w:szCs w:val="24"/>
        </w:rPr>
        <w:t> </w:t>
      </w:r>
      <w:r>
        <w:rPr>
          <w:rFonts w:ascii="Times New Roman" w:hAnsi="Times New Roman"/>
          <w:noProof/>
        </w:rPr>
        <w:t>9</w:t>
      </w:r>
      <w:r>
        <w:rPr>
          <w:rFonts w:eastAsia="Times New Roman"/>
          <w:noProof/>
          <w:color w:val="006100"/>
          <w:szCs w:val="24"/>
        </w:rPr>
        <w:t> </w:t>
      </w:r>
      <w:r>
        <w:rPr>
          <w:rFonts w:ascii="Times New Roman" w:hAnsi="Times New Roman"/>
          <w:noProof/>
        </w:rPr>
        <w:t>087</w:t>
      </w:r>
      <w:r>
        <w:rPr>
          <w:rFonts w:eastAsia="Times New Roman"/>
          <w:noProof/>
          <w:color w:val="006100"/>
          <w:szCs w:val="24"/>
        </w:rPr>
        <w:t> </w:t>
      </w:r>
      <w:r>
        <w:rPr>
          <w:rFonts w:ascii="Times New Roman" w:hAnsi="Times New Roman"/>
          <w:noProof/>
        </w:rPr>
        <w:t>361</w:t>
      </w:r>
      <w:r>
        <w:rPr>
          <w:rFonts w:eastAsia="Times New Roman"/>
          <w:noProof/>
          <w:color w:val="006100"/>
          <w:szCs w:val="24"/>
        </w:rPr>
        <w:t> </w:t>
      </w:r>
      <w:r>
        <w:rPr>
          <w:rFonts w:ascii="Times New Roman" w:hAnsi="Times New Roman"/>
          <w:noProof/>
        </w:rPr>
        <w:t>627 EUR din investițiile MRR în mecanism contribuie la obiectivele privind schimbările climatice în conformitate cu anexa VI la Regulamentul privind MRR.</w:t>
      </w:r>
      <w:r>
        <w:rPr>
          <w:rFonts w:ascii="Times New Roman" w:hAnsi="Times New Roman"/>
          <w:noProof/>
        </w:rPr>
        <w:footnoteReference w:id="44"/>
      </w:r>
    </w:p>
    <w:p w14:paraId="1216C361" w14:textId="77777777" w:rsidR="00A60DDE" w:rsidRDefault="00A60DDE">
      <w:pPr>
        <w:spacing w:after="0" w:line="240" w:lineRule="auto"/>
        <w:jc w:val="both"/>
        <w:textAlignment w:val="baseline"/>
        <w:rPr>
          <w:rFonts w:ascii="Times New Roman" w:hAnsi="Times New Roman"/>
          <w:noProof/>
        </w:rPr>
      </w:pPr>
    </w:p>
    <w:p w14:paraId="1216C362" w14:textId="77777777" w:rsidR="00A60DDE" w:rsidRDefault="00095506">
      <w:pPr>
        <w:pStyle w:val="P68B1DB1-Normal86"/>
        <w:spacing w:before="120" w:after="120" w:line="240" w:lineRule="auto"/>
        <w:jc w:val="both"/>
        <w:rPr>
          <w:noProof/>
        </w:rPr>
      </w:pPr>
      <w:r>
        <w:rPr>
          <w:noProof/>
        </w:rPr>
        <w:t>G3.1.5. Construirea de parcuri eoliene offshore (Fondul pentru energie eoliană offshore)</w:t>
      </w:r>
    </w:p>
    <w:p w14:paraId="1216C363" w14:textId="77777777" w:rsidR="00A60DDE" w:rsidRDefault="00095506">
      <w:pPr>
        <w:spacing w:after="0" w:line="240" w:lineRule="auto"/>
        <w:jc w:val="both"/>
        <w:textAlignment w:val="baseline"/>
        <w:rPr>
          <w:rFonts w:ascii="Segoe UI" w:hAnsi="Segoe UI"/>
          <w:noProof/>
          <w:sz w:val="18"/>
        </w:rPr>
      </w:pPr>
      <w:r>
        <w:rPr>
          <w:rFonts w:ascii="Times New Roman" w:hAnsi="Times New Roman"/>
          <w:noProof/>
        </w:rPr>
        <w:t>Această măsură constă într-o investiție publică într-o facilitate, Fondul pentru energie eoliană offshore, pentru a stimula investițiile private și a îmbunătăți accesul la finanțare în sectorul energiei eoliene offshore din Polonia. Mecanismul funcționează prin acordarea de împrumuturi direct sectorului privat, precum și entităților din sectorul public implicate în activități similare. Pe baza investițiilor MRR, mecanismul urmărește să ofere inițial o finanțare de cel puțin</w:t>
      </w:r>
      <w:r>
        <w:rPr>
          <w:rFonts w:eastAsia="Times New Roman"/>
          <w:noProof/>
          <w:color w:val="006100"/>
          <w:szCs w:val="24"/>
        </w:rPr>
        <w:t>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 xml:space="preserve">567 EUR. </w:t>
      </w:r>
    </w:p>
    <w:p w14:paraId="1216C364" w14:textId="77777777" w:rsidR="00A60DDE" w:rsidRDefault="00A60DDE">
      <w:pPr>
        <w:spacing w:after="0" w:line="240" w:lineRule="auto"/>
        <w:jc w:val="both"/>
        <w:rPr>
          <w:rFonts w:ascii="Times New Roman" w:hAnsi="Times New Roman"/>
          <w:noProof/>
        </w:rPr>
      </w:pPr>
    </w:p>
    <w:p w14:paraId="1216C365" w14:textId="77777777" w:rsidR="00A60DDE" w:rsidRDefault="00095506">
      <w:pPr>
        <w:pStyle w:val="P68B1DB1-Normal85"/>
        <w:spacing w:after="0" w:line="240" w:lineRule="auto"/>
        <w:jc w:val="both"/>
        <w:textAlignment w:val="baseline"/>
        <w:rPr>
          <w:noProof/>
        </w:rPr>
      </w:pPr>
      <w:r>
        <w:rPr>
          <w:noProof/>
        </w:rPr>
        <w:t xml:space="preserve">Facilitatea este gestionată de Bank Gospodarstwa Krajowego (BGK), în calitate de partener de implementare. </w:t>
      </w:r>
    </w:p>
    <w:p w14:paraId="1216C366" w14:textId="77777777" w:rsidR="00A60DDE" w:rsidRDefault="00A60DDE">
      <w:pPr>
        <w:spacing w:after="0" w:line="240" w:lineRule="auto"/>
        <w:jc w:val="both"/>
        <w:textAlignment w:val="baseline"/>
        <w:rPr>
          <w:rFonts w:ascii="Times New Roman" w:hAnsi="Times New Roman"/>
          <w:noProof/>
        </w:rPr>
      </w:pPr>
    </w:p>
    <w:p w14:paraId="1216C367" w14:textId="77777777" w:rsidR="00A60DDE" w:rsidRDefault="00095506">
      <w:pPr>
        <w:pStyle w:val="P68B1DB1-Normal85"/>
        <w:spacing w:after="0" w:line="240" w:lineRule="auto"/>
        <w:jc w:val="both"/>
        <w:textAlignment w:val="baseline"/>
        <w:rPr>
          <w:rFonts w:ascii="Segoe UI" w:hAnsi="Segoe UI"/>
          <w:noProof/>
          <w:sz w:val="18"/>
        </w:rPr>
      </w:pPr>
      <w:r>
        <w:rPr>
          <w:noProof/>
        </w:rPr>
        <w:t xml:space="preserve">Facilitatea include următoarea linie de produse: </w:t>
      </w:r>
    </w:p>
    <w:p w14:paraId="1216C368" w14:textId="77777777" w:rsidR="00A60DDE" w:rsidRDefault="00A60DDE">
      <w:pPr>
        <w:spacing w:after="0" w:line="240" w:lineRule="auto"/>
        <w:textAlignment w:val="baseline"/>
        <w:rPr>
          <w:rFonts w:ascii="Times New Roman" w:hAnsi="Times New Roman"/>
          <w:noProof/>
        </w:rPr>
      </w:pPr>
    </w:p>
    <w:p w14:paraId="1216C369" w14:textId="05C78C5A" w:rsidR="00A60DDE" w:rsidRDefault="00095506">
      <w:pPr>
        <w:pStyle w:val="P68B1DB1-Normal85"/>
        <w:numPr>
          <w:ilvl w:val="0"/>
          <w:numId w:val="30"/>
        </w:numPr>
        <w:spacing w:after="0" w:line="240" w:lineRule="auto"/>
        <w:textAlignment w:val="baseline"/>
        <w:rPr>
          <w:noProof/>
        </w:rPr>
      </w:pPr>
      <w:r>
        <w:rPr>
          <w:noProof/>
        </w:rPr>
        <w:t xml:space="preserve">Finanțare directă din partea BGK: această linie acordă împrumuturi directe întreprinderilor private care produc sau intenționează să producă energie electrică din energie eoliană offshore în parcuri eoliene offshore, precum și entităților din sectorul public implicate în activități similare. Împrumuturile sunt acordate direct de BGK. </w:t>
      </w:r>
    </w:p>
    <w:p w14:paraId="1216C36A" w14:textId="77777777" w:rsidR="00A60DDE" w:rsidRDefault="00A60DDE">
      <w:pPr>
        <w:spacing w:after="0" w:line="240" w:lineRule="auto"/>
        <w:jc w:val="both"/>
        <w:textAlignment w:val="baseline"/>
        <w:rPr>
          <w:rFonts w:ascii="Times New Roman" w:hAnsi="Times New Roman"/>
          <w:noProof/>
        </w:rPr>
      </w:pPr>
    </w:p>
    <w:p w14:paraId="1216C36B" w14:textId="77777777" w:rsidR="00A60DDE" w:rsidRDefault="00095506">
      <w:pPr>
        <w:pStyle w:val="P68B1DB1-Normal85"/>
        <w:spacing w:after="0" w:line="240" w:lineRule="auto"/>
        <w:jc w:val="both"/>
        <w:textAlignment w:val="baseline"/>
        <w:rPr>
          <w:noProof/>
        </w:rPr>
      </w:pPr>
      <w:r>
        <w:rPr>
          <w:noProof/>
        </w:rPr>
        <w:t xml:space="preserve">Pentru a pune în aplicare investiția în mecanism, Polonia și BGK semnează un acord de punere în aplicare care include următorul conținut: </w:t>
      </w:r>
    </w:p>
    <w:p w14:paraId="1216C36C" w14:textId="77777777" w:rsidR="00A60DDE" w:rsidRDefault="00A60DDE">
      <w:pPr>
        <w:spacing w:after="0" w:line="240" w:lineRule="auto"/>
        <w:jc w:val="both"/>
        <w:textAlignment w:val="baseline"/>
        <w:rPr>
          <w:rFonts w:ascii="Segoe UI" w:hAnsi="Segoe UI"/>
          <w:noProof/>
          <w:sz w:val="18"/>
        </w:rPr>
      </w:pPr>
    </w:p>
    <w:p w14:paraId="1216C36D" w14:textId="77777777" w:rsidR="00A60DDE" w:rsidRDefault="00095506">
      <w:pPr>
        <w:pStyle w:val="P68B1DB1-Normal85"/>
        <w:numPr>
          <w:ilvl w:val="0"/>
          <w:numId w:val="34"/>
        </w:numPr>
        <w:spacing w:after="0" w:line="240" w:lineRule="auto"/>
        <w:jc w:val="both"/>
        <w:textAlignment w:val="baseline"/>
        <w:rPr>
          <w:noProof/>
        </w:rPr>
      </w:pPr>
      <w:r>
        <w:rPr>
          <w:noProof/>
        </w:rPr>
        <w:t xml:space="preserve">Descrierea procesului decizional al instrumentului: Decizia finală de investiții a facilității este luată de un comitet pentru investiții sau de un alt organ de conducere echivalent relevant și este aprobată cu majoritatea voturilor membrilor independenți de guvern. </w:t>
      </w:r>
    </w:p>
    <w:p w14:paraId="1216C36E" w14:textId="77777777" w:rsidR="00A60DDE" w:rsidRDefault="00095506">
      <w:pPr>
        <w:pStyle w:val="P68B1DB1-Normal85"/>
        <w:numPr>
          <w:ilvl w:val="0"/>
          <w:numId w:val="34"/>
        </w:numPr>
        <w:spacing w:after="0" w:line="240" w:lineRule="auto"/>
        <w:jc w:val="both"/>
        <w:textAlignment w:val="baseline"/>
        <w:rPr>
          <w:noProof/>
        </w:rPr>
      </w:pPr>
      <w:r>
        <w:rPr>
          <w:noProof/>
        </w:rPr>
        <w:t>Cerințele-cheie ale politicii de investiții asociate, care includ: </w:t>
      </w:r>
    </w:p>
    <w:p w14:paraId="1216C36F" w14:textId="4B8CAAD7" w:rsidR="00A60DDE" w:rsidRDefault="00095506">
      <w:pPr>
        <w:pStyle w:val="P68B1DB1-Normal85"/>
        <w:numPr>
          <w:ilvl w:val="0"/>
          <w:numId w:val="35"/>
        </w:numPr>
        <w:spacing w:after="0" w:line="240" w:lineRule="auto"/>
        <w:jc w:val="both"/>
        <w:textAlignment w:val="baseline"/>
        <w:rPr>
          <w:noProof/>
        </w:rPr>
      </w:pPr>
      <w:r>
        <w:rPr>
          <w:noProof/>
        </w:rPr>
        <w:t xml:space="preserve">Descrierea produsului financiar și a beneficiarilor finali eligibili. </w:t>
      </w:r>
    </w:p>
    <w:p w14:paraId="1216C370" w14:textId="77777777" w:rsidR="00A60DDE" w:rsidRDefault="00095506">
      <w:pPr>
        <w:pStyle w:val="P68B1DB1-Normal85"/>
        <w:numPr>
          <w:ilvl w:val="0"/>
          <w:numId w:val="35"/>
        </w:numPr>
        <w:spacing w:after="0" w:line="240" w:lineRule="auto"/>
        <w:jc w:val="both"/>
        <w:textAlignment w:val="baseline"/>
        <w:rPr>
          <w:noProof/>
        </w:rPr>
      </w:pPr>
      <w:r>
        <w:rPr>
          <w:noProof/>
        </w:rPr>
        <w:t xml:space="preserve">Cerința ca toate investițiile sprijinite să fie viabile din punct de vedere economic. </w:t>
      </w:r>
    </w:p>
    <w:p w14:paraId="1216C371" w14:textId="342A5A61" w:rsidR="00A60DDE" w:rsidRDefault="00095506">
      <w:pPr>
        <w:pStyle w:val="P68B1DB1-Normal85"/>
        <w:numPr>
          <w:ilvl w:val="0"/>
          <w:numId w:val="35"/>
        </w:numPr>
        <w:spacing w:after="0" w:line="240" w:lineRule="auto"/>
        <w:jc w:val="both"/>
        <w:textAlignment w:val="baseline"/>
        <w:rPr>
          <w:noProof/>
        </w:rPr>
      </w:pPr>
      <w:r>
        <w:rPr>
          <w:noProof/>
        </w:rPr>
        <w:t>Cerința de a respecta principiul de „a nu prejudicia în mod semnificativ”, astfel cum este prevăzut în Orientările tehnice privind principiul de „a nu aduce prejudicii semnificative” [C(2023)</w:t>
      </w:r>
      <w:bookmarkStart w:id="17" w:name="_Hlk150284959"/>
      <w:r>
        <w:rPr>
          <w:noProof/>
        </w:rPr>
        <w:t xml:space="preserve"> 6454 final].</w:t>
      </w:r>
      <w:bookmarkEnd w:id="17"/>
      <w:r>
        <w:rPr>
          <w:noProof/>
        </w:rPr>
        <w:t xml:space="preserve"> În special, politica de investiții exclude de la eligibilitate următoarea listă de activități și active: (i) activitățile și activele legate de combustibilii fosili, inclusiv utilizarea în aval,</w:t>
      </w:r>
      <w:r>
        <w:rPr>
          <w:noProof/>
        </w:rPr>
        <w:footnoteReference w:id="45"/>
      </w:r>
      <w:r>
        <w:rPr>
          <w:noProof/>
        </w:rPr>
        <w:t>(ii) activitățile și activele din cadrul schemei UE de comercializare a certificatelor de emisii (ETS) care generează emisii de gaze cu efect de seră preconizate care nu sunt mai mici decât valorile de referință relevante,</w:t>
      </w:r>
      <w:r>
        <w:rPr>
          <w:noProof/>
        </w:rPr>
        <w:footnoteReference w:id="46"/>
      </w:r>
      <w:r>
        <w:rPr>
          <w:noProof/>
        </w:rPr>
        <w:t>(iii) activitățile și activele legate de depozitele de deșeuri, incineratoare</w:t>
      </w:r>
      <w:r>
        <w:rPr>
          <w:noProof/>
        </w:rPr>
        <w:footnoteReference w:id="47"/>
      </w:r>
      <w:r>
        <w:rPr>
          <w:noProof/>
        </w:rPr>
        <w:t xml:space="preserve"> și stațiile de tratare mecano-biologică.</w:t>
      </w:r>
      <w:r>
        <w:rPr>
          <w:noProof/>
        </w:rPr>
        <w:footnoteReference w:id="48"/>
      </w:r>
    </w:p>
    <w:p w14:paraId="1216C372" w14:textId="77777777" w:rsidR="00A60DDE" w:rsidRDefault="00095506">
      <w:pPr>
        <w:pStyle w:val="P68B1DB1-Normal85"/>
        <w:numPr>
          <w:ilvl w:val="0"/>
          <w:numId w:val="35"/>
        </w:numPr>
        <w:spacing w:after="0" w:line="240" w:lineRule="auto"/>
        <w:jc w:val="both"/>
        <w:textAlignment w:val="baseline"/>
        <w:rPr>
          <w:noProof/>
        </w:rPr>
      </w:pPr>
      <w:r>
        <w:rPr>
          <w:noProof/>
        </w:rPr>
        <w:t>Cerința ca beneficiarii finali ai mecanismului să nu primească sprijin din partea altor instrumente ale Uniunii pentru a acoperi aceleași costuri.</w:t>
      </w:r>
    </w:p>
    <w:p w14:paraId="1216C373" w14:textId="77777777" w:rsidR="00A60DDE" w:rsidRDefault="00A60DDE">
      <w:pPr>
        <w:spacing w:after="0" w:line="240" w:lineRule="auto"/>
        <w:jc w:val="both"/>
        <w:textAlignment w:val="baseline"/>
        <w:rPr>
          <w:rFonts w:ascii="Times New Roman" w:hAnsi="Times New Roman"/>
          <w:noProof/>
        </w:rPr>
      </w:pPr>
    </w:p>
    <w:p w14:paraId="1216C374" w14:textId="77777777" w:rsidR="00A60DDE" w:rsidRDefault="00095506">
      <w:pPr>
        <w:pStyle w:val="P68B1DB1-Normal85"/>
        <w:numPr>
          <w:ilvl w:val="0"/>
          <w:numId w:val="34"/>
        </w:numPr>
        <w:spacing w:after="0" w:line="240" w:lineRule="auto"/>
        <w:jc w:val="both"/>
        <w:textAlignment w:val="baseline"/>
        <w:rPr>
          <w:noProof/>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1216C375" w14:textId="77777777" w:rsidR="00A60DDE" w:rsidRDefault="00A60DDE">
      <w:pPr>
        <w:spacing w:after="0" w:line="240" w:lineRule="auto"/>
        <w:ind w:left="360"/>
        <w:jc w:val="both"/>
        <w:textAlignment w:val="baseline"/>
        <w:rPr>
          <w:rFonts w:ascii="Times New Roman" w:hAnsi="Times New Roman"/>
          <w:noProof/>
        </w:rPr>
      </w:pPr>
    </w:p>
    <w:p w14:paraId="1216C376" w14:textId="77777777" w:rsidR="00A60DDE" w:rsidRDefault="00095506">
      <w:pPr>
        <w:pStyle w:val="P68B1DB1-Normal85"/>
        <w:numPr>
          <w:ilvl w:val="0"/>
          <w:numId w:val="34"/>
        </w:numPr>
        <w:spacing w:after="0" w:line="240" w:lineRule="auto"/>
        <w:jc w:val="both"/>
        <w:textAlignment w:val="baseline"/>
        <w:rPr>
          <w:noProof/>
        </w:rPr>
      </w:pPr>
      <w:r>
        <w:rPr>
          <w:noProof/>
        </w:rPr>
        <w:t>Cerințe de monitorizare, audit și control, inclusiv:</w:t>
      </w:r>
    </w:p>
    <w:p w14:paraId="1216C377" w14:textId="77777777" w:rsidR="00A60DDE" w:rsidRDefault="00095506">
      <w:pPr>
        <w:pStyle w:val="P68B1DB1-Normal85"/>
        <w:numPr>
          <w:ilvl w:val="1"/>
          <w:numId w:val="36"/>
        </w:numPr>
        <w:spacing w:after="0" w:line="240" w:lineRule="auto"/>
        <w:jc w:val="both"/>
        <w:textAlignment w:val="baseline"/>
        <w:rPr>
          <w:noProof/>
        </w:rPr>
      </w:pPr>
      <w:r>
        <w:rPr>
          <w:noProof/>
        </w:rPr>
        <w:t xml:space="preserve">Descrierea sistemului de monitorizare al partenerului de implementare pentru raportarea cu privire la investiția mobilizată. </w:t>
      </w:r>
    </w:p>
    <w:p w14:paraId="1216C378" w14:textId="77777777" w:rsidR="00A60DDE" w:rsidRDefault="00095506">
      <w:pPr>
        <w:pStyle w:val="P68B1DB1-Normal85"/>
        <w:numPr>
          <w:ilvl w:val="1"/>
          <w:numId w:val="36"/>
        </w:numPr>
        <w:spacing w:after="0" w:line="240" w:lineRule="auto"/>
        <w:jc w:val="both"/>
        <w:textAlignment w:val="baseline"/>
        <w:rPr>
          <w:noProof/>
        </w:rPr>
      </w:pPr>
      <w:r>
        <w:rPr>
          <w:noProof/>
        </w:rPr>
        <w:t>Descrierea procedurilor partenerului de implementare care vor asigura prevenirea, detectarea și corectarea fraudei, a corupției și a conflictelor de interese.</w:t>
      </w:r>
    </w:p>
    <w:p w14:paraId="1216C379" w14:textId="77777777" w:rsidR="00A60DDE" w:rsidRDefault="00095506">
      <w:pPr>
        <w:pStyle w:val="P68B1DB1-Normal85"/>
        <w:numPr>
          <w:ilvl w:val="1"/>
          <w:numId w:val="36"/>
        </w:numPr>
        <w:spacing w:after="0" w:line="240" w:lineRule="auto"/>
        <w:jc w:val="both"/>
        <w:textAlignment w:val="baseline"/>
        <w:rPr>
          <w:noProof/>
        </w:rPr>
      </w:pPr>
      <w:r>
        <w:rPr>
          <w:noProof/>
        </w:rPr>
        <w:t>Obligația de a verifica eligibilitatea fiecărei operațiuni în conformitate cu cerințele prevăzute în acordul de punere în aplicare înainte de a se angaja să finanțeze o operațiune.</w:t>
      </w:r>
    </w:p>
    <w:p w14:paraId="1216C37A" w14:textId="77777777" w:rsidR="00A60DDE" w:rsidRDefault="00095506">
      <w:pPr>
        <w:pStyle w:val="P68B1DB1-Normal85"/>
        <w:numPr>
          <w:ilvl w:val="1"/>
          <w:numId w:val="36"/>
        </w:numPr>
        <w:spacing w:after="0" w:line="240" w:lineRule="auto"/>
        <w:jc w:val="both"/>
        <w:textAlignment w:val="baseline"/>
        <w:rPr>
          <w:noProof/>
        </w:rPr>
      </w:pPr>
      <w:r>
        <w:rPr>
          <w:noProof/>
        </w:rPr>
        <w:t xml:space="preserve">Obligația de a efectua audituri ex post bazate pe riscuri în conformitate cu un plan de audit al BGK.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aplicabil. </w:t>
      </w:r>
    </w:p>
    <w:p w14:paraId="1216C37B" w14:textId="46B920AC" w:rsidR="00A60DDE" w:rsidRDefault="00095506">
      <w:pPr>
        <w:numPr>
          <w:ilvl w:val="0"/>
          <w:numId w:val="34"/>
        </w:numPr>
        <w:spacing w:after="0" w:line="240" w:lineRule="auto"/>
        <w:jc w:val="both"/>
        <w:textAlignment w:val="baseline"/>
        <w:rPr>
          <w:rFonts w:ascii="Times New Roman" w:hAnsi="Times New Roman"/>
          <w:noProof/>
        </w:rPr>
      </w:pPr>
      <w:r>
        <w:rPr>
          <w:rFonts w:ascii="Times New Roman" w:hAnsi="Times New Roman"/>
          <w:noProof/>
        </w:rPr>
        <w:t>Cerințe pentru investițiile în domeniul climei efectuate de partenerul de implementare:</w:t>
      </w:r>
      <w:r w:rsidR="00A52676">
        <w:rPr>
          <w:rFonts w:ascii="Times New Roman" w:hAnsi="Times New Roman"/>
          <w:noProof/>
        </w:rPr>
        <w:t xml:space="preserve">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567 EUR din investițiile MRR în mecanism contribuie la obiectivele privind schimbările climatice în conformitate cu anexa VI la Regulamentul privind MRR.</w:t>
      </w:r>
      <w:r>
        <w:rPr>
          <w:rFonts w:ascii="Times New Roman" w:hAnsi="Times New Roman"/>
          <w:noProof/>
        </w:rPr>
        <w:footnoteReference w:id="49"/>
      </w:r>
    </w:p>
    <w:p w14:paraId="1216C37C" w14:textId="77777777" w:rsidR="00A60DDE" w:rsidRDefault="00A60DDE">
      <w:pPr>
        <w:spacing w:after="0" w:line="240" w:lineRule="auto"/>
        <w:jc w:val="both"/>
        <w:textAlignment w:val="baseline"/>
        <w:rPr>
          <w:rFonts w:ascii="Times New Roman" w:eastAsia="Times New Roman" w:hAnsi="Times New Roman" w:cs="Times New Roman"/>
          <w:noProof/>
        </w:rPr>
      </w:pPr>
    </w:p>
    <w:p w14:paraId="1216C37D" w14:textId="77777777" w:rsidR="00A60DDE" w:rsidRDefault="00095506">
      <w:pPr>
        <w:pStyle w:val="P68B1DB1-Normal93"/>
        <w:keepNext/>
        <w:spacing w:before="120" w:after="120" w:line="240" w:lineRule="auto"/>
        <w:jc w:val="both"/>
        <w:rPr>
          <w:noProof/>
        </w:rPr>
      </w:pPr>
      <w:r>
        <w:rPr>
          <w:noProof/>
        </w:rPr>
        <w:t>Subcomponenta G3.2 – Îmbunătățirea infrastructurii și a instalațiilor energetice pentru a răspunde nevoilor imediate în materie de securitate a aprovizionării cu gaze</w:t>
      </w:r>
    </w:p>
    <w:p w14:paraId="1216C37E" w14:textId="77777777" w:rsidR="00A60DDE" w:rsidRDefault="00095506">
      <w:pPr>
        <w:pStyle w:val="P68B1DB1-Normal86"/>
        <w:keepNext/>
        <w:spacing w:before="120" w:after="120" w:line="240" w:lineRule="auto"/>
        <w:jc w:val="both"/>
        <w:rPr>
          <w:rFonts w:cs="Times New Roman"/>
          <w:bCs/>
          <w:noProof/>
        </w:rPr>
      </w:pPr>
      <w:r>
        <w:rPr>
          <w:noProof/>
        </w:rPr>
        <w:t>G3.2.1. Construirea infrastructurii de gaze naturale pentru a asigura securitatea energetică</w:t>
      </w:r>
    </w:p>
    <w:p w14:paraId="1216C37F" w14:textId="2F11F0AC" w:rsidR="00A60DDE" w:rsidRDefault="00095506">
      <w:pPr>
        <w:pStyle w:val="P68B1DB1-Normal85"/>
        <w:spacing w:before="120" w:after="120" w:line="240" w:lineRule="auto"/>
        <w:jc w:val="both"/>
        <w:rPr>
          <w:noProof/>
        </w:rPr>
      </w:pPr>
      <w:r>
        <w:rPr>
          <w:noProof/>
        </w:rPr>
        <w:t>Obiectivul acestei investiții este de a îmbunătăți infrastructura și instalațiile energetice pentru a răspunde nevoilor imediate în materie de securitate a aprovizionării cu gaze, inclusiv cu gaze naturale lichefiate, în special pentru a permite diversificarea aprovizionării în interesul Uniunii în ansamblu. Această măsură constă în construirea rețelei de transport al gazelor naturale între Gdańsk și Gustorzyn.</w:t>
      </w:r>
    </w:p>
    <w:p w14:paraId="1216C380" w14:textId="77777777" w:rsidR="00A60DDE" w:rsidRDefault="00095506">
      <w:pPr>
        <w:pStyle w:val="P68B1DB1-Normal99"/>
        <w:spacing w:before="120" w:after="120" w:line="240" w:lineRule="auto"/>
        <w:jc w:val="both"/>
        <w:rPr>
          <w:bCs/>
          <w:noProof/>
        </w:rPr>
      </w:pPr>
      <w:r>
        <w:rPr>
          <w:noProof/>
        </w:rPr>
        <w:t>Subcomponenta G3.3 – Sisteme de stocare a energiei (sprijin rambursabil)</w:t>
      </w:r>
    </w:p>
    <w:p w14:paraId="1216C381" w14:textId="75B6E260" w:rsidR="00A60DDE" w:rsidRDefault="00095506">
      <w:pPr>
        <w:pStyle w:val="P68B1DB1-Normal86"/>
        <w:keepNext/>
        <w:spacing w:before="120" w:after="120" w:line="240" w:lineRule="auto"/>
        <w:jc w:val="both"/>
        <w:rPr>
          <w:rFonts w:cs="Times New Roman"/>
          <w:noProof/>
        </w:rPr>
      </w:pPr>
      <w:r>
        <w:rPr>
          <w:noProof/>
        </w:rPr>
        <w:t>G3.3.1 Sisteme de stocare a energiei (sprijin rambursabil)</w:t>
      </w:r>
    </w:p>
    <w:p w14:paraId="1216C382" w14:textId="77777777" w:rsidR="00A60DDE" w:rsidRDefault="00095506">
      <w:pPr>
        <w:pStyle w:val="P68B1DB1-Normal85"/>
        <w:spacing w:before="120" w:after="120" w:line="240" w:lineRule="auto"/>
        <w:jc w:val="both"/>
        <w:rPr>
          <w:rFonts w:cs="Times New Roman"/>
          <w:noProof/>
        </w:rPr>
      </w:pPr>
      <w:r>
        <w:rPr>
          <w:noProof/>
        </w:rPr>
        <w:t>Obiectivul acestei investiții este de a asigura continuitatea aprovizionării cu energie electrică a clienților și de a spori eficiența utilizării surselor regenerabile de energie.</w:t>
      </w:r>
    </w:p>
    <w:p w14:paraId="1216C383" w14:textId="77777777" w:rsidR="00A60DDE" w:rsidRDefault="00095506">
      <w:pPr>
        <w:pStyle w:val="P68B1DB1-Normal85"/>
        <w:spacing w:before="120" w:after="120" w:line="240" w:lineRule="auto"/>
        <w:jc w:val="both"/>
        <w:rPr>
          <w:noProof/>
        </w:rPr>
      </w:pPr>
      <w:r>
        <w:rPr>
          <w:noProof/>
        </w:rPr>
        <w:t>Această măsură constă în modernizarea parțială a unei instalații de stocare a energiei hidroelectrice prin pompare, prin modernizarea rezervorului superior, a prizelor de apă superioare și inferioare și a tunelurilor derivate.</w:t>
      </w:r>
    </w:p>
    <w:p w14:paraId="1216C384" w14:textId="77777777" w:rsidR="00A60DDE" w:rsidRDefault="00A60DDE">
      <w:pPr>
        <w:spacing w:before="120" w:after="120" w:line="240" w:lineRule="auto"/>
        <w:jc w:val="both"/>
        <w:rPr>
          <w:noProof/>
        </w:rPr>
      </w:pPr>
    </w:p>
    <w:p w14:paraId="1216C385" w14:textId="77777777" w:rsidR="00A60DDE" w:rsidRDefault="00A60DDE">
      <w:pPr>
        <w:rPr>
          <w:rFonts w:ascii="Times New Roman" w:hAnsi="Times New Roman"/>
          <w:noProof/>
        </w:rPr>
        <w:sectPr w:rsidR="00A60DDE" w:rsidSect="006C5441">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299"/>
        </w:sectPr>
      </w:pPr>
    </w:p>
    <w:p w14:paraId="1216C386" w14:textId="77777777" w:rsidR="00A60DDE" w:rsidRDefault="00095506">
      <w:pPr>
        <w:pStyle w:val="P68B1DB1-Normal91"/>
        <w:spacing w:before="120" w:after="120" w:line="240" w:lineRule="auto"/>
        <w:jc w:val="both"/>
        <w:rPr>
          <w:b/>
          <w:smallCaps/>
          <w:noProof/>
        </w:rPr>
      </w:pPr>
      <w:r>
        <w:rPr>
          <w:b/>
          <w:noProof/>
        </w:rPr>
        <w:t xml:space="preserve">G4. </w:t>
      </w:r>
      <w:r>
        <w:rPr>
          <w:noProof/>
        </w:rPr>
        <w:t xml:space="preserve"> </w:t>
      </w:r>
      <w:r>
        <w:rPr>
          <w:b/>
          <w:noProof/>
        </w:rPr>
        <w:t>Jaloane, ținte, indicatori și calendar pentru monitorizarea și punerea în aplicare a împrumutului</w:t>
      </w:r>
    </w:p>
    <w:p w14:paraId="1216C387" w14:textId="77777777" w:rsidR="00A60DDE" w:rsidRDefault="00095506">
      <w:pPr>
        <w:pStyle w:val="P68B1DB1-Normal93"/>
        <w:keepNext/>
        <w:spacing w:before="120" w:after="120" w:line="240" w:lineRule="auto"/>
        <w:jc w:val="both"/>
        <w:rPr>
          <w:noProof/>
        </w:rPr>
      </w:pPr>
      <w:r>
        <w:rPr>
          <w:noProof/>
        </w:rPr>
        <w:t>Subcomponenta G3.1 – Îmbunătățirea utilizării energiei din surse regenerabile, a competențelor verzi și a eficienței energetice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857"/>
        <w:gridCol w:w="1591"/>
        <w:gridCol w:w="1067"/>
        <w:gridCol w:w="936"/>
        <w:gridCol w:w="673"/>
        <w:gridCol w:w="871"/>
        <w:gridCol w:w="877"/>
        <w:gridCol w:w="4105"/>
      </w:tblGrid>
      <w:tr w:rsidR="00A60DDE" w14:paraId="1216C390" w14:textId="77777777">
        <w:trPr>
          <w:trHeight w:val="799"/>
          <w:tblHeader/>
          <w:jc w:val="center"/>
        </w:trPr>
        <w:tc>
          <w:tcPr>
            <w:tcW w:w="803" w:type="dxa"/>
            <w:vMerge w:val="restart"/>
            <w:shd w:val="clear" w:color="auto" w:fill="BDD7EE"/>
            <w:vAlign w:val="center"/>
            <w:hideMark/>
          </w:tcPr>
          <w:p w14:paraId="1216C388" w14:textId="1021D9E0" w:rsidR="00A60DDE" w:rsidRDefault="005631E2">
            <w:pPr>
              <w:pStyle w:val="P68B1DB1-Normal96"/>
              <w:spacing w:after="0" w:line="240" w:lineRule="auto"/>
              <w:jc w:val="center"/>
              <w:rPr>
                <w:rFonts w:eastAsia="Times New Roman" w:cs="Times New Roman"/>
                <w:noProof/>
                <w:szCs w:val="18"/>
              </w:rPr>
            </w:pPr>
            <w:r>
              <w:rPr>
                <w:noProof/>
              </w:rPr>
              <w:t>Nr. secv</w:t>
            </w:r>
          </w:p>
        </w:tc>
        <w:tc>
          <w:tcPr>
            <w:tcW w:w="1461" w:type="dxa"/>
            <w:vMerge w:val="restart"/>
            <w:shd w:val="clear" w:color="auto" w:fill="BDD7EE"/>
            <w:vAlign w:val="center"/>
            <w:hideMark/>
          </w:tcPr>
          <w:p w14:paraId="1216C389" w14:textId="77777777" w:rsidR="00A60DDE" w:rsidRDefault="00095506">
            <w:pPr>
              <w:pStyle w:val="P68B1DB1-Normal88"/>
              <w:spacing w:after="0" w:line="240" w:lineRule="auto"/>
              <w:jc w:val="center"/>
              <w:rPr>
                <w:rFonts w:eastAsia="Times New Roman" w:cs="Times New Roman"/>
                <w:noProof/>
              </w:rPr>
            </w:pPr>
            <w:r>
              <w:rPr>
                <w:noProof/>
              </w:rPr>
              <w:t>Măsură conexă (reformă sau investiție)</w:t>
            </w:r>
          </w:p>
        </w:tc>
        <w:tc>
          <w:tcPr>
            <w:tcW w:w="1068" w:type="dxa"/>
            <w:vMerge w:val="restart"/>
            <w:shd w:val="clear" w:color="auto" w:fill="BDD7EE"/>
            <w:vAlign w:val="center"/>
            <w:hideMark/>
          </w:tcPr>
          <w:p w14:paraId="1216C38A" w14:textId="77777777" w:rsidR="00A60DDE" w:rsidRDefault="00095506">
            <w:pPr>
              <w:pStyle w:val="P68B1DB1-Normal88"/>
              <w:spacing w:after="0" w:line="240" w:lineRule="auto"/>
              <w:jc w:val="center"/>
              <w:rPr>
                <w:rFonts w:eastAsia="Times New Roman" w:cs="Times New Roman"/>
                <w:noProof/>
              </w:rPr>
            </w:pPr>
            <w:r>
              <w:rPr>
                <w:noProof/>
              </w:rPr>
              <w:t>Etapa/ținta</w:t>
            </w:r>
          </w:p>
        </w:tc>
        <w:tc>
          <w:tcPr>
            <w:tcW w:w="1857" w:type="dxa"/>
            <w:vMerge w:val="restart"/>
            <w:shd w:val="clear" w:color="auto" w:fill="BDD7EE"/>
            <w:vAlign w:val="center"/>
            <w:hideMark/>
          </w:tcPr>
          <w:p w14:paraId="1216C38B" w14:textId="77777777" w:rsidR="00A60DDE" w:rsidRDefault="00095506">
            <w:pPr>
              <w:pStyle w:val="P68B1DB1-Normal88"/>
              <w:spacing w:after="0" w:line="240" w:lineRule="auto"/>
              <w:jc w:val="center"/>
              <w:rPr>
                <w:rFonts w:eastAsia="Times New Roman" w:cs="Times New Roman"/>
                <w:noProof/>
              </w:rPr>
            </w:pPr>
            <w:r>
              <w:rPr>
                <w:noProof/>
              </w:rPr>
              <w:t>Denumire</w:t>
            </w:r>
          </w:p>
        </w:tc>
        <w:tc>
          <w:tcPr>
            <w:tcW w:w="1591" w:type="dxa"/>
            <w:vMerge w:val="restart"/>
            <w:shd w:val="clear" w:color="auto" w:fill="BDD7EE"/>
            <w:vAlign w:val="center"/>
            <w:hideMark/>
          </w:tcPr>
          <w:p w14:paraId="1216C38C" w14:textId="25A402B8" w:rsidR="00A60DDE" w:rsidRDefault="00095506">
            <w:pPr>
              <w:pStyle w:val="P68B1DB1-Normal88"/>
              <w:spacing w:after="0" w:line="240" w:lineRule="auto"/>
              <w:jc w:val="center"/>
              <w:rPr>
                <w:rFonts w:eastAsia="Times New Roman" w:cs="Times New Roman"/>
                <w:noProof/>
              </w:rPr>
            </w:pPr>
            <w:r>
              <w:rPr>
                <w:noProof/>
              </w:rPr>
              <w:t>Indicatori calitativi (pentru obiectivele de etapă)</w:t>
            </w:r>
          </w:p>
        </w:tc>
        <w:tc>
          <w:tcPr>
            <w:tcW w:w="2676" w:type="dxa"/>
            <w:gridSpan w:val="3"/>
            <w:shd w:val="clear" w:color="auto" w:fill="BDD7EE"/>
            <w:vAlign w:val="center"/>
            <w:hideMark/>
          </w:tcPr>
          <w:p w14:paraId="1216C38D" w14:textId="161027F0" w:rsidR="00A60DDE" w:rsidRDefault="00095506">
            <w:pPr>
              <w:pStyle w:val="P68B1DB1-Normal88"/>
              <w:spacing w:after="0" w:line="240" w:lineRule="auto"/>
              <w:jc w:val="center"/>
              <w:rPr>
                <w:rFonts w:eastAsia="Times New Roman" w:cs="Times New Roman"/>
                <w:noProof/>
              </w:rPr>
            </w:pPr>
            <w:r>
              <w:rPr>
                <w:noProof/>
              </w:rPr>
              <w:t>Indicatori cantitativi (pentru obiective)</w:t>
            </w:r>
          </w:p>
        </w:tc>
        <w:tc>
          <w:tcPr>
            <w:tcW w:w="1748" w:type="dxa"/>
            <w:gridSpan w:val="2"/>
            <w:shd w:val="clear" w:color="auto" w:fill="BDD7EE"/>
            <w:vAlign w:val="center"/>
            <w:hideMark/>
          </w:tcPr>
          <w:p w14:paraId="1216C38E" w14:textId="77777777" w:rsidR="00A60DDE" w:rsidRDefault="00095506">
            <w:pPr>
              <w:pStyle w:val="P68B1DB1-Normal88"/>
              <w:spacing w:after="0" w:line="240" w:lineRule="auto"/>
              <w:jc w:val="center"/>
              <w:rPr>
                <w:rFonts w:eastAsia="Times New Roman" w:cs="Times New Roman"/>
                <w:noProof/>
              </w:rPr>
            </w:pPr>
            <w:r>
              <w:rPr>
                <w:noProof/>
              </w:rPr>
              <w:t>Calendar orientativ pentru finalizare</w:t>
            </w:r>
          </w:p>
        </w:tc>
        <w:tc>
          <w:tcPr>
            <w:tcW w:w="4105" w:type="dxa"/>
            <w:vMerge w:val="restart"/>
            <w:shd w:val="clear" w:color="auto" w:fill="BDD7EE"/>
            <w:vAlign w:val="center"/>
            <w:hideMark/>
          </w:tcPr>
          <w:p w14:paraId="1216C38F" w14:textId="77777777" w:rsidR="00A60DDE" w:rsidRDefault="00095506">
            <w:pPr>
              <w:pStyle w:val="P68B1DB1-Normal88"/>
              <w:spacing w:after="0" w:line="240" w:lineRule="auto"/>
              <w:jc w:val="center"/>
              <w:rPr>
                <w:rFonts w:eastAsia="Times New Roman" w:cs="Times New Roman"/>
                <w:noProof/>
              </w:rPr>
            </w:pPr>
            <w:r>
              <w:rPr>
                <w:noProof/>
              </w:rPr>
              <w:t>Descrierea fiecărui jalon și a fiecărei ținte</w:t>
            </w:r>
          </w:p>
        </w:tc>
      </w:tr>
      <w:tr w:rsidR="00A60DDE" w14:paraId="1216C39C" w14:textId="77777777">
        <w:trPr>
          <w:trHeight w:val="605"/>
          <w:tblHeader/>
          <w:jc w:val="center"/>
        </w:trPr>
        <w:tc>
          <w:tcPr>
            <w:tcW w:w="803" w:type="dxa"/>
            <w:vMerge/>
            <w:hideMark/>
          </w:tcPr>
          <w:p w14:paraId="1216C391" w14:textId="77777777" w:rsidR="00A60DDE" w:rsidRDefault="00A60DDE">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392" w14:textId="77777777" w:rsidR="00A60DDE" w:rsidRDefault="00A60DDE">
            <w:pPr>
              <w:spacing w:after="0" w:line="240" w:lineRule="auto"/>
              <w:rPr>
                <w:rFonts w:ascii="Times New Roman" w:eastAsia="Times New Roman" w:hAnsi="Times New Roman" w:cs="Times New Roman"/>
                <w:b/>
                <w:bCs/>
                <w:noProof/>
              </w:rPr>
            </w:pPr>
          </w:p>
        </w:tc>
        <w:tc>
          <w:tcPr>
            <w:tcW w:w="1068" w:type="dxa"/>
            <w:vMerge/>
            <w:vAlign w:val="center"/>
            <w:hideMark/>
          </w:tcPr>
          <w:p w14:paraId="1216C393" w14:textId="77777777" w:rsidR="00A60DDE" w:rsidRDefault="00A60DDE">
            <w:pPr>
              <w:spacing w:after="0" w:line="240" w:lineRule="auto"/>
              <w:jc w:val="center"/>
              <w:rPr>
                <w:rFonts w:ascii="Times New Roman" w:eastAsia="Times New Roman" w:hAnsi="Times New Roman" w:cs="Times New Roman"/>
                <w:b/>
                <w:bCs/>
                <w:noProof/>
              </w:rPr>
            </w:pPr>
          </w:p>
        </w:tc>
        <w:tc>
          <w:tcPr>
            <w:tcW w:w="1857" w:type="dxa"/>
            <w:vMerge/>
            <w:vAlign w:val="center"/>
            <w:hideMark/>
          </w:tcPr>
          <w:p w14:paraId="1216C394" w14:textId="77777777" w:rsidR="00A60DDE" w:rsidRDefault="00A60DDE">
            <w:pPr>
              <w:spacing w:after="0" w:line="240" w:lineRule="auto"/>
              <w:rPr>
                <w:rFonts w:ascii="Times New Roman" w:eastAsia="Times New Roman" w:hAnsi="Times New Roman" w:cs="Times New Roman"/>
                <w:b/>
                <w:bCs/>
                <w:noProof/>
              </w:rPr>
            </w:pPr>
          </w:p>
        </w:tc>
        <w:tc>
          <w:tcPr>
            <w:tcW w:w="1591" w:type="dxa"/>
            <w:vMerge/>
            <w:vAlign w:val="center"/>
            <w:hideMark/>
          </w:tcPr>
          <w:p w14:paraId="1216C395" w14:textId="77777777" w:rsidR="00A60DDE" w:rsidRDefault="00A60DDE">
            <w:pPr>
              <w:spacing w:after="0" w:line="240" w:lineRule="auto"/>
              <w:rPr>
                <w:rFonts w:ascii="Times New Roman" w:eastAsia="Times New Roman" w:hAnsi="Times New Roman" w:cs="Times New Roman"/>
                <w:b/>
                <w:bCs/>
                <w:noProof/>
              </w:rPr>
            </w:pPr>
          </w:p>
        </w:tc>
        <w:tc>
          <w:tcPr>
            <w:tcW w:w="1067" w:type="dxa"/>
            <w:shd w:val="clear" w:color="auto" w:fill="BDD7EE"/>
            <w:vAlign w:val="center"/>
            <w:hideMark/>
          </w:tcPr>
          <w:p w14:paraId="1216C396" w14:textId="77777777" w:rsidR="00A60DDE" w:rsidRDefault="00095506">
            <w:pPr>
              <w:pStyle w:val="P68B1DB1-Normal96"/>
              <w:spacing w:after="0" w:line="240" w:lineRule="auto"/>
              <w:jc w:val="center"/>
              <w:rPr>
                <w:rFonts w:eastAsia="Times New Roman" w:cs="Times New Roman"/>
                <w:noProof/>
                <w:szCs w:val="18"/>
              </w:rPr>
            </w:pPr>
            <w:r>
              <w:rPr>
                <w:noProof/>
              </w:rPr>
              <w:t>Unitatea de măsură</w:t>
            </w:r>
          </w:p>
        </w:tc>
        <w:tc>
          <w:tcPr>
            <w:tcW w:w="936" w:type="dxa"/>
            <w:shd w:val="clear" w:color="auto" w:fill="BDD7EE"/>
            <w:vAlign w:val="center"/>
            <w:hideMark/>
          </w:tcPr>
          <w:p w14:paraId="1216C397" w14:textId="77777777" w:rsidR="00A60DDE" w:rsidRDefault="00095506">
            <w:pPr>
              <w:pStyle w:val="P68B1DB1-Normal96"/>
              <w:spacing w:after="0" w:line="240" w:lineRule="auto"/>
              <w:jc w:val="center"/>
              <w:rPr>
                <w:rFonts w:eastAsia="Times New Roman" w:cs="Times New Roman"/>
                <w:noProof/>
                <w:szCs w:val="18"/>
              </w:rPr>
            </w:pPr>
            <w:r>
              <w:rPr>
                <w:noProof/>
              </w:rPr>
              <w:t>Situația de referință</w:t>
            </w:r>
          </w:p>
        </w:tc>
        <w:tc>
          <w:tcPr>
            <w:tcW w:w="673" w:type="dxa"/>
            <w:shd w:val="clear" w:color="auto" w:fill="BDD7EE"/>
            <w:vAlign w:val="center"/>
            <w:hideMark/>
          </w:tcPr>
          <w:p w14:paraId="1216C398" w14:textId="77777777" w:rsidR="00A60DDE" w:rsidRDefault="00095506">
            <w:pPr>
              <w:pStyle w:val="P68B1DB1-Normal96"/>
              <w:spacing w:after="0" w:line="240" w:lineRule="auto"/>
              <w:jc w:val="center"/>
              <w:rPr>
                <w:rFonts w:eastAsia="Times New Roman" w:cs="Times New Roman"/>
                <w:noProof/>
                <w:szCs w:val="18"/>
              </w:rPr>
            </w:pPr>
            <w:r>
              <w:rPr>
                <w:noProof/>
              </w:rPr>
              <w:t>Obiectiv</w:t>
            </w:r>
          </w:p>
        </w:tc>
        <w:tc>
          <w:tcPr>
            <w:tcW w:w="871" w:type="dxa"/>
            <w:shd w:val="clear" w:color="auto" w:fill="BDD7EE"/>
            <w:vAlign w:val="center"/>
            <w:hideMark/>
          </w:tcPr>
          <w:p w14:paraId="1216C399" w14:textId="77777777" w:rsidR="00A60DDE" w:rsidRDefault="00095506">
            <w:pPr>
              <w:pStyle w:val="P68B1DB1-Normal96"/>
              <w:spacing w:after="0" w:line="240" w:lineRule="auto"/>
              <w:jc w:val="center"/>
              <w:rPr>
                <w:rFonts w:eastAsia="Times New Roman" w:cs="Times New Roman"/>
                <w:noProof/>
                <w:szCs w:val="18"/>
              </w:rPr>
            </w:pPr>
            <w:r>
              <w:rPr>
                <w:noProof/>
              </w:rPr>
              <w:t>Trimestrul</w:t>
            </w:r>
          </w:p>
        </w:tc>
        <w:tc>
          <w:tcPr>
            <w:tcW w:w="877" w:type="dxa"/>
            <w:shd w:val="clear" w:color="auto" w:fill="BDD7EE"/>
            <w:vAlign w:val="center"/>
            <w:hideMark/>
          </w:tcPr>
          <w:p w14:paraId="1216C39A" w14:textId="77777777" w:rsidR="00A60DDE" w:rsidRDefault="00095506">
            <w:pPr>
              <w:pStyle w:val="P68B1DB1-Normal96"/>
              <w:spacing w:after="0" w:line="240" w:lineRule="auto"/>
              <w:jc w:val="center"/>
              <w:rPr>
                <w:rFonts w:eastAsia="Times New Roman" w:cs="Times New Roman"/>
                <w:noProof/>
                <w:szCs w:val="18"/>
              </w:rPr>
            </w:pPr>
            <w:r>
              <w:rPr>
                <w:noProof/>
              </w:rPr>
              <w:t>Anul</w:t>
            </w:r>
          </w:p>
        </w:tc>
        <w:tc>
          <w:tcPr>
            <w:tcW w:w="4105" w:type="dxa"/>
            <w:vMerge/>
            <w:vAlign w:val="center"/>
            <w:hideMark/>
          </w:tcPr>
          <w:p w14:paraId="1216C39B" w14:textId="77777777" w:rsidR="00A60DDE" w:rsidRDefault="00A60DDE">
            <w:pPr>
              <w:spacing w:after="0" w:line="240" w:lineRule="auto"/>
              <w:rPr>
                <w:rFonts w:ascii="Times New Roman" w:eastAsia="Times New Roman" w:hAnsi="Times New Roman" w:cs="Times New Roman"/>
                <w:b/>
                <w:bCs/>
                <w:noProof/>
              </w:rPr>
            </w:pPr>
          </w:p>
        </w:tc>
      </w:tr>
      <w:tr w:rsidR="00A60DDE" w14:paraId="1216C3A8" w14:textId="77777777">
        <w:trPr>
          <w:trHeight w:val="309"/>
          <w:jc w:val="center"/>
        </w:trPr>
        <w:tc>
          <w:tcPr>
            <w:tcW w:w="803" w:type="dxa"/>
            <w:shd w:val="clear" w:color="auto" w:fill="C6EFCE"/>
            <w:noWrap/>
          </w:tcPr>
          <w:p w14:paraId="1216C39D" w14:textId="77777777" w:rsidR="00A60DDE" w:rsidRDefault="00095506">
            <w:pPr>
              <w:pStyle w:val="P68B1DB1-Normal45"/>
              <w:spacing w:after="0" w:line="240" w:lineRule="auto"/>
              <w:jc w:val="center"/>
              <w:rPr>
                <w:rFonts w:eastAsia="Times New Roman" w:cs="Times New Roman"/>
                <w:noProof/>
              </w:rPr>
            </w:pPr>
            <w:r>
              <w:rPr>
                <w:noProof/>
              </w:rPr>
              <w:t>G1L</w:t>
            </w:r>
          </w:p>
        </w:tc>
        <w:tc>
          <w:tcPr>
            <w:tcW w:w="1461" w:type="dxa"/>
            <w:shd w:val="clear" w:color="auto" w:fill="C6EFCE"/>
            <w:noWrap/>
          </w:tcPr>
          <w:p w14:paraId="1216C39E" w14:textId="77777777" w:rsidR="00A60DDE" w:rsidRDefault="00095506">
            <w:pPr>
              <w:pStyle w:val="P68B1DB1-Normal89"/>
              <w:spacing w:after="0"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9F"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A0" w14:textId="77777777" w:rsidR="00A60DDE" w:rsidRDefault="00095506">
            <w:pPr>
              <w:pStyle w:val="P68B1DB1-Normal89"/>
              <w:spacing w:after="0" w:line="240" w:lineRule="auto"/>
              <w:rPr>
                <w:rFonts w:eastAsia="Times New Roman" w:cs="Times New Roman"/>
                <w:noProof/>
                <w:szCs w:val="18"/>
              </w:rPr>
            </w:pPr>
            <w:r>
              <w:rPr>
                <w:noProof/>
              </w:rPr>
              <w:t>Cartografierea potențialului energiei din surse regenerabile</w:t>
            </w:r>
          </w:p>
        </w:tc>
        <w:tc>
          <w:tcPr>
            <w:tcW w:w="1591" w:type="dxa"/>
            <w:shd w:val="clear" w:color="auto" w:fill="C6EFCE"/>
            <w:noWrap/>
          </w:tcPr>
          <w:p w14:paraId="1216C3A1" w14:textId="77777777" w:rsidR="00A60DDE" w:rsidRDefault="00095506">
            <w:pPr>
              <w:pStyle w:val="P68B1DB1-Normal89"/>
              <w:spacing w:after="0" w:line="240" w:lineRule="auto"/>
              <w:rPr>
                <w:rFonts w:eastAsia="Times New Roman" w:cs="Times New Roman"/>
                <w:noProof/>
                <w:szCs w:val="18"/>
              </w:rPr>
            </w:pPr>
            <w:r>
              <w:rPr>
                <w:noProof/>
              </w:rPr>
              <w:t>Publicarea online a hărții (hărților) potențialului de energie din surse regenerabile</w:t>
            </w:r>
          </w:p>
        </w:tc>
        <w:tc>
          <w:tcPr>
            <w:tcW w:w="1067" w:type="dxa"/>
            <w:shd w:val="clear" w:color="auto" w:fill="C6EFCE"/>
            <w:noWrap/>
          </w:tcPr>
          <w:p w14:paraId="1216C3A2"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A3"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3A4"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3A5" w14:textId="77777777" w:rsidR="00A60DDE" w:rsidRDefault="00095506">
            <w:pPr>
              <w:pStyle w:val="P68B1DB1-Normal89"/>
              <w:jc w:val="center"/>
              <w:rPr>
                <w:rFonts w:eastAsia="Times New Roman" w:cs="Times New Roman"/>
                <w:noProof/>
                <w:szCs w:val="18"/>
              </w:rPr>
            </w:pPr>
            <w:r>
              <w:rPr>
                <w:noProof/>
              </w:rPr>
              <w:t>T4</w:t>
            </w:r>
          </w:p>
        </w:tc>
        <w:tc>
          <w:tcPr>
            <w:tcW w:w="877" w:type="dxa"/>
            <w:shd w:val="clear" w:color="auto" w:fill="C6EFCE"/>
            <w:noWrap/>
          </w:tcPr>
          <w:p w14:paraId="1216C3A6" w14:textId="77777777" w:rsidR="00A60DDE" w:rsidRDefault="00095506">
            <w:pPr>
              <w:pStyle w:val="P68B1DB1-Normal89"/>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3A7" w14:textId="77777777" w:rsidR="00A60DDE" w:rsidRDefault="00095506">
            <w:pPr>
              <w:pStyle w:val="P68B1DB1-Normal45"/>
              <w:spacing w:after="0" w:line="240" w:lineRule="auto"/>
              <w:rPr>
                <w:noProof/>
              </w:rPr>
            </w:pPr>
            <w:r>
              <w:rPr>
                <w:noProof/>
              </w:rPr>
              <w:t>Harta (hărțile) potențialului surselor regenerabile de energie cel puțin pentru energia solară și eoliană terestră, care acoperă întregul teritoriu al Poloniei, se publică online și servesc drept contribuție la desemnarea zonelor pretabile accelerării proiectelor de producere a energiei din surse regenerabile.</w:t>
            </w:r>
          </w:p>
        </w:tc>
      </w:tr>
      <w:tr w:rsidR="00A60DDE" w14:paraId="1216C3B6" w14:textId="77777777">
        <w:trPr>
          <w:trHeight w:val="309"/>
          <w:jc w:val="center"/>
        </w:trPr>
        <w:tc>
          <w:tcPr>
            <w:tcW w:w="803" w:type="dxa"/>
            <w:shd w:val="clear" w:color="auto" w:fill="C6EFCE"/>
            <w:noWrap/>
          </w:tcPr>
          <w:p w14:paraId="1216C3A9" w14:textId="77777777" w:rsidR="00A60DDE" w:rsidRDefault="00095506">
            <w:pPr>
              <w:pStyle w:val="P68B1DB1-Normal45"/>
              <w:spacing w:after="0" w:line="240" w:lineRule="auto"/>
              <w:jc w:val="center"/>
              <w:rPr>
                <w:rFonts w:eastAsia="Times New Roman" w:cs="Times New Roman"/>
                <w:noProof/>
              </w:rPr>
            </w:pPr>
            <w:r>
              <w:rPr>
                <w:noProof/>
              </w:rPr>
              <w:t>G2L</w:t>
            </w:r>
          </w:p>
        </w:tc>
        <w:tc>
          <w:tcPr>
            <w:tcW w:w="1461" w:type="dxa"/>
            <w:shd w:val="clear" w:color="auto" w:fill="C6EFCE"/>
            <w:noWrap/>
          </w:tcPr>
          <w:p w14:paraId="1216C3AA" w14:textId="77777777" w:rsidR="00A60DDE" w:rsidRDefault="00095506">
            <w:pPr>
              <w:pStyle w:val="P68B1DB1-Normal89"/>
              <w:spacing w:after="0"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AB"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AC" w14:textId="77777777" w:rsidR="00A60DDE" w:rsidRDefault="00095506">
            <w:pPr>
              <w:pStyle w:val="P68B1DB1-Normal45"/>
              <w:spacing w:after="0" w:line="240" w:lineRule="auto"/>
              <w:rPr>
                <w:rFonts w:eastAsia="Times New Roman" w:cs="Times New Roman"/>
                <w:noProof/>
              </w:rPr>
            </w:pPr>
            <w:r>
              <w:rPr>
                <w:noProof/>
              </w:rPr>
              <w:t>Act(e) juridic(e) de stabilire a unui cadru juridic pentru desemnarea zonelor pretabile accelerării proiectelor de producere a energiei din surse regenerabile</w:t>
            </w:r>
          </w:p>
        </w:tc>
        <w:tc>
          <w:tcPr>
            <w:tcW w:w="1591" w:type="dxa"/>
            <w:shd w:val="clear" w:color="auto" w:fill="C6EFCE"/>
            <w:noWrap/>
          </w:tcPr>
          <w:p w14:paraId="1216C3AD" w14:textId="77777777" w:rsidR="00A60DDE" w:rsidRDefault="00095506">
            <w:pPr>
              <w:pStyle w:val="P68B1DB1-Normal89"/>
              <w:spacing w:after="0" w:line="240" w:lineRule="auto"/>
              <w:rPr>
                <w:rFonts w:eastAsia="Times New Roman" w:cs="Times New Roman"/>
                <w:noProof/>
                <w:szCs w:val="18"/>
              </w:rPr>
            </w:pPr>
            <w:r>
              <w:rPr>
                <w:noProof/>
              </w:rPr>
              <w:t>Dispoziție din actul (actele) juridic(e) care indică intrarea lor în vigoare</w:t>
            </w:r>
          </w:p>
        </w:tc>
        <w:tc>
          <w:tcPr>
            <w:tcW w:w="1067" w:type="dxa"/>
            <w:shd w:val="clear" w:color="auto" w:fill="C6EFCE"/>
            <w:noWrap/>
          </w:tcPr>
          <w:p w14:paraId="1216C3AE"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AF"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3B0"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3B1"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3B2" w14:textId="77777777" w:rsidR="00A60DDE" w:rsidRDefault="00095506">
            <w:pPr>
              <w:pStyle w:val="P68B1DB1-Normal89"/>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3B3" w14:textId="57DA0EC8" w:rsidR="00A60DDE" w:rsidRDefault="00095506">
            <w:pPr>
              <w:pStyle w:val="P68B1DB1-Normal89"/>
              <w:spacing w:after="0" w:line="240" w:lineRule="auto"/>
              <w:rPr>
                <w:noProof/>
              </w:rPr>
            </w:pPr>
            <w:r>
              <w:rPr>
                <w:noProof/>
              </w:rPr>
              <w:t>Intrarea în vigoare a actului (actelor) juridic(e) care stabilește (stabilesc) un cadru juridic pentru desemnarea zonelor pretabile accelerării proiectelor de producere a energiei din surse regenerabile atât pentru instalațiile eoliene terestre, cât și pentru cele fotovoltaice.</w:t>
            </w:r>
          </w:p>
          <w:p w14:paraId="1216C3B4" w14:textId="77777777" w:rsidR="00A60DDE" w:rsidRDefault="00A60DDE">
            <w:pPr>
              <w:spacing w:after="0" w:line="240" w:lineRule="auto"/>
              <w:rPr>
                <w:rFonts w:ascii="Times New Roman" w:hAnsi="Times New Roman"/>
                <w:noProof/>
                <w:sz w:val="18"/>
              </w:rPr>
            </w:pPr>
          </w:p>
          <w:p w14:paraId="1216C3B5" w14:textId="77777777" w:rsidR="00A60DDE" w:rsidRDefault="00095506">
            <w:pPr>
              <w:pStyle w:val="P68B1DB1-Normal89"/>
              <w:spacing w:after="0" w:line="240" w:lineRule="auto"/>
              <w:rPr>
                <w:noProof/>
              </w:rPr>
            </w:pPr>
            <w:r>
              <w:rPr>
                <w:noProof/>
              </w:rPr>
              <w:t>Acest cadru juridic definește: (i) autoritățile competente responsabile cu desemnarea zonelor pretabile accelerării proiectelor de producere a energiei din surse regenerabile și responsabilitățile acestora; și (ii) procedurile de autorizare care se aplică în zonele pretabile accelerării proiectelor de producere a energiei din surse regenerabile.</w:t>
            </w:r>
          </w:p>
        </w:tc>
      </w:tr>
      <w:tr w:rsidR="00A60DDE" w14:paraId="1216C3C6" w14:textId="77777777">
        <w:trPr>
          <w:trHeight w:val="309"/>
          <w:jc w:val="center"/>
        </w:trPr>
        <w:tc>
          <w:tcPr>
            <w:tcW w:w="803" w:type="dxa"/>
            <w:shd w:val="clear" w:color="auto" w:fill="C6EFCE"/>
            <w:noWrap/>
          </w:tcPr>
          <w:p w14:paraId="1216C3B7" w14:textId="1975BDE0" w:rsidR="00A60DDE" w:rsidRDefault="00095506">
            <w:pPr>
              <w:pStyle w:val="P68B1DB1-Normal45"/>
              <w:spacing w:after="0" w:line="240" w:lineRule="auto"/>
              <w:jc w:val="center"/>
              <w:rPr>
                <w:rFonts w:eastAsia="Times New Roman" w:cs="Times New Roman"/>
                <w:noProof/>
              </w:rPr>
            </w:pPr>
            <w:r>
              <w:rPr>
                <w:noProof/>
              </w:rPr>
              <w:t>G5L</w:t>
            </w:r>
          </w:p>
        </w:tc>
        <w:tc>
          <w:tcPr>
            <w:tcW w:w="1461" w:type="dxa"/>
            <w:shd w:val="clear" w:color="auto" w:fill="C6EFCE"/>
            <w:noWrap/>
          </w:tcPr>
          <w:p w14:paraId="1216C3B8" w14:textId="77777777" w:rsidR="00A60DDE" w:rsidRDefault="00095506">
            <w:pPr>
              <w:pStyle w:val="P68B1DB1-Normal89"/>
              <w:spacing w:after="0"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B9" w14:textId="77777777" w:rsidR="00A60DDE" w:rsidRDefault="00095506">
            <w:pPr>
              <w:pStyle w:val="P68B1DB1-Normal89"/>
              <w:spacing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BA" w14:textId="2BA45EB9" w:rsidR="00A60DDE" w:rsidRDefault="00095506">
            <w:pPr>
              <w:pStyle w:val="P68B1DB1-Normal89"/>
              <w:spacing w:after="0" w:line="240" w:lineRule="auto"/>
              <w:rPr>
                <w:rFonts w:eastAsia="Times New Roman" w:cs="Times New Roman"/>
                <w:noProof/>
                <w:szCs w:val="18"/>
              </w:rPr>
            </w:pPr>
            <w:r>
              <w:rPr>
                <w:noProof/>
              </w:rPr>
              <w:t xml:space="preserve">Intrarea în vigoare a unei rezoluții de aprobare a finanțării unei platforme informatice pentru procedurile de autorizare a instalațiilor de energie din surse regenerabile </w:t>
            </w:r>
          </w:p>
        </w:tc>
        <w:tc>
          <w:tcPr>
            <w:tcW w:w="1591" w:type="dxa"/>
            <w:shd w:val="clear" w:color="auto" w:fill="C6EFCE"/>
            <w:noWrap/>
          </w:tcPr>
          <w:p w14:paraId="1216C3BB" w14:textId="03B7E9C1" w:rsidR="00A60DDE" w:rsidRDefault="00095506">
            <w:pPr>
              <w:pStyle w:val="P68B1DB1-Normal45"/>
              <w:spacing w:after="0" w:line="240" w:lineRule="auto"/>
              <w:rPr>
                <w:rFonts w:eastAsia="Times New Roman" w:cs="Times New Roman"/>
                <w:noProof/>
              </w:rPr>
            </w:pPr>
            <w:r>
              <w:rPr>
                <w:noProof/>
              </w:rPr>
              <w:t>Dispoziție din rezoluție care indică intrarea sa în vigoare</w:t>
            </w:r>
          </w:p>
        </w:tc>
        <w:tc>
          <w:tcPr>
            <w:tcW w:w="1067" w:type="dxa"/>
            <w:shd w:val="clear" w:color="auto" w:fill="C6EFCE"/>
            <w:noWrap/>
          </w:tcPr>
          <w:p w14:paraId="1216C3BC"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BD"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3BE"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3BF" w14:textId="77777777" w:rsidR="00A60DDE" w:rsidRDefault="00095506">
            <w:pPr>
              <w:pStyle w:val="P68B1DB1-Normal89"/>
              <w:spacing w:after="0" w:line="240" w:lineRule="auto"/>
              <w:jc w:val="center"/>
              <w:rPr>
                <w:rFonts w:eastAsia="Times New Roman" w:cs="Times New Roman"/>
                <w:noProof/>
                <w:szCs w:val="18"/>
              </w:rPr>
            </w:pPr>
            <w:r>
              <w:rPr>
                <w:noProof/>
              </w:rPr>
              <w:t>T2</w:t>
            </w:r>
          </w:p>
        </w:tc>
        <w:tc>
          <w:tcPr>
            <w:tcW w:w="877" w:type="dxa"/>
            <w:shd w:val="clear" w:color="auto" w:fill="C6EFCE"/>
            <w:noWrap/>
          </w:tcPr>
          <w:p w14:paraId="1216C3C0" w14:textId="77777777" w:rsidR="00A60DDE" w:rsidRDefault="00095506">
            <w:pPr>
              <w:pStyle w:val="P68B1DB1-Normal45"/>
              <w:spacing w:after="0" w:line="240" w:lineRule="auto"/>
              <w:jc w:val="center"/>
              <w:rPr>
                <w:rFonts w:eastAsia="Times New Roman" w:cs="Times New Roman"/>
                <w:noProof/>
              </w:rPr>
            </w:pPr>
            <w:r>
              <w:rPr>
                <w:noProof/>
              </w:rPr>
              <w:t>2026</w:t>
            </w:r>
          </w:p>
        </w:tc>
        <w:tc>
          <w:tcPr>
            <w:tcW w:w="4105" w:type="dxa"/>
            <w:shd w:val="clear" w:color="auto" w:fill="C6EFCE"/>
            <w:noWrap/>
          </w:tcPr>
          <w:p w14:paraId="1216C3C5" w14:textId="55BA401F" w:rsidR="00A60DDE" w:rsidRDefault="00095506">
            <w:pPr>
              <w:spacing w:after="0" w:line="240" w:lineRule="auto"/>
              <w:rPr>
                <w:rFonts w:ascii="Times New Roman" w:eastAsia="Times New Roman" w:hAnsi="Times New Roman" w:cs="Times New Roman"/>
                <w:noProof/>
                <w:sz w:val="18"/>
                <w:szCs w:val="18"/>
              </w:rPr>
            </w:pPr>
            <w:r>
              <w:rPr>
                <w:noProof/>
              </w:rPr>
              <w:t xml:space="preserve"> </w:t>
            </w:r>
            <w:r>
              <w:rPr>
                <w:rFonts w:ascii="Times New Roman" w:eastAsia="Times New Roman" w:hAnsi="Times New Roman" w:cs="Times New Roman"/>
                <w:noProof/>
                <w:sz w:val="18"/>
                <w:szCs w:val="18"/>
              </w:rPr>
              <w:t>Intrarea în vigoare a unei rezoluții a Fondului național pentru protecția mediului și gestionarea apei (NFOŚiGW) de aprobare a finanțării unei platforme informatice pentru procedurile de autorizare a instalațiilor de energie din surse regenerabile.</w:t>
            </w:r>
          </w:p>
        </w:tc>
      </w:tr>
      <w:tr w:rsidR="00A60DDE" w14:paraId="1216C3D2" w14:textId="77777777">
        <w:trPr>
          <w:trHeight w:val="309"/>
          <w:jc w:val="center"/>
        </w:trPr>
        <w:tc>
          <w:tcPr>
            <w:tcW w:w="803" w:type="dxa"/>
            <w:shd w:val="clear" w:color="auto" w:fill="C6EFCE"/>
            <w:noWrap/>
          </w:tcPr>
          <w:p w14:paraId="1216C3C7" w14:textId="77777777" w:rsidR="00A60DDE" w:rsidRDefault="00095506">
            <w:pPr>
              <w:pStyle w:val="P68B1DB1-Normal45"/>
              <w:spacing w:after="0" w:line="240" w:lineRule="auto"/>
              <w:jc w:val="center"/>
              <w:rPr>
                <w:rFonts w:eastAsia="Times New Roman" w:cs="Times New Roman"/>
                <w:noProof/>
              </w:rPr>
            </w:pPr>
            <w:r>
              <w:rPr>
                <w:noProof/>
              </w:rPr>
              <w:t>G6L</w:t>
            </w:r>
          </w:p>
        </w:tc>
        <w:tc>
          <w:tcPr>
            <w:tcW w:w="1461" w:type="dxa"/>
            <w:shd w:val="clear" w:color="auto" w:fill="C6EFCE"/>
            <w:noWrap/>
          </w:tcPr>
          <w:p w14:paraId="1216C3C8" w14:textId="77777777" w:rsidR="00A60DDE" w:rsidRDefault="00095506">
            <w:pPr>
              <w:pStyle w:val="P68B1DB1-Normal89"/>
              <w:spacing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C9" w14:textId="77777777" w:rsidR="00A60DDE" w:rsidRDefault="00095506">
            <w:pPr>
              <w:pStyle w:val="P68B1DB1-Normal89"/>
              <w:spacing w:line="240" w:lineRule="auto"/>
              <w:jc w:val="center"/>
              <w:rPr>
                <w:rFonts w:eastAsia="Times New Roman" w:cs="Times New Roman"/>
                <w:noProof/>
                <w:szCs w:val="18"/>
              </w:rPr>
            </w:pPr>
            <w:r>
              <w:rPr>
                <w:noProof/>
              </w:rPr>
              <w:t>Țintă</w:t>
            </w:r>
          </w:p>
        </w:tc>
        <w:tc>
          <w:tcPr>
            <w:tcW w:w="1857" w:type="dxa"/>
            <w:shd w:val="clear" w:color="auto" w:fill="C6EFCE"/>
            <w:noWrap/>
          </w:tcPr>
          <w:p w14:paraId="1216C3CA" w14:textId="77777777" w:rsidR="00A60DDE" w:rsidRDefault="00095506">
            <w:pPr>
              <w:pStyle w:val="P68B1DB1-Normal89"/>
              <w:spacing w:after="0" w:line="240" w:lineRule="auto"/>
              <w:rPr>
                <w:rFonts w:eastAsia="Times New Roman" w:cs="Times New Roman"/>
                <w:noProof/>
                <w:szCs w:val="18"/>
              </w:rPr>
            </w:pPr>
            <w:r>
              <w:rPr>
                <w:noProof/>
              </w:rPr>
              <w:t>Capacitatea instalată a instalațiilor eoliene și fotovoltaice terestre (în GW)</w:t>
            </w:r>
          </w:p>
        </w:tc>
        <w:tc>
          <w:tcPr>
            <w:tcW w:w="1591" w:type="dxa"/>
            <w:shd w:val="clear" w:color="auto" w:fill="C6EFCE"/>
            <w:noWrap/>
          </w:tcPr>
          <w:p w14:paraId="1216C3CB" w14:textId="77777777" w:rsidR="00A60DDE" w:rsidRDefault="00A60DDE">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3CC" w14:textId="77777777" w:rsidR="00A60DDE" w:rsidRDefault="00095506">
            <w:pPr>
              <w:pStyle w:val="P68B1DB1-Normal89"/>
              <w:spacing w:after="0" w:line="240" w:lineRule="auto"/>
              <w:jc w:val="center"/>
              <w:rPr>
                <w:rFonts w:eastAsia="Times New Roman" w:cs="Times New Roman"/>
                <w:noProof/>
                <w:szCs w:val="18"/>
              </w:rPr>
            </w:pPr>
            <w:r>
              <w:rPr>
                <w:noProof/>
              </w:rPr>
              <w:t>Număr</w:t>
            </w:r>
          </w:p>
        </w:tc>
        <w:tc>
          <w:tcPr>
            <w:tcW w:w="936" w:type="dxa"/>
            <w:shd w:val="clear" w:color="auto" w:fill="C6EFCE"/>
            <w:noWrap/>
          </w:tcPr>
          <w:p w14:paraId="1216C3CD" w14:textId="77777777" w:rsidR="00A60DDE" w:rsidRDefault="00095506">
            <w:pPr>
              <w:pStyle w:val="P68B1DB1-Normal45"/>
              <w:spacing w:after="0" w:line="240" w:lineRule="auto"/>
              <w:jc w:val="center"/>
              <w:rPr>
                <w:rFonts w:eastAsia="Times New Roman" w:cs="Times New Roman"/>
                <w:noProof/>
              </w:rPr>
            </w:pPr>
            <w:r>
              <w:rPr>
                <w:noProof/>
              </w:rPr>
              <w:t>23.5</w:t>
            </w:r>
          </w:p>
        </w:tc>
        <w:tc>
          <w:tcPr>
            <w:tcW w:w="673" w:type="dxa"/>
            <w:shd w:val="clear" w:color="auto" w:fill="C6EFCE"/>
            <w:noWrap/>
          </w:tcPr>
          <w:p w14:paraId="1216C3CE" w14:textId="77777777" w:rsidR="00A60DDE" w:rsidRDefault="00095506">
            <w:pPr>
              <w:pStyle w:val="P68B1DB1-Normal89"/>
              <w:spacing w:after="0" w:line="240" w:lineRule="auto"/>
              <w:jc w:val="center"/>
              <w:rPr>
                <w:rFonts w:eastAsia="Times New Roman" w:cs="Times New Roman"/>
                <w:noProof/>
                <w:szCs w:val="18"/>
              </w:rPr>
            </w:pPr>
            <w:r>
              <w:rPr>
                <w:noProof/>
              </w:rPr>
              <w:t>28</w:t>
            </w:r>
          </w:p>
        </w:tc>
        <w:tc>
          <w:tcPr>
            <w:tcW w:w="871" w:type="dxa"/>
            <w:shd w:val="clear" w:color="auto" w:fill="C6EFCE"/>
            <w:noWrap/>
          </w:tcPr>
          <w:p w14:paraId="1216C3CF"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3D0"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3D1" w14:textId="77777777" w:rsidR="00A60DDE" w:rsidRDefault="00095506">
            <w:pPr>
              <w:pStyle w:val="P68B1DB1-Normal89"/>
              <w:spacing w:after="0" w:line="240" w:lineRule="auto"/>
              <w:rPr>
                <w:rFonts w:eastAsia="Times New Roman" w:cs="Times New Roman"/>
                <w:noProof/>
                <w:szCs w:val="18"/>
              </w:rPr>
            </w:pPr>
            <w:r>
              <w:rPr>
                <w:noProof/>
              </w:rPr>
              <w:t>Capacitatea instalată totală (în GW) a instalațiilor eoliene și fotovoltaice terestre.</w:t>
            </w:r>
          </w:p>
        </w:tc>
      </w:tr>
      <w:tr w:rsidR="00A60DDE" w14:paraId="1216C3DE" w14:textId="77777777">
        <w:trPr>
          <w:trHeight w:val="1540"/>
          <w:jc w:val="center"/>
        </w:trPr>
        <w:tc>
          <w:tcPr>
            <w:tcW w:w="803" w:type="dxa"/>
            <w:shd w:val="clear" w:color="auto" w:fill="C6EFCE"/>
            <w:noWrap/>
          </w:tcPr>
          <w:p w14:paraId="1216C3D3" w14:textId="77777777" w:rsidR="00A60DDE" w:rsidRDefault="00095506">
            <w:pPr>
              <w:pStyle w:val="P68B1DB1-Normal45"/>
              <w:spacing w:after="0" w:line="240" w:lineRule="auto"/>
              <w:jc w:val="center"/>
              <w:rPr>
                <w:rFonts w:eastAsia="Times New Roman" w:cs="Times New Roman"/>
                <w:noProof/>
              </w:rPr>
            </w:pPr>
            <w:r>
              <w:rPr>
                <w:noProof/>
              </w:rPr>
              <w:t>G7L</w:t>
            </w:r>
          </w:p>
        </w:tc>
        <w:tc>
          <w:tcPr>
            <w:tcW w:w="1461" w:type="dxa"/>
            <w:shd w:val="clear" w:color="auto" w:fill="C6EFCE"/>
            <w:noWrap/>
          </w:tcPr>
          <w:p w14:paraId="1216C3D4" w14:textId="77777777" w:rsidR="00A60DDE" w:rsidRDefault="00095506">
            <w:pPr>
              <w:pStyle w:val="P68B1DB1-Normal89"/>
              <w:spacing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D5" w14:textId="77777777" w:rsidR="00A60DDE" w:rsidRDefault="00095506">
            <w:pPr>
              <w:pStyle w:val="P68B1DB1-Normal89"/>
              <w:spacing w:line="240" w:lineRule="auto"/>
              <w:jc w:val="center"/>
              <w:rPr>
                <w:rFonts w:eastAsia="Times New Roman" w:cs="Times New Roman"/>
                <w:noProof/>
                <w:szCs w:val="18"/>
              </w:rPr>
            </w:pPr>
            <w:r>
              <w:rPr>
                <w:noProof/>
              </w:rPr>
              <w:t>Țintă</w:t>
            </w:r>
          </w:p>
        </w:tc>
        <w:tc>
          <w:tcPr>
            <w:tcW w:w="1857" w:type="dxa"/>
            <w:shd w:val="clear" w:color="auto" w:fill="C6EFCE"/>
            <w:noWrap/>
          </w:tcPr>
          <w:p w14:paraId="1216C3D6" w14:textId="77777777" w:rsidR="00A60DDE" w:rsidRDefault="00095506">
            <w:pPr>
              <w:pStyle w:val="P68B1DB1-Normal89"/>
              <w:spacing w:after="0" w:line="240" w:lineRule="auto"/>
              <w:rPr>
                <w:rFonts w:eastAsia="Times New Roman" w:cs="Times New Roman"/>
                <w:noProof/>
                <w:szCs w:val="18"/>
              </w:rPr>
            </w:pPr>
            <w:r>
              <w:rPr>
                <w:noProof/>
              </w:rPr>
              <w:t>Capacitatea instalată a instalațiilor eoliene și fotovoltaice terestre (în GW)</w:t>
            </w:r>
          </w:p>
        </w:tc>
        <w:tc>
          <w:tcPr>
            <w:tcW w:w="1591" w:type="dxa"/>
            <w:shd w:val="clear" w:color="auto" w:fill="C6EFCE"/>
            <w:noWrap/>
          </w:tcPr>
          <w:p w14:paraId="1216C3D7" w14:textId="77777777" w:rsidR="00A60DDE" w:rsidRDefault="00A60DDE">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3D8" w14:textId="77777777" w:rsidR="00A60DDE" w:rsidRDefault="00095506">
            <w:pPr>
              <w:pStyle w:val="P68B1DB1-Normal89"/>
              <w:spacing w:after="0" w:line="240" w:lineRule="auto"/>
              <w:jc w:val="center"/>
              <w:rPr>
                <w:rFonts w:eastAsia="Times New Roman" w:cs="Times New Roman"/>
                <w:noProof/>
                <w:szCs w:val="18"/>
              </w:rPr>
            </w:pPr>
            <w:r>
              <w:rPr>
                <w:noProof/>
              </w:rPr>
              <w:t>Număr</w:t>
            </w:r>
          </w:p>
        </w:tc>
        <w:tc>
          <w:tcPr>
            <w:tcW w:w="936" w:type="dxa"/>
            <w:shd w:val="clear" w:color="auto" w:fill="C6EFCE"/>
            <w:noWrap/>
          </w:tcPr>
          <w:p w14:paraId="1216C3D9" w14:textId="77777777" w:rsidR="00A60DDE" w:rsidRDefault="00095506">
            <w:pPr>
              <w:pStyle w:val="P68B1DB1-Normal89"/>
              <w:spacing w:after="0" w:line="240" w:lineRule="auto"/>
              <w:jc w:val="center"/>
              <w:rPr>
                <w:rFonts w:eastAsia="Times New Roman" w:cs="Times New Roman"/>
                <w:noProof/>
                <w:szCs w:val="18"/>
              </w:rPr>
            </w:pPr>
            <w:r>
              <w:rPr>
                <w:noProof/>
              </w:rPr>
              <w:t>28</w:t>
            </w:r>
          </w:p>
        </w:tc>
        <w:tc>
          <w:tcPr>
            <w:tcW w:w="673" w:type="dxa"/>
            <w:shd w:val="clear" w:color="auto" w:fill="C6EFCE"/>
            <w:noWrap/>
          </w:tcPr>
          <w:p w14:paraId="1216C3DA" w14:textId="77777777" w:rsidR="00A60DDE" w:rsidRDefault="00095506">
            <w:pPr>
              <w:pStyle w:val="P68B1DB1-Normal89"/>
              <w:spacing w:after="0" w:line="240" w:lineRule="auto"/>
              <w:jc w:val="center"/>
              <w:rPr>
                <w:rFonts w:eastAsia="Times New Roman" w:cs="Times New Roman"/>
                <w:noProof/>
                <w:szCs w:val="18"/>
              </w:rPr>
            </w:pPr>
            <w:r>
              <w:rPr>
                <w:noProof/>
              </w:rPr>
              <w:t>30</w:t>
            </w:r>
          </w:p>
        </w:tc>
        <w:tc>
          <w:tcPr>
            <w:tcW w:w="871" w:type="dxa"/>
            <w:shd w:val="clear" w:color="auto" w:fill="C6EFCE"/>
            <w:noWrap/>
          </w:tcPr>
          <w:p w14:paraId="1216C3DB" w14:textId="77777777" w:rsidR="00A60DDE" w:rsidRDefault="00095506">
            <w:pPr>
              <w:pStyle w:val="P68B1DB1-Normal89"/>
              <w:spacing w:after="0" w:line="240" w:lineRule="auto"/>
              <w:jc w:val="center"/>
              <w:rPr>
                <w:rFonts w:eastAsia="Times New Roman" w:cs="Times New Roman"/>
                <w:noProof/>
                <w:szCs w:val="18"/>
              </w:rPr>
            </w:pPr>
            <w:r>
              <w:rPr>
                <w:noProof/>
              </w:rPr>
              <w:t>T2</w:t>
            </w:r>
          </w:p>
        </w:tc>
        <w:tc>
          <w:tcPr>
            <w:tcW w:w="877" w:type="dxa"/>
            <w:shd w:val="clear" w:color="auto" w:fill="C6EFCE"/>
            <w:noWrap/>
          </w:tcPr>
          <w:p w14:paraId="1216C3DC"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4105" w:type="dxa"/>
            <w:shd w:val="clear" w:color="auto" w:fill="C6EFCE"/>
            <w:noWrap/>
          </w:tcPr>
          <w:p w14:paraId="1216C3DD" w14:textId="77777777" w:rsidR="00A60DDE" w:rsidRDefault="00095506">
            <w:pPr>
              <w:pStyle w:val="P68B1DB1-Normal89"/>
              <w:spacing w:after="0" w:line="240" w:lineRule="auto"/>
              <w:rPr>
                <w:rFonts w:eastAsia="Times New Roman" w:cs="Times New Roman"/>
                <w:noProof/>
                <w:szCs w:val="18"/>
              </w:rPr>
            </w:pPr>
            <w:r>
              <w:rPr>
                <w:noProof/>
              </w:rPr>
              <w:t>Capacitatea instalată totală (în GW) a instalațiilor eoliene și fotovoltaice terestre.</w:t>
            </w:r>
          </w:p>
        </w:tc>
      </w:tr>
      <w:tr w:rsidR="00A60DDE" w14:paraId="1216C3EA" w14:textId="77777777">
        <w:trPr>
          <w:trHeight w:val="309"/>
          <w:jc w:val="center"/>
        </w:trPr>
        <w:tc>
          <w:tcPr>
            <w:tcW w:w="803" w:type="dxa"/>
            <w:shd w:val="clear" w:color="auto" w:fill="C6EFCE"/>
            <w:noWrap/>
          </w:tcPr>
          <w:p w14:paraId="1216C3DF" w14:textId="77777777" w:rsidR="00A60DDE" w:rsidRDefault="00095506">
            <w:pPr>
              <w:pStyle w:val="P68B1DB1-Normal45"/>
              <w:spacing w:after="0" w:line="240" w:lineRule="auto"/>
              <w:jc w:val="center"/>
              <w:rPr>
                <w:rFonts w:eastAsia="Times New Roman" w:cs="Times New Roman"/>
                <w:noProof/>
              </w:rPr>
            </w:pPr>
            <w:r>
              <w:rPr>
                <w:noProof/>
              </w:rPr>
              <w:t>G8L</w:t>
            </w:r>
          </w:p>
        </w:tc>
        <w:tc>
          <w:tcPr>
            <w:tcW w:w="1461" w:type="dxa"/>
            <w:shd w:val="clear" w:color="auto" w:fill="C6EFCE"/>
            <w:noWrap/>
          </w:tcPr>
          <w:p w14:paraId="1216C3E0" w14:textId="77777777" w:rsidR="00A60DDE" w:rsidRDefault="00095506">
            <w:pPr>
              <w:pStyle w:val="P68B1DB1-Normal89"/>
              <w:spacing w:after="0" w:line="240" w:lineRule="auto"/>
              <w:rPr>
                <w:rFonts w:eastAsia="Times New Roman" w:cs="Times New Roman"/>
                <w:noProof/>
                <w:szCs w:val="18"/>
              </w:rPr>
            </w:pPr>
            <w:r>
              <w:rPr>
                <w:noProof/>
              </w:rPr>
              <w:t>G3.1.2 Competențe pentru tranziția verde</w:t>
            </w:r>
          </w:p>
        </w:tc>
        <w:tc>
          <w:tcPr>
            <w:tcW w:w="1068" w:type="dxa"/>
            <w:shd w:val="clear" w:color="auto" w:fill="C6EFCE"/>
            <w:noWrap/>
          </w:tcPr>
          <w:p w14:paraId="1216C3E1"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E2" w14:textId="2309F064" w:rsidR="00A60DDE" w:rsidRDefault="00095506">
            <w:pPr>
              <w:pStyle w:val="P68B1DB1-Normal45"/>
              <w:spacing w:after="0" w:line="240" w:lineRule="auto"/>
              <w:rPr>
                <w:noProof/>
              </w:rPr>
            </w:pPr>
            <w:r>
              <w:rPr>
                <w:noProof/>
              </w:rPr>
              <w:t xml:space="preserve">Patru rapoarte privind cadrele sectoriale de calificare modificate pentru transformarea verde </w:t>
            </w:r>
          </w:p>
        </w:tc>
        <w:tc>
          <w:tcPr>
            <w:tcW w:w="1591" w:type="dxa"/>
            <w:shd w:val="clear" w:color="auto" w:fill="C6EFCE"/>
            <w:noWrap/>
          </w:tcPr>
          <w:p w14:paraId="1216C3E3" w14:textId="77777777" w:rsidR="00A60DDE" w:rsidRDefault="00095506">
            <w:pPr>
              <w:pStyle w:val="P68B1DB1-Normal89"/>
              <w:spacing w:after="0" w:line="240" w:lineRule="auto"/>
              <w:rPr>
                <w:rFonts w:eastAsia="Times New Roman" w:cs="Times New Roman"/>
                <w:noProof/>
                <w:szCs w:val="18"/>
              </w:rPr>
            </w:pPr>
            <w:r>
              <w:rPr>
                <w:noProof/>
              </w:rPr>
              <w:t xml:space="preserve">Publicarea rapoartelor cu cadrele sectoriale de calificare modificate </w:t>
            </w:r>
          </w:p>
        </w:tc>
        <w:tc>
          <w:tcPr>
            <w:tcW w:w="1067" w:type="dxa"/>
            <w:shd w:val="clear" w:color="auto" w:fill="C6EFCE"/>
            <w:noWrap/>
          </w:tcPr>
          <w:p w14:paraId="1216C3E4"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E5"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3E6"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3E7" w14:textId="77777777" w:rsidR="00A60DDE" w:rsidRDefault="00095506">
            <w:pPr>
              <w:pStyle w:val="P68B1DB1-Normal89"/>
              <w:spacing w:after="0" w:line="240" w:lineRule="auto"/>
              <w:jc w:val="center"/>
              <w:rPr>
                <w:rFonts w:eastAsia="Times New Roman" w:cs="Times New Roman"/>
                <w:noProof/>
                <w:szCs w:val="18"/>
              </w:rPr>
            </w:pPr>
            <w:r>
              <w:rPr>
                <w:noProof/>
              </w:rPr>
              <w:t>T2</w:t>
            </w:r>
          </w:p>
        </w:tc>
        <w:tc>
          <w:tcPr>
            <w:tcW w:w="877" w:type="dxa"/>
            <w:shd w:val="clear" w:color="auto" w:fill="C6EFCE"/>
            <w:noWrap/>
          </w:tcPr>
          <w:p w14:paraId="1216C3E8"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3E9" w14:textId="6375FCCD" w:rsidR="00A60DDE" w:rsidRDefault="00095506">
            <w:pPr>
              <w:pStyle w:val="P68B1DB1-Normal89"/>
              <w:spacing w:after="0" w:line="240" w:lineRule="auto"/>
              <w:rPr>
                <w:rFonts w:eastAsia="Times New Roman" w:cs="Times New Roman"/>
                <w:noProof/>
                <w:szCs w:val="18"/>
              </w:rPr>
            </w:pPr>
            <w:r>
              <w:rPr>
                <w:noProof/>
                <w:szCs w:val="18"/>
              </w:rPr>
              <w:t>Rapoartele privind cadrele sectoriale de calificare pentru sectoarele construcțiilor, energiei, gestionării apei și gestionării deșeurilor includ cadre modificate care încorporează „competențe verzi” și se publică.</w:t>
            </w:r>
          </w:p>
        </w:tc>
      </w:tr>
      <w:tr w:rsidR="00A60DDE" w14:paraId="1216C3F6" w14:textId="77777777">
        <w:trPr>
          <w:trHeight w:val="309"/>
          <w:jc w:val="center"/>
        </w:trPr>
        <w:tc>
          <w:tcPr>
            <w:tcW w:w="803" w:type="dxa"/>
            <w:shd w:val="clear" w:color="auto" w:fill="C6EFCE"/>
            <w:noWrap/>
          </w:tcPr>
          <w:p w14:paraId="1216C3EB" w14:textId="77777777" w:rsidR="00A60DDE" w:rsidRDefault="00095506">
            <w:pPr>
              <w:pStyle w:val="P68B1DB1-Normal45"/>
              <w:spacing w:after="0" w:line="240" w:lineRule="auto"/>
              <w:jc w:val="center"/>
              <w:rPr>
                <w:rFonts w:eastAsia="Times New Roman" w:cs="Times New Roman"/>
                <w:noProof/>
              </w:rPr>
            </w:pPr>
            <w:r>
              <w:rPr>
                <w:noProof/>
              </w:rPr>
              <w:t xml:space="preserve">G10L </w:t>
            </w:r>
          </w:p>
        </w:tc>
        <w:tc>
          <w:tcPr>
            <w:tcW w:w="1461" w:type="dxa"/>
            <w:shd w:val="clear" w:color="auto" w:fill="C6EFCE"/>
            <w:noWrap/>
          </w:tcPr>
          <w:p w14:paraId="1216C3EC" w14:textId="77777777" w:rsidR="00A60DDE" w:rsidRDefault="00095506">
            <w:pPr>
              <w:pStyle w:val="P68B1DB1-Normal89"/>
              <w:spacing w:after="0" w:line="240" w:lineRule="auto"/>
              <w:rPr>
                <w:rFonts w:eastAsia="Times New Roman" w:cs="Times New Roman"/>
                <w:noProof/>
                <w:szCs w:val="18"/>
              </w:rPr>
            </w:pPr>
            <w:r>
              <w:rPr>
                <w:noProof/>
              </w:rPr>
              <w:t>G3.1.2 Competențe pentru tranziția verde</w:t>
            </w:r>
          </w:p>
        </w:tc>
        <w:tc>
          <w:tcPr>
            <w:tcW w:w="1068" w:type="dxa"/>
            <w:shd w:val="clear" w:color="auto" w:fill="C6EFCE"/>
            <w:noWrap/>
          </w:tcPr>
          <w:p w14:paraId="1216C3ED"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EE" w14:textId="77777777" w:rsidR="00A60DDE" w:rsidRDefault="00095506">
            <w:pPr>
              <w:pStyle w:val="P68B1DB1-Normal89"/>
              <w:spacing w:after="0" w:line="240" w:lineRule="auto"/>
              <w:rPr>
                <w:rFonts w:eastAsia="Times New Roman" w:cs="Times New Roman"/>
                <w:noProof/>
                <w:szCs w:val="18"/>
              </w:rPr>
            </w:pPr>
            <w:r>
              <w:rPr>
                <w:noProof/>
              </w:rPr>
              <w:t>Cadre sectoriale de calificare pentru construcții, energie, gestionarea apei și gestionarea deșeurilor încorporate în Sistemul Integrat de Calificări</w:t>
            </w:r>
          </w:p>
        </w:tc>
        <w:tc>
          <w:tcPr>
            <w:tcW w:w="1591" w:type="dxa"/>
            <w:shd w:val="clear" w:color="auto" w:fill="C6EFCE"/>
            <w:noWrap/>
          </w:tcPr>
          <w:p w14:paraId="1216C3EF" w14:textId="3B590078" w:rsidR="00A60DDE" w:rsidRDefault="00095506">
            <w:pPr>
              <w:pStyle w:val="P68B1DB1-Normal45"/>
              <w:spacing w:after="0" w:line="240" w:lineRule="auto"/>
              <w:rPr>
                <w:rFonts w:eastAsia="Times New Roman" w:cs="Times New Roman"/>
                <w:noProof/>
              </w:rPr>
            </w:pPr>
            <w:r>
              <w:rPr>
                <w:noProof/>
              </w:rPr>
              <w:t>Dispoziție (dispoziții) din actul (actele) juridic(e) relevant(e) care indică intrarea sa în vigoare</w:t>
            </w:r>
          </w:p>
        </w:tc>
        <w:tc>
          <w:tcPr>
            <w:tcW w:w="1067" w:type="dxa"/>
            <w:shd w:val="clear" w:color="auto" w:fill="C6EFCE"/>
            <w:noWrap/>
          </w:tcPr>
          <w:p w14:paraId="1216C3F0"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F1"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3F2"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3F3"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3F4"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3F5" w14:textId="1A8D263A" w:rsidR="00A60DDE" w:rsidRDefault="00095506">
            <w:pPr>
              <w:pStyle w:val="P68B1DB1-Normal45"/>
              <w:spacing w:after="0" w:line="240" w:lineRule="auto"/>
              <w:rPr>
                <w:rFonts w:eastAsia="Times New Roman" w:cs="Times New Roman"/>
                <w:noProof/>
              </w:rPr>
            </w:pPr>
            <w:r>
              <w:rPr>
                <w:noProof/>
              </w:rPr>
              <w:t>Intrarea în vigoare a actului (actelor) juridic(e) relevant(e) care încorporează cadrele sectoriale de calificare pentru construcții, gestionarea apei, gestionarea deșeurilor și energie în sistemul integrat de calificări.</w:t>
            </w:r>
          </w:p>
        </w:tc>
      </w:tr>
      <w:tr w:rsidR="00A60DDE" w14:paraId="1216C402" w14:textId="77777777">
        <w:trPr>
          <w:trHeight w:val="309"/>
          <w:jc w:val="center"/>
        </w:trPr>
        <w:tc>
          <w:tcPr>
            <w:tcW w:w="803" w:type="dxa"/>
            <w:shd w:val="clear" w:color="auto" w:fill="C6EFCE"/>
            <w:noWrap/>
          </w:tcPr>
          <w:p w14:paraId="1216C3F7" w14:textId="77777777" w:rsidR="00A60DDE" w:rsidRDefault="00095506">
            <w:pPr>
              <w:pStyle w:val="P68B1DB1-Normal45"/>
              <w:spacing w:after="0" w:line="240" w:lineRule="auto"/>
              <w:jc w:val="center"/>
              <w:rPr>
                <w:rFonts w:eastAsia="Times New Roman" w:cs="Times New Roman"/>
                <w:noProof/>
              </w:rPr>
            </w:pPr>
            <w:r>
              <w:rPr>
                <w:noProof/>
              </w:rPr>
              <w:t>G11L</w:t>
            </w:r>
          </w:p>
        </w:tc>
        <w:tc>
          <w:tcPr>
            <w:tcW w:w="1461" w:type="dxa"/>
            <w:shd w:val="clear" w:color="auto" w:fill="C6EFCE"/>
            <w:noWrap/>
          </w:tcPr>
          <w:p w14:paraId="1216C3F8" w14:textId="77777777" w:rsidR="00A60DDE" w:rsidRDefault="00095506">
            <w:pPr>
              <w:pStyle w:val="P68B1DB1-Normal89"/>
              <w:spacing w:after="0" w:line="240" w:lineRule="auto"/>
              <w:rPr>
                <w:rFonts w:eastAsia="Times New Roman" w:cs="Times New Roman"/>
                <w:noProof/>
                <w:szCs w:val="18"/>
              </w:rPr>
            </w:pPr>
            <w:r>
              <w:rPr>
                <w:noProof/>
              </w:rPr>
              <w:t>G3.1.3 Stimularea eficienței energetice și accelerarea eliminării treptate a combustibililor fosili în sectorul încălzirii</w:t>
            </w:r>
          </w:p>
        </w:tc>
        <w:tc>
          <w:tcPr>
            <w:tcW w:w="1068" w:type="dxa"/>
            <w:shd w:val="clear" w:color="auto" w:fill="C6EFCE"/>
            <w:noWrap/>
          </w:tcPr>
          <w:p w14:paraId="1216C3F9"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FA" w14:textId="77777777" w:rsidR="00A60DDE" w:rsidRDefault="00095506">
            <w:pPr>
              <w:pStyle w:val="P68B1DB1-Normal89"/>
              <w:spacing w:after="0" w:line="240" w:lineRule="auto"/>
              <w:rPr>
                <w:rFonts w:eastAsia="Times New Roman" w:cs="Times New Roman"/>
                <w:noProof/>
                <w:szCs w:val="18"/>
              </w:rPr>
            </w:pPr>
            <w:r>
              <w:rPr>
                <w:noProof/>
              </w:rPr>
              <w:t>Program prioritar pentru servicii integrate de renovare a locuințelor</w:t>
            </w:r>
          </w:p>
        </w:tc>
        <w:tc>
          <w:tcPr>
            <w:tcW w:w="1591" w:type="dxa"/>
            <w:shd w:val="clear" w:color="auto" w:fill="C6EFCE"/>
            <w:noWrap/>
          </w:tcPr>
          <w:p w14:paraId="1216C3FB" w14:textId="77777777" w:rsidR="00A60DDE" w:rsidRDefault="00095506">
            <w:pPr>
              <w:pStyle w:val="P68B1DB1-Normal89"/>
              <w:spacing w:after="0" w:line="240" w:lineRule="auto"/>
              <w:rPr>
                <w:rFonts w:eastAsia="Times New Roman" w:cs="Times New Roman"/>
                <w:noProof/>
                <w:szCs w:val="18"/>
              </w:rPr>
            </w:pPr>
            <w:r>
              <w:rPr>
                <w:noProof/>
              </w:rPr>
              <w:t xml:space="preserve">Intrarea în vigoare a rezoluției </w:t>
            </w:r>
          </w:p>
        </w:tc>
        <w:tc>
          <w:tcPr>
            <w:tcW w:w="1067" w:type="dxa"/>
            <w:shd w:val="clear" w:color="auto" w:fill="C6EFCE"/>
            <w:noWrap/>
          </w:tcPr>
          <w:p w14:paraId="1216C3FC"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FD"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3FE"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3FF"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400" w14:textId="77777777" w:rsidR="00A60DDE" w:rsidRDefault="00095506">
            <w:pPr>
              <w:pStyle w:val="P68B1DB1-Normal89"/>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401" w14:textId="77777777" w:rsidR="00A60DDE" w:rsidRDefault="00095506">
            <w:pPr>
              <w:pStyle w:val="P68B1DB1-Normal45"/>
              <w:spacing w:after="0" w:line="240" w:lineRule="auto"/>
              <w:rPr>
                <w:rFonts w:eastAsia="Times New Roman" w:cs="Times New Roman"/>
                <w:noProof/>
              </w:rPr>
            </w:pPr>
            <w:r>
              <w:rPr>
                <w:noProof/>
              </w:rPr>
              <w:t>Fondul național pentru protecția mediului și gestionarea apei actualizează un program prioritar existent pentru a sprijini financiar furnizorii de servicii integrate de renovare a locuințelor.</w:t>
            </w:r>
          </w:p>
        </w:tc>
      </w:tr>
      <w:tr w:rsidR="00A60DDE" w14:paraId="1216C40E" w14:textId="77777777">
        <w:trPr>
          <w:trHeight w:val="309"/>
          <w:jc w:val="center"/>
        </w:trPr>
        <w:tc>
          <w:tcPr>
            <w:tcW w:w="803" w:type="dxa"/>
            <w:shd w:val="clear" w:color="auto" w:fill="C6EFCE"/>
            <w:noWrap/>
          </w:tcPr>
          <w:p w14:paraId="1216C403" w14:textId="77777777" w:rsidR="00A60DDE" w:rsidRDefault="00095506">
            <w:pPr>
              <w:pStyle w:val="P68B1DB1-Normal89"/>
              <w:spacing w:after="0" w:line="240" w:lineRule="auto"/>
              <w:jc w:val="center"/>
              <w:rPr>
                <w:noProof/>
              </w:rPr>
            </w:pPr>
            <w:r>
              <w:rPr>
                <w:noProof/>
              </w:rPr>
              <w:t>G12L</w:t>
            </w:r>
          </w:p>
        </w:tc>
        <w:tc>
          <w:tcPr>
            <w:tcW w:w="1461" w:type="dxa"/>
            <w:shd w:val="clear" w:color="auto" w:fill="C6EFCE"/>
            <w:noWrap/>
          </w:tcPr>
          <w:p w14:paraId="1216C404" w14:textId="77777777" w:rsidR="00A60DDE" w:rsidRDefault="00095506">
            <w:pPr>
              <w:pStyle w:val="P68B1DB1-Normal89"/>
              <w:spacing w:after="0" w:line="240" w:lineRule="auto"/>
              <w:rPr>
                <w:noProof/>
              </w:rPr>
            </w:pPr>
            <w:r>
              <w:rPr>
                <w:noProof/>
              </w:rPr>
              <w:t>G3.1.4 Sprijin pentru sistemul energetic național (Fondul de sprijin pentru energie)</w:t>
            </w:r>
          </w:p>
        </w:tc>
        <w:tc>
          <w:tcPr>
            <w:tcW w:w="1068" w:type="dxa"/>
            <w:shd w:val="clear" w:color="auto" w:fill="C6EFCE"/>
            <w:noWrap/>
          </w:tcPr>
          <w:p w14:paraId="1216C405" w14:textId="77777777" w:rsidR="00A60DDE" w:rsidRDefault="00095506">
            <w:pPr>
              <w:pStyle w:val="P68B1DB1-Normal89"/>
              <w:spacing w:after="0" w:line="240" w:lineRule="auto"/>
              <w:jc w:val="center"/>
              <w:rPr>
                <w:noProof/>
              </w:rPr>
            </w:pPr>
            <w:r>
              <w:rPr>
                <w:noProof/>
              </w:rPr>
              <w:t>Etapa de referință</w:t>
            </w:r>
          </w:p>
        </w:tc>
        <w:tc>
          <w:tcPr>
            <w:tcW w:w="1857" w:type="dxa"/>
            <w:shd w:val="clear" w:color="auto" w:fill="C6EFCE"/>
            <w:noWrap/>
          </w:tcPr>
          <w:p w14:paraId="1216C406" w14:textId="77777777" w:rsidR="00A60DDE" w:rsidRDefault="00095506">
            <w:pPr>
              <w:pStyle w:val="P68B1DB1-Normal89"/>
              <w:spacing w:after="0" w:line="240" w:lineRule="auto"/>
              <w:rPr>
                <w:noProof/>
              </w:rPr>
            </w:pPr>
            <w:r>
              <w:rPr>
                <w:noProof/>
              </w:rPr>
              <w:t>Acord de punere în aplicare</w:t>
            </w:r>
          </w:p>
        </w:tc>
        <w:tc>
          <w:tcPr>
            <w:tcW w:w="1591" w:type="dxa"/>
            <w:shd w:val="clear" w:color="auto" w:fill="C6EFCE"/>
            <w:noWrap/>
          </w:tcPr>
          <w:p w14:paraId="1216C407" w14:textId="77777777" w:rsidR="00A60DDE" w:rsidRDefault="00095506">
            <w:pPr>
              <w:pStyle w:val="P68B1DB1-Normal89"/>
              <w:spacing w:after="0" w:line="240" w:lineRule="auto"/>
              <w:rPr>
                <w:noProof/>
              </w:rPr>
            </w:pPr>
            <w:r>
              <w:rPr>
                <w:noProof/>
              </w:rPr>
              <w:t>Intrarea în vigoare a acordului de punere în aplicare</w:t>
            </w:r>
          </w:p>
        </w:tc>
        <w:tc>
          <w:tcPr>
            <w:tcW w:w="1067" w:type="dxa"/>
            <w:shd w:val="clear" w:color="auto" w:fill="C6EFCE"/>
            <w:noWrap/>
          </w:tcPr>
          <w:p w14:paraId="1216C408" w14:textId="77777777" w:rsidR="00A60DDE" w:rsidRDefault="00A60DDE">
            <w:pPr>
              <w:spacing w:after="0" w:line="240" w:lineRule="auto"/>
              <w:jc w:val="center"/>
              <w:rPr>
                <w:rFonts w:ascii="Times New Roman" w:hAnsi="Times New Roman"/>
                <w:noProof/>
                <w:sz w:val="18"/>
              </w:rPr>
            </w:pPr>
          </w:p>
        </w:tc>
        <w:tc>
          <w:tcPr>
            <w:tcW w:w="936" w:type="dxa"/>
            <w:shd w:val="clear" w:color="auto" w:fill="C6EFCE"/>
            <w:noWrap/>
          </w:tcPr>
          <w:p w14:paraId="1216C409" w14:textId="77777777" w:rsidR="00A60DDE" w:rsidRDefault="00A60DDE">
            <w:pPr>
              <w:spacing w:after="0" w:line="240" w:lineRule="auto"/>
              <w:jc w:val="center"/>
              <w:rPr>
                <w:rFonts w:ascii="Times New Roman" w:hAnsi="Times New Roman"/>
                <w:noProof/>
                <w:sz w:val="18"/>
              </w:rPr>
            </w:pPr>
          </w:p>
        </w:tc>
        <w:tc>
          <w:tcPr>
            <w:tcW w:w="673" w:type="dxa"/>
            <w:shd w:val="clear" w:color="auto" w:fill="C6EFCE"/>
            <w:noWrap/>
          </w:tcPr>
          <w:p w14:paraId="1216C40A" w14:textId="77777777" w:rsidR="00A60DDE" w:rsidRDefault="00A60DDE">
            <w:pPr>
              <w:spacing w:after="0" w:line="240" w:lineRule="auto"/>
              <w:jc w:val="center"/>
              <w:rPr>
                <w:rFonts w:ascii="Times New Roman" w:hAnsi="Times New Roman"/>
                <w:noProof/>
                <w:sz w:val="18"/>
              </w:rPr>
            </w:pPr>
          </w:p>
        </w:tc>
        <w:tc>
          <w:tcPr>
            <w:tcW w:w="871" w:type="dxa"/>
            <w:shd w:val="clear" w:color="auto" w:fill="C6EFCE"/>
            <w:noWrap/>
          </w:tcPr>
          <w:p w14:paraId="1216C40B" w14:textId="77777777" w:rsidR="00A60DDE" w:rsidRDefault="00095506">
            <w:pPr>
              <w:pStyle w:val="P68B1DB1-Normal89"/>
              <w:spacing w:after="0" w:line="240" w:lineRule="auto"/>
              <w:jc w:val="center"/>
              <w:rPr>
                <w:noProof/>
              </w:rPr>
            </w:pPr>
            <w:r>
              <w:rPr>
                <w:noProof/>
              </w:rPr>
              <w:t>T2</w:t>
            </w:r>
          </w:p>
        </w:tc>
        <w:tc>
          <w:tcPr>
            <w:tcW w:w="877" w:type="dxa"/>
            <w:shd w:val="clear" w:color="auto" w:fill="C6EFCE"/>
            <w:noWrap/>
          </w:tcPr>
          <w:p w14:paraId="1216C40C" w14:textId="77777777" w:rsidR="00A60DDE" w:rsidRDefault="00095506">
            <w:pPr>
              <w:pStyle w:val="P68B1DB1-Normal89"/>
              <w:spacing w:after="0" w:line="240" w:lineRule="auto"/>
              <w:jc w:val="center"/>
              <w:rPr>
                <w:noProof/>
              </w:rPr>
            </w:pPr>
            <w:r>
              <w:rPr>
                <w:noProof/>
              </w:rPr>
              <w:t>2024</w:t>
            </w:r>
          </w:p>
        </w:tc>
        <w:tc>
          <w:tcPr>
            <w:tcW w:w="4105" w:type="dxa"/>
            <w:shd w:val="clear" w:color="auto" w:fill="C6EFCE"/>
            <w:noWrap/>
          </w:tcPr>
          <w:p w14:paraId="1216C40D" w14:textId="77777777" w:rsidR="00A60DDE" w:rsidRDefault="00095506">
            <w:pPr>
              <w:pStyle w:val="P68B1DB1-Normal89"/>
              <w:spacing w:after="0" w:line="240" w:lineRule="auto"/>
              <w:rPr>
                <w:noProof/>
              </w:rPr>
            </w:pPr>
            <w:r>
              <w:rPr>
                <w:noProof/>
              </w:rPr>
              <w:t>Intrarea în vigoare a acordului de punere în aplicare.</w:t>
            </w:r>
          </w:p>
        </w:tc>
      </w:tr>
      <w:tr w:rsidR="00A60DDE" w14:paraId="1216C41A" w14:textId="77777777">
        <w:trPr>
          <w:trHeight w:val="309"/>
          <w:jc w:val="center"/>
        </w:trPr>
        <w:tc>
          <w:tcPr>
            <w:tcW w:w="803" w:type="dxa"/>
            <w:shd w:val="clear" w:color="auto" w:fill="C6EFCE"/>
            <w:noWrap/>
          </w:tcPr>
          <w:p w14:paraId="1216C40F" w14:textId="77777777" w:rsidR="00A60DDE" w:rsidRDefault="00095506">
            <w:pPr>
              <w:pStyle w:val="P68B1DB1-Normal89"/>
              <w:spacing w:after="0" w:line="240" w:lineRule="auto"/>
              <w:jc w:val="center"/>
              <w:rPr>
                <w:noProof/>
              </w:rPr>
            </w:pPr>
            <w:r>
              <w:rPr>
                <w:noProof/>
              </w:rPr>
              <w:t>G13L</w:t>
            </w:r>
          </w:p>
        </w:tc>
        <w:tc>
          <w:tcPr>
            <w:tcW w:w="1461" w:type="dxa"/>
            <w:shd w:val="clear" w:color="auto" w:fill="C6EFCE"/>
            <w:noWrap/>
          </w:tcPr>
          <w:p w14:paraId="1216C410" w14:textId="77777777" w:rsidR="00A60DDE" w:rsidRDefault="00095506">
            <w:pPr>
              <w:pStyle w:val="P68B1DB1-Normal89"/>
              <w:spacing w:after="0" w:line="240" w:lineRule="auto"/>
              <w:rPr>
                <w:noProof/>
              </w:rPr>
            </w:pPr>
            <w:r>
              <w:rPr>
                <w:noProof/>
              </w:rPr>
              <w:t>G3.1.4 Sprijin pentru sistemul energetic național (Fondul de sprijin pentru energie)</w:t>
            </w:r>
          </w:p>
        </w:tc>
        <w:tc>
          <w:tcPr>
            <w:tcW w:w="1068" w:type="dxa"/>
            <w:shd w:val="clear" w:color="auto" w:fill="C6EFCE"/>
            <w:noWrap/>
          </w:tcPr>
          <w:p w14:paraId="1216C411" w14:textId="77777777" w:rsidR="00A60DDE" w:rsidRDefault="00095506">
            <w:pPr>
              <w:pStyle w:val="P68B1DB1-Normal89"/>
              <w:spacing w:after="0" w:line="240" w:lineRule="auto"/>
              <w:jc w:val="center"/>
              <w:rPr>
                <w:noProof/>
              </w:rPr>
            </w:pPr>
            <w:r>
              <w:rPr>
                <w:noProof/>
              </w:rPr>
              <w:t>Țintă</w:t>
            </w:r>
          </w:p>
        </w:tc>
        <w:tc>
          <w:tcPr>
            <w:tcW w:w="1857" w:type="dxa"/>
            <w:shd w:val="clear" w:color="auto" w:fill="C6EFCE"/>
            <w:noWrap/>
          </w:tcPr>
          <w:p w14:paraId="1216C412" w14:textId="77777777" w:rsidR="00A60DDE" w:rsidRDefault="00095506">
            <w:pPr>
              <w:pStyle w:val="P68B1DB1-Normal89"/>
              <w:spacing w:after="0" w:line="240" w:lineRule="auto"/>
              <w:rPr>
                <w:noProof/>
              </w:rPr>
            </w:pPr>
            <w:r>
              <w:rPr>
                <w:noProof/>
              </w:rPr>
              <w:t>Acorduri juridice semnate cu beneficiarii finali</w:t>
            </w:r>
          </w:p>
        </w:tc>
        <w:tc>
          <w:tcPr>
            <w:tcW w:w="1591" w:type="dxa"/>
            <w:shd w:val="clear" w:color="auto" w:fill="C6EFCE"/>
            <w:noWrap/>
          </w:tcPr>
          <w:p w14:paraId="1216C413" w14:textId="77777777" w:rsidR="00A60DDE" w:rsidRDefault="00A60DDE">
            <w:pPr>
              <w:spacing w:after="0" w:line="240" w:lineRule="auto"/>
              <w:rPr>
                <w:rFonts w:ascii="Times New Roman" w:hAnsi="Times New Roman"/>
                <w:noProof/>
                <w:sz w:val="18"/>
              </w:rPr>
            </w:pPr>
          </w:p>
        </w:tc>
        <w:tc>
          <w:tcPr>
            <w:tcW w:w="1067" w:type="dxa"/>
            <w:shd w:val="clear" w:color="auto" w:fill="C6EFCE"/>
            <w:noWrap/>
          </w:tcPr>
          <w:p w14:paraId="1216C414" w14:textId="77777777" w:rsidR="00A60DDE" w:rsidRDefault="00095506">
            <w:pPr>
              <w:pStyle w:val="P68B1DB1-Normal89"/>
              <w:spacing w:after="0" w:line="240" w:lineRule="auto"/>
              <w:rPr>
                <w:noProof/>
              </w:rPr>
            </w:pPr>
            <w:r>
              <w:rPr>
                <w:noProof/>
              </w:rPr>
              <w:t>Procentul (%)</w:t>
            </w:r>
          </w:p>
        </w:tc>
        <w:tc>
          <w:tcPr>
            <w:tcW w:w="936" w:type="dxa"/>
            <w:shd w:val="clear" w:color="auto" w:fill="C6EFCE"/>
            <w:noWrap/>
          </w:tcPr>
          <w:p w14:paraId="1216C415" w14:textId="77777777" w:rsidR="00A60DDE" w:rsidRDefault="00095506">
            <w:pPr>
              <w:pStyle w:val="P68B1DB1-Normal89"/>
              <w:spacing w:after="0" w:line="240" w:lineRule="auto"/>
              <w:jc w:val="center"/>
              <w:rPr>
                <w:noProof/>
              </w:rPr>
            </w:pPr>
            <w:r>
              <w:rPr>
                <w:noProof/>
              </w:rPr>
              <w:t>0</w:t>
            </w:r>
          </w:p>
        </w:tc>
        <w:tc>
          <w:tcPr>
            <w:tcW w:w="673" w:type="dxa"/>
            <w:shd w:val="clear" w:color="auto" w:fill="C6EFCE"/>
            <w:noWrap/>
          </w:tcPr>
          <w:p w14:paraId="1216C416" w14:textId="77777777" w:rsidR="00A60DDE" w:rsidRDefault="00095506">
            <w:pPr>
              <w:pStyle w:val="P68B1DB1-Normal89"/>
              <w:spacing w:after="0" w:line="240" w:lineRule="auto"/>
              <w:jc w:val="center"/>
              <w:rPr>
                <w:noProof/>
              </w:rPr>
            </w:pPr>
            <w:r>
              <w:rPr>
                <w:noProof/>
              </w:rPr>
              <w:t>30%</w:t>
            </w:r>
          </w:p>
        </w:tc>
        <w:tc>
          <w:tcPr>
            <w:tcW w:w="871" w:type="dxa"/>
            <w:shd w:val="clear" w:color="auto" w:fill="C6EFCE"/>
            <w:noWrap/>
          </w:tcPr>
          <w:p w14:paraId="1216C417" w14:textId="77777777" w:rsidR="00A60DDE" w:rsidRDefault="00095506">
            <w:pPr>
              <w:pStyle w:val="P68B1DB1-Normal89"/>
              <w:spacing w:after="0" w:line="240" w:lineRule="auto"/>
              <w:jc w:val="center"/>
              <w:rPr>
                <w:noProof/>
              </w:rPr>
            </w:pPr>
            <w:r>
              <w:rPr>
                <w:noProof/>
              </w:rPr>
              <w:t>T3</w:t>
            </w:r>
          </w:p>
        </w:tc>
        <w:tc>
          <w:tcPr>
            <w:tcW w:w="877" w:type="dxa"/>
            <w:shd w:val="clear" w:color="auto" w:fill="C6EFCE"/>
            <w:noWrap/>
          </w:tcPr>
          <w:p w14:paraId="1216C418" w14:textId="77777777" w:rsidR="00A60DDE" w:rsidRDefault="00095506">
            <w:pPr>
              <w:pStyle w:val="P68B1DB1-Normal89"/>
              <w:spacing w:after="0" w:line="240" w:lineRule="auto"/>
              <w:jc w:val="center"/>
              <w:rPr>
                <w:noProof/>
              </w:rPr>
            </w:pPr>
            <w:r>
              <w:rPr>
                <w:noProof/>
              </w:rPr>
              <w:t>2025</w:t>
            </w:r>
          </w:p>
        </w:tc>
        <w:tc>
          <w:tcPr>
            <w:tcW w:w="4105" w:type="dxa"/>
            <w:shd w:val="clear" w:color="auto" w:fill="C6EFCE"/>
            <w:noWrap/>
          </w:tcPr>
          <w:p w14:paraId="1216C419" w14:textId="77777777" w:rsidR="00A60DDE" w:rsidRDefault="00095506">
            <w:pPr>
              <w:pStyle w:val="P68B1DB1-Normal89"/>
              <w:spacing w:after="0" w:line="240" w:lineRule="auto"/>
              <w:rPr>
                <w:noProof/>
              </w:rPr>
            </w:pPr>
            <w:r>
              <w:rPr>
                <w:noProof/>
              </w:rPr>
              <w:t>BGK trebuie să fi încheiat acorduri juridice de finanțare cu beneficiarii finali pentru o sumă necesară pentru a utiliza cel puțin 30 % din investițiile MRR în mecanism (ținând seama de comisioanele de gestiune). BGK elaborează un raport care detaliază procentul din această finanțare care contribuie la obiectivele climatice utilizând metodologia din anexa VI la Regulamentul privind MRR.</w:t>
            </w:r>
          </w:p>
        </w:tc>
      </w:tr>
      <w:tr w:rsidR="00A60DDE" w14:paraId="1216C426" w14:textId="77777777">
        <w:trPr>
          <w:trHeight w:val="309"/>
          <w:jc w:val="center"/>
        </w:trPr>
        <w:tc>
          <w:tcPr>
            <w:tcW w:w="803" w:type="dxa"/>
            <w:shd w:val="clear" w:color="auto" w:fill="C6EFCE"/>
            <w:noWrap/>
          </w:tcPr>
          <w:p w14:paraId="1216C41B" w14:textId="77777777" w:rsidR="00A60DDE" w:rsidRDefault="00095506">
            <w:pPr>
              <w:pStyle w:val="P68B1DB1-Normal89"/>
              <w:spacing w:after="0" w:line="240" w:lineRule="auto"/>
              <w:jc w:val="center"/>
              <w:rPr>
                <w:rFonts w:eastAsia="Times New Roman" w:cs="Times New Roman"/>
                <w:noProof/>
                <w:szCs w:val="18"/>
              </w:rPr>
            </w:pPr>
            <w:r>
              <w:rPr>
                <w:noProof/>
              </w:rPr>
              <w:t>G14L</w:t>
            </w:r>
          </w:p>
        </w:tc>
        <w:tc>
          <w:tcPr>
            <w:tcW w:w="1461" w:type="dxa"/>
            <w:shd w:val="clear" w:color="auto" w:fill="C6EFCE"/>
            <w:noWrap/>
          </w:tcPr>
          <w:p w14:paraId="1216C41C" w14:textId="77777777" w:rsidR="00A60DDE" w:rsidRDefault="00095506">
            <w:pPr>
              <w:pStyle w:val="P68B1DB1-Normal45"/>
              <w:spacing w:after="0" w:line="240" w:lineRule="auto"/>
              <w:rPr>
                <w:rFonts w:eastAsia="Times New Roman" w:cs="Times New Roman"/>
                <w:noProof/>
              </w:rPr>
            </w:pPr>
            <w:r>
              <w:rPr>
                <w:noProof/>
              </w:rPr>
              <w:t xml:space="preserve">G3.1.4 Sprijin pentru sistemul energetic național (Fondul de sprijin pentru energie) </w:t>
            </w:r>
          </w:p>
        </w:tc>
        <w:tc>
          <w:tcPr>
            <w:tcW w:w="1068" w:type="dxa"/>
            <w:shd w:val="clear" w:color="auto" w:fill="C6EFCE"/>
            <w:noWrap/>
          </w:tcPr>
          <w:p w14:paraId="1216C41D" w14:textId="77777777" w:rsidR="00A60DDE" w:rsidRDefault="00095506">
            <w:pPr>
              <w:pStyle w:val="P68B1DB1-Normal89"/>
              <w:spacing w:after="0" w:line="240" w:lineRule="auto"/>
              <w:jc w:val="center"/>
              <w:rPr>
                <w:rFonts w:eastAsia="Times New Roman" w:cs="Times New Roman"/>
                <w:noProof/>
                <w:szCs w:val="18"/>
              </w:rPr>
            </w:pPr>
            <w:r>
              <w:rPr>
                <w:noProof/>
              </w:rPr>
              <w:t>Țintă</w:t>
            </w:r>
          </w:p>
        </w:tc>
        <w:tc>
          <w:tcPr>
            <w:tcW w:w="1857" w:type="dxa"/>
            <w:shd w:val="clear" w:color="auto" w:fill="C6EFCE"/>
            <w:noWrap/>
          </w:tcPr>
          <w:p w14:paraId="1216C41E" w14:textId="77777777" w:rsidR="00A60DDE" w:rsidRDefault="00095506">
            <w:pPr>
              <w:pStyle w:val="P68B1DB1-Normal89"/>
              <w:spacing w:after="0" w:line="240" w:lineRule="auto"/>
              <w:rPr>
                <w:rFonts w:eastAsia="Times New Roman" w:cs="Times New Roman"/>
                <w:noProof/>
                <w:szCs w:val="18"/>
              </w:rPr>
            </w:pPr>
            <w:r>
              <w:rPr>
                <w:noProof/>
              </w:rPr>
              <w:t>Acorduri juridice semnate cu beneficiarii finali</w:t>
            </w:r>
          </w:p>
        </w:tc>
        <w:tc>
          <w:tcPr>
            <w:tcW w:w="1591" w:type="dxa"/>
            <w:shd w:val="clear" w:color="auto" w:fill="C6EFCE"/>
            <w:noWrap/>
          </w:tcPr>
          <w:p w14:paraId="1216C41F" w14:textId="77777777" w:rsidR="00A60DDE" w:rsidRDefault="00A60DDE">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420" w14:textId="77777777" w:rsidR="00A60DDE" w:rsidRDefault="00095506">
            <w:pPr>
              <w:pStyle w:val="P68B1DB1-Normal89"/>
              <w:spacing w:after="0" w:line="240" w:lineRule="auto"/>
              <w:rPr>
                <w:rFonts w:eastAsia="Times New Roman" w:cs="Times New Roman"/>
                <w:noProof/>
                <w:szCs w:val="18"/>
              </w:rPr>
            </w:pPr>
            <w:r>
              <w:rPr>
                <w:noProof/>
              </w:rPr>
              <w:t>Procentul (%)</w:t>
            </w:r>
          </w:p>
        </w:tc>
        <w:tc>
          <w:tcPr>
            <w:tcW w:w="936" w:type="dxa"/>
            <w:shd w:val="clear" w:color="auto" w:fill="C6EFCE"/>
            <w:noWrap/>
          </w:tcPr>
          <w:p w14:paraId="1216C421" w14:textId="77777777" w:rsidR="00A60DDE" w:rsidRDefault="00095506">
            <w:pPr>
              <w:pStyle w:val="P68B1DB1-Normal89"/>
              <w:spacing w:after="0" w:line="240" w:lineRule="auto"/>
              <w:jc w:val="center"/>
              <w:rPr>
                <w:rFonts w:eastAsia="Times New Roman" w:cs="Times New Roman"/>
                <w:noProof/>
                <w:szCs w:val="18"/>
              </w:rPr>
            </w:pPr>
            <w:r>
              <w:rPr>
                <w:noProof/>
              </w:rPr>
              <w:t>30%</w:t>
            </w:r>
          </w:p>
        </w:tc>
        <w:tc>
          <w:tcPr>
            <w:tcW w:w="673" w:type="dxa"/>
            <w:shd w:val="clear" w:color="auto" w:fill="C6EFCE"/>
            <w:noWrap/>
          </w:tcPr>
          <w:p w14:paraId="1216C422" w14:textId="77777777" w:rsidR="00A60DDE" w:rsidRDefault="00095506">
            <w:pPr>
              <w:pStyle w:val="P68B1DB1-Normal89"/>
              <w:spacing w:after="0" w:line="240" w:lineRule="auto"/>
              <w:jc w:val="center"/>
              <w:rPr>
                <w:rFonts w:eastAsia="Times New Roman" w:cs="Times New Roman"/>
                <w:noProof/>
                <w:szCs w:val="18"/>
              </w:rPr>
            </w:pPr>
            <w:r>
              <w:rPr>
                <w:noProof/>
              </w:rPr>
              <w:t>100%</w:t>
            </w:r>
          </w:p>
        </w:tc>
        <w:tc>
          <w:tcPr>
            <w:tcW w:w="871" w:type="dxa"/>
            <w:shd w:val="clear" w:color="auto" w:fill="C6EFCE"/>
            <w:noWrap/>
          </w:tcPr>
          <w:p w14:paraId="1216C423" w14:textId="77777777" w:rsidR="00A60DDE" w:rsidRDefault="00095506">
            <w:pPr>
              <w:pStyle w:val="P68B1DB1-Normal89"/>
              <w:spacing w:after="0" w:line="240" w:lineRule="auto"/>
              <w:jc w:val="center"/>
              <w:rPr>
                <w:rFonts w:eastAsia="Times New Roman" w:cs="Times New Roman"/>
                <w:noProof/>
                <w:szCs w:val="18"/>
              </w:rPr>
            </w:pPr>
            <w:r>
              <w:rPr>
                <w:noProof/>
              </w:rPr>
              <w:t>T3</w:t>
            </w:r>
          </w:p>
        </w:tc>
        <w:tc>
          <w:tcPr>
            <w:tcW w:w="877" w:type="dxa"/>
            <w:shd w:val="clear" w:color="auto" w:fill="C6EFCE"/>
            <w:noWrap/>
          </w:tcPr>
          <w:p w14:paraId="1216C424"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4105" w:type="dxa"/>
            <w:shd w:val="clear" w:color="auto" w:fill="C6EFCE"/>
            <w:noWrap/>
          </w:tcPr>
          <w:p w14:paraId="1216C425" w14:textId="77777777" w:rsidR="00A60DDE" w:rsidRDefault="00095506">
            <w:pPr>
              <w:pStyle w:val="P68B1DB1-Normal45"/>
              <w:spacing w:after="0" w:line="240" w:lineRule="auto"/>
              <w:rPr>
                <w:rFonts w:eastAsia="Times New Roman" w:cs="Times New Roman"/>
                <w:noProof/>
              </w:rPr>
            </w:pPr>
            <w:r>
              <w:rPr>
                <w:noProof/>
              </w:rPr>
              <w:t>BGK trebuie să fi încheiat acorduri juridice de finanțare cu beneficiarii finali pentru o sumă necesară pentru a utiliza 100 % din investițiile MRR în mecanism (ținând seama de comisioanele de gestiune). Cel puțin 60 % din această finanțare contribuie la obiectivele climatice utilizând metodologia din anexa VI la Regulamentul privind MRR.</w:t>
            </w:r>
          </w:p>
        </w:tc>
      </w:tr>
      <w:tr w:rsidR="00A60DDE" w14:paraId="1216C432" w14:textId="77777777">
        <w:trPr>
          <w:trHeight w:val="309"/>
          <w:jc w:val="center"/>
        </w:trPr>
        <w:tc>
          <w:tcPr>
            <w:tcW w:w="803" w:type="dxa"/>
            <w:shd w:val="clear" w:color="auto" w:fill="C6EFCE"/>
            <w:noWrap/>
          </w:tcPr>
          <w:p w14:paraId="1216C427" w14:textId="77777777" w:rsidR="00A60DDE" w:rsidRDefault="00095506">
            <w:pPr>
              <w:pStyle w:val="P68B1DB1-Normal89"/>
              <w:spacing w:after="0" w:line="240" w:lineRule="auto"/>
              <w:jc w:val="center"/>
              <w:rPr>
                <w:rFonts w:eastAsia="Times New Roman" w:cs="Times New Roman"/>
                <w:noProof/>
                <w:szCs w:val="18"/>
              </w:rPr>
            </w:pPr>
            <w:r>
              <w:rPr>
                <w:noProof/>
              </w:rPr>
              <w:t>G15L</w:t>
            </w:r>
          </w:p>
        </w:tc>
        <w:tc>
          <w:tcPr>
            <w:tcW w:w="1461" w:type="dxa"/>
            <w:shd w:val="clear" w:color="auto" w:fill="C6EFCE"/>
            <w:noWrap/>
          </w:tcPr>
          <w:p w14:paraId="1216C428" w14:textId="77777777" w:rsidR="00A60DDE" w:rsidRDefault="00095506">
            <w:pPr>
              <w:pStyle w:val="P68B1DB1-Normal45"/>
              <w:spacing w:after="0" w:line="240" w:lineRule="auto"/>
              <w:rPr>
                <w:rFonts w:eastAsia="Times New Roman" w:cs="Times New Roman"/>
                <w:noProof/>
              </w:rPr>
            </w:pPr>
            <w:r>
              <w:rPr>
                <w:noProof/>
              </w:rPr>
              <w:t>G3.1.4 Sprijin pentru sistemul energetic național (Fondul de sprijin pentru energie)</w:t>
            </w:r>
          </w:p>
        </w:tc>
        <w:tc>
          <w:tcPr>
            <w:tcW w:w="1068" w:type="dxa"/>
            <w:shd w:val="clear" w:color="auto" w:fill="C6EFCE"/>
            <w:noWrap/>
          </w:tcPr>
          <w:p w14:paraId="1216C429"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2A" w14:textId="77777777" w:rsidR="00A60DDE" w:rsidRDefault="00095506">
            <w:pPr>
              <w:pStyle w:val="P68B1DB1-Normal89"/>
              <w:spacing w:after="0" w:line="240" w:lineRule="auto"/>
              <w:rPr>
                <w:rFonts w:eastAsia="Times New Roman" w:cs="Times New Roman"/>
                <w:noProof/>
                <w:szCs w:val="18"/>
              </w:rPr>
            </w:pPr>
            <w:r>
              <w:rPr>
                <w:noProof/>
              </w:rPr>
              <w:t>Ministerul a finalizat investiția</w:t>
            </w:r>
          </w:p>
        </w:tc>
        <w:tc>
          <w:tcPr>
            <w:tcW w:w="1591" w:type="dxa"/>
            <w:shd w:val="clear" w:color="auto" w:fill="C6EFCE"/>
            <w:noWrap/>
          </w:tcPr>
          <w:p w14:paraId="1216C42B" w14:textId="77777777" w:rsidR="00A60DDE" w:rsidRDefault="00095506">
            <w:pPr>
              <w:pStyle w:val="P68B1DB1-Normal89"/>
              <w:spacing w:after="0" w:line="240" w:lineRule="auto"/>
              <w:rPr>
                <w:rFonts w:eastAsia="Times New Roman" w:cs="Times New Roman"/>
                <w:noProof/>
                <w:szCs w:val="18"/>
              </w:rPr>
            </w:pPr>
            <w:r>
              <w:rPr>
                <w:noProof/>
              </w:rPr>
              <w:t>Certificatul de transfer</w:t>
            </w:r>
          </w:p>
        </w:tc>
        <w:tc>
          <w:tcPr>
            <w:tcW w:w="1067" w:type="dxa"/>
            <w:shd w:val="clear" w:color="auto" w:fill="C6EFCE"/>
            <w:noWrap/>
          </w:tcPr>
          <w:p w14:paraId="1216C42C"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2D"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42E"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42F" w14:textId="77777777" w:rsidR="00A60DDE" w:rsidRDefault="00095506">
            <w:pPr>
              <w:pStyle w:val="P68B1DB1-Normal89"/>
              <w:spacing w:after="0" w:line="240" w:lineRule="auto"/>
              <w:jc w:val="center"/>
              <w:rPr>
                <w:rFonts w:eastAsia="Times New Roman" w:cs="Times New Roman"/>
                <w:noProof/>
                <w:szCs w:val="18"/>
              </w:rPr>
            </w:pPr>
            <w:r>
              <w:rPr>
                <w:noProof/>
              </w:rPr>
              <w:t>T3</w:t>
            </w:r>
          </w:p>
        </w:tc>
        <w:tc>
          <w:tcPr>
            <w:tcW w:w="877" w:type="dxa"/>
            <w:shd w:val="clear" w:color="auto" w:fill="C6EFCE"/>
            <w:noWrap/>
          </w:tcPr>
          <w:p w14:paraId="1216C430" w14:textId="77777777" w:rsidR="00A60DDE" w:rsidRDefault="00095506">
            <w:pPr>
              <w:pStyle w:val="P68B1DB1-Normal45"/>
              <w:spacing w:after="0" w:line="240" w:lineRule="auto"/>
              <w:jc w:val="center"/>
              <w:rPr>
                <w:rFonts w:eastAsia="Times New Roman" w:cs="Times New Roman"/>
                <w:noProof/>
              </w:rPr>
            </w:pPr>
            <w:r>
              <w:rPr>
                <w:noProof/>
              </w:rPr>
              <w:t>2026</w:t>
            </w:r>
          </w:p>
        </w:tc>
        <w:tc>
          <w:tcPr>
            <w:tcW w:w="4105" w:type="dxa"/>
            <w:shd w:val="clear" w:color="auto" w:fill="C6EFCE"/>
            <w:noWrap/>
          </w:tcPr>
          <w:p w14:paraId="1216C431" w14:textId="77777777" w:rsidR="00A60DDE" w:rsidRDefault="00095506">
            <w:pPr>
              <w:pStyle w:val="P68B1DB1-Normal45"/>
              <w:spacing w:after="0" w:line="240" w:lineRule="auto"/>
              <w:rPr>
                <w:rFonts w:eastAsia="Times New Roman" w:cs="Times New Roman"/>
                <w:noProof/>
              </w:rPr>
            </w:pPr>
            <w:r>
              <w:rPr>
                <w:noProof/>
              </w:rPr>
              <w:t>Polonia transferă suma de 15 045 143 508 EUR către BGK pentru facilitate.</w:t>
            </w:r>
          </w:p>
        </w:tc>
      </w:tr>
      <w:tr w:rsidR="00A60DDE" w14:paraId="1216C43E" w14:textId="77777777">
        <w:trPr>
          <w:trHeight w:val="309"/>
          <w:jc w:val="center"/>
        </w:trPr>
        <w:tc>
          <w:tcPr>
            <w:tcW w:w="803" w:type="dxa"/>
            <w:shd w:val="clear" w:color="auto" w:fill="C6EFCE"/>
            <w:noWrap/>
          </w:tcPr>
          <w:p w14:paraId="1216C433" w14:textId="77777777" w:rsidR="00A60DDE" w:rsidRDefault="00095506">
            <w:pPr>
              <w:pStyle w:val="P68B1DB1-Normal89"/>
              <w:spacing w:after="0" w:line="240" w:lineRule="auto"/>
              <w:jc w:val="center"/>
              <w:rPr>
                <w:rFonts w:eastAsia="Times New Roman" w:cs="Times New Roman"/>
                <w:noProof/>
                <w:szCs w:val="18"/>
              </w:rPr>
            </w:pPr>
            <w:r>
              <w:rPr>
                <w:noProof/>
              </w:rPr>
              <w:t>G16L</w:t>
            </w:r>
          </w:p>
        </w:tc>
        <w:tc>
          <w:tcPr>
            <w:tcW w:w="1461" w:type="dxa"/>
            <w:shd w:val="clear" w:color="auto" w:fill="C6EFCE"/>
            <w:noWrap/>
          </w:tcPr>
          <w:p w14:paraId="1216C434" w14:textId="77777777" w:rsidR="00A60DDE" w:rsidRDefault="00095506">
            <w:pPr>
              <w:pStyle w:val="P68B1DB1-Normal45"/>
              <w:spacing w:after="0" w:line="240" w:lineRule="auto"/>
              <w:rPr>
                <w:rFonts w:eastAsia="Times New Roman" w:cs="Times New Roman"/>
                <w:noProof/>
              </w:rPr>
            </w:pPr>
            <w:r>
              <w:rPr>
                <w:noProof/>
              </w:rPr>
              <w:t>G3.1.5 Construirea de parcuri eoliene offshore (Fondul pentru energie eoliană offshore)</w:t>
            </w:r>
          </w:p>
        </w:tc>
        <w:tc>
          <w:tcPr>
            <w:tcW w:w="1068" w:type="dxa"/>
            <w:shd w:val="clear" w:color="auto" w:fill="C6EFCE"/>
            <w:noWrap/>
          </w:tcPr>
          <w:p w14:paraId="1216C435"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36" w14:textId="77777777" w:rsidR="00A60DDE" w:rsidRDefault="00095506">
            <w:pPr>
              <w:pStyle w:val="P68B1DB1-Normal89"/>
              <w:spacing w:after="0" w:line="240" w:lineRule="auto"/>
              <w:rPr>
                <w:rFonts w:eastAsia="Times New Roman" w:cs="Times New Roman"/>
                <w:noProof/>
                <w:szCs w:val="18"/>
              </w:rPr>
            </w:pPr>
            <w:r>
              <w:rPr>
                <w:noProof/>
              </w:rPr>
              <w:t>Acord de punere în aplicare</w:t>
            </w:r>
          </w:p>
        </w:tc>
        <w:tc>
          <w:tcPr>
            <w:tcW w:w="1591" w:type="dxa"/>
            <w:shd w:val="clear" w:color="auto" w:fill="C6EFCE"/>
            <w:noWrap/>
          </w:tcPr>
          <w:p w14:paraId="1216C437" w14:textId="77777777" w:rsidR="00A60DDE" w:rsidRDefault="00095506">
            <w:pPr>
              <w:pStyle w:val="P68B1DB1-Normal89"/>
              <w:spacing w:after="0" w:line="240" w:lineRule="auto"/>
              <w:rPr>
                <w:rFonts w:eastAsia="Times New Roman" w:cs="Times New Roman"/>
                <w:noProof/>
                <w:szCs w:val="18"/>
              </w:rPr>
            </w:pPr>
            <w:r>
              <w:rPr>
                <w:noProof/>
              </w:rPr>
              <w:t>Intrarea în vigoare a acordului de punere în aplicare</w:t>
            </w:r>
          </w:p>
        </w:tc>
        <w:tc>
          <w:tcPr>
            <w:tcW w:w="1067" w:type="dxa"/>
            <w:shd w:val="clear" w:color="auto" w:fill="C6EFCE"/>
            <w:noWrap/>
          </w:tcPr>
          <w:p w14:paraId="1216C438"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39"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43A"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43B" w14:textId="77777777" w:rsidR="00A60DDE" w:rsidRDefault="00095506">
            <w:pPr>
              <w:pStyle w:val="P68B1DB1-Normal89"/>
              <w:spacing w:after="0" w:line="240" w:lineRule="auto"/>
              <w:jc w:val="center"/>
              <w:rPr>
                <w:rFonts w:eastAsia="Times New Roman" w:cs="Times New Roman"/>
                <w:noProof/>
                <w:szCs w:val="18"/>
              </w:rPr>
            </w:pPr>
            <w:r>
              <w:rPr>
                <w:noProof/>
              </w:rPr>
              <w:t>T3</w:t>
            </w:r>
          </w:p>
        </w:tc>
        <w:tc>
          <w:tcPr>
            <w:tcW w:w="877" w:type="dxa"/>
            <w:shd w:val="clear" w:color="auto" w:fill="C6EFCE"/>
            <w:noWrap/>
          </w:tcPr>
          <w:p w14:paraId="1216C43C" w14:textId="77777777" w:rsidR="00A60DDE" w:rsidRDefault="00095506">
            <w:pPr>
              <w:pStyle w:val="P68B1DB1-Normal89"/>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43D" w14:textId="77777777" w:rsidR="00A60DDE" w:rsidRDefault="00095506">
            <w:pPr>
              <w:pStyle w:val="P68B1DB1-Normal89"/>
              <w:spacing w:after="0" w:line="240" w:lineRule="auto"/>
              <w:rPr>
                <w:rFonts w:eastAsia="Times New Roman" w:cs="Times New Roman"/>
                <w:noProof/>
                <w:szCs w:val="18"/>
              </w:rPr>
            </w:pPr>
            <w:r>
              <w:rPr>
                <w:noProof/>
              </w:rPr>
              <w:t>Intrarea în vigoare a acordului de punere în aplicare.</w:t>
            </w:r>
          </w:p>
        </w:tc>
      </w:tr>
      <w:tr w:rsidR="00A60DDE" w14:paraId="1216C44A" w14:textId="77777777">
        <w:trPr>
          <w:trHeight w:val="309"/>
          <w:jc w:val="center"/>
        </w:trPr>
        <w:tc>
          <w:tcPr>
            <w:tcW w:w="803" w:type="dxa"/>
            <w:shd w:val="clear" w:color="auto" w:fill="C6EFCE"/>
            <w:noWrap/>
          </w:tcPr>
          <w:p w14:paraId="1216C43F" w14:textId="77777777" w:rsidR="00A60DDE" w:rsidRDefault="00095506">
            <w:pPr>
              <w:pStyle w:val="P68B1DB1-Normal89"/>
              <w:spacing w:after="0" w:line="240" w:lineRule="auto"/>
              <w:jc w:val="center"/>
              <w:rPr>
                <w:rFonts w:eastAsia="Times New Roman" w:cs="Times New Roman"/>
                <w:noProof/>
                <w:szCs w:val="18"/>
              </w:rPr>
            </w:pPr>
            <w:r>
              <w:rPr>
                <w:noProof/>
              </w:rPr>
              <w:t>G18L</w:t>
            </w:r>
          </w:p>
        </w:tc>
        <w:tc>
          <w:tcPr>
            <w:tcW w:w="1461" w:type="dxa"/>
            <w:shd w:val="clear" w:color="auto" w:fill="C6EFCE"/>
            <w:noWrap/>
          </w:tcPr>
          <w:p w14:paraId="1216C440" w14:textId="77777777" w:rsidR="00A60DDE" w:rsidRDefault="00095506">
            <w:pPr>
              <w:pStyle w:val="P68B1DB1-Normal45"/>
              <w:spacing w:after="0" w:line="240" w:lineRule="auto"/>
              <w:rPr>
                <w:rFonts w:eastAsia="Times New Roman" w:cs="Times New Roman"/>
                <w:noProof/>
              </w:rPr>
            </w:pPr>
            <w:r>
              <w:rPr>
                <w:noProof/>
              </w:rPr>
              <w:t>G3.1.5 Construirea de parcuri eoliene offshore (Fondul pentru energie eoliană offshore)</w:t>
            </w:r>
          </w:p>
        </w:tc>
        <w:tc>
          <w:tcPr>
            <w:tcW w:w="1068" w:type="dxa"/>
            <w:shd w:val="clear" w:color="auto" w:fill="C6EFCE"/>
            <w:noWrap/>
          </w:tcPr>
          <w:p w14:paraId="1216C441" w14:textId="77777777" w:rsidR="00A60DDE" w:rsidRDefault="00095506">
            <w:pPr>
              <w:pStyle w:val="P68B1DB1-Normal89"/>
              <w:spacing w:after="0" w:line="240" w:lineRule="auto"/>
              <w:jc w:val="center"/>
              <w:rPr>
                <w:rFonts w:eastAsia="Times New Roman" w:cs="Times New Roman"/>
                <w:noProof/>
                <w:szCs w:val="18"/>
              </w:rPr>
            </w:pPr>
            <w:r>
              <w:rPr>
                <w:noProof/>
              </w:rPr>
              <w:t>Țintă</w:t>
            </w:r>
          </w:p>
        </w:tc>
        <w:tc>
          <w:tcPr>
            <w:tcW w:w="1857" w:type="dxa"/>
            <w:shd w:val="clear" w:color="auto" w:fill="C6EFCE"/>
            <w:noWrap/>
          </w:tcPr>
          <w:p w14:paraId="1216C442" w14:textId="77777777" w:rsidR="00A60DDE" w:rsidRDefault="00095506">
            <w:pPr>
              <w:pStyle w:val="P68B1DB1-Normal89"/>
              <w:spacing w:after="0" w:line="240" w:lineRule="auto"/>
              <w:rPr>
                <w:rFonts w:eastAsia="Times New Roman" w:cs="Times New Roman"/>
                <w:noProof/>
                <w:szCs w:val="18"/>
              </w:rPr>
            </w:pPr>
            <w:r>
              <w:rPr>
                <w:noProof/>
              </w:rPr>
              <w:t>Acorduri juridice semnate cu beneficiarii finali</w:t>
            </w:r>
          </w:p>
        </w:tc>
        <w:tc>
          <w:tcPr>
            <w:tcW w:w="1591" w:type="dxa"/>
            <w:shd w:val="clear" w:color="auto" w:fill="C6EFCE"/>
            <w:noWrap/>
          </w:tcPr>
          <w:p w14:paraId="1216C443" w14:textId="77777777" w:rsidR="00A60DDE" w:rsidRDefault="00A60DDE">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444" w14:textId="77777777" w:rsidR="00A60DDE" w:rsidRDefault="00095506">
            <w:pPr>
              <w:pStyle w:val="P68B1DB1-Normal89"/>
              <w:spacing w:after="0" w:line="240" w:lineRule="auto"/>
              <w:rPr>
                <w:rFonts w:eastAsia="Times New Roman" w:cs="Times New Roman"/>
                <w:noProof/>
                <w:szCs w:val="18"/>
              </w:rPr>
            </w:pPr>
            <w:r>
              <w:rPr>
                <w:noProof/>
              </w:rPr>
              <w:t>Procentul (%)</w:t>
            </w:r>
          </w:p>
        </w:tc>
        <w:tc>
          <w:tcPr>
            <w:tcW w:w="936" w:type="dxa"/>
            <w:shd w:val="clear" w:color="auto" w:fill="C6EFCE"/>
            <w:noWrap/>
          </w:tcPr>
          <w:p w14:paraId="1216C445" w14:textId="77777777" w:rsidR="00A60DDE" w:rsidRDefault="00095506">
            <w:pPr>
              <w:pStyle w:val="P68B1DB1-Normal45"/>
              <w:spacing w:after="0" w:line="240" w:lineRule="auto"/>
              <w:jc w:val="center"/>
              <w:rPr>
                <w:rFonts w:eastAsia="Times New Roman" w:cs="Times New Roman"/>
                <w:noProof/>
              </w:rPr>
            </w:pPr>
            <w:r>
              <w:rPr>
                <w:noProof/>
              </w:rPr>
              <w:t>0%</w:t>
            </w:r>
          </w:p>
        </w:tc>
        <w:tc>
          <w:tcPr>
            <w:tcW w:w="673" w:type="dxa"/>
            <w:shd w:val="clear" w:color="auto" w:fill="C6EFCE"/>
            <w:noWrap/>
          </w:tcPr>
          <w:p w14:paraId="1216C446" w14:textId="77777777" w:rsidR="00A60DDE" w:rsidRDefault="00095506">
            <w:pPr>
              <w:pStyle w:val="P68B1DB1-Normal89"/>
              <w:spacing w:after="0" w:line="240" w:lineRule="auto"/>
              <w:jc w:val="center"/>
              <w:rPr>
                <w:rFonts w:eastAsia="Times New Roman" w:cs="Times New Roman"/>
                <w:noProof/>
                <w:szCs w:val="18"/>
              </w:rPr>
            </w:pPr>
            <w:r>
              <w:rPr>
                <w:noProof/>
              </w:rPr>
              <w:t>100%</w:t>
            </w:r>
          </w:p>
        </w:tc>
        <w:tc>
          <w:tcPr>
            <w:tcW w:w="871" w:type="dxa"/>
            <w:shd w:val="clear" w:color="auto" w:fill="C6EFCE"/>
            <w:noWrap/>
          </w:tcPr>
          <w:p w14:paraId="1216C447"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448"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449" w14:textId="77777777" w:rsidR="00A60DDE" w:rsidRDefault="00095506">
            <w:pPr>
              <w:pStyle w:val="P68B1DB1-Normal45"/>
              <w:spacing w:after="0" w:line="240" w:lineRule="auto"/>
              <w:rPr>
                <w:rFonts w:eastAsia="Times New Roman" w:cs="Times New Roman"/>
                <w:noProof/>
              </w:rPr>
            </w:pPr>
            <w:r>
              <w:rPr>
                <w:noProof/>
              </w:rPr>
              <w:t>BGK trebuie să fi încheiat acorduri juridice de finanțare cu beneficiarii finali pentru o sumă necesară pentru a utiliza 100 % din investițiile MRR în mecanism (ținând seama de comisioanele de gestiune). 100 % din această finanțare contribuie la obiectivele climatice utilizând metodologia din anexa VI la Regulamentul privind MRR.</w:t>
            </w:r>
          </w:p>
        </w:tc>
      </w:tr>
      <w:tr w:rsidR="00A60DDE" w14:paraId="1216C456" w14:textId="77777777">
        <w:trPr>
          <w:trHeight w:val="309"/>
          <w:jc w:val="center"/>
        </w:trPr>
        <w:tc>
          <w:tcPr>
            <w:tcW w:w="803" w:type="dxa"/>
            <w:shd w:val="clear" w:color="auto" w:fill="C6EFCE"/>
            <w:noWrap/>
          </w:tcPr>
          <w:p w14:paraId="1216C44B" w14:textId="77777777" w:rsidR="00A60DDE" w:rsidRDefault="00095506">
            <w:pPr>
              <w:pStyle w:val="P68B1DB1-Normal89"/>
              <w:spacing w:after="0" w:line="240" w:lineRule="auto"/>
              <w:jc w:val="center"/>
              <w:rPr>
                <w:rFonts w:eastAsia="Times New Roman" w:cs="Times New Roman"/>
                <w:noProof/>
                <w:szCs w:val="18"/>
              </w:rPr>
            </w:pPr>
            <w:r>
              <w:rPr>
                <w:noProof/>
              </w:rPr>
              <w:t>G19L</w:t>
            </w:r>
          </w:p>
        </w:tc>
        <w:tc>
          <w:tcPr>
            <w:tcW w:w="1461" w:type="dxa"/>
            <w:shd w:val="clear" w:color="auto" w:fill="C6EFCE"/>
            <w:noWrap/>
          </w:tcPr>
          <w:p w14:paraId="1216C44C" w14:textId="77777777" w:rsidR="00A60DDE" w:rsidRDefault="00095506">
            <w:pPr>
              <w:pStyle w:val="P68B1DB1-Normal45"/>
              <w:spacing w:after="0" w:line="240" w:lineRule="auto"/>
              <w:rPr>
                <w:rFonts w:eastAsia="Times New Roman" w:cs="Times New Roman"/>
                <w:noProof/>
              </w:rPr>
            </w:pPr>
            <w:r>
              <w:rPr>
                <w:noProof/>
              </w:rPr>
              <w:t>G3.1.5 Construirea de parcuri eoliene offshore (Fondul pentru energie eoliană offshore)</w:t>
            </w:r>
          </w:p>
        </w:tc>
        <w:tc>
          <w:tcPr>
            <w:tcW w:w="1068" w:type="dxa"/>
            <w:shd w:val="clear" w:color="auto" w:fill="C6EFCE"/>
            <w:noWrap/>
          </w:tcPr>
          <w:p w14:paraId="1216C44D"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4E" w14:textId="77777777" w:rsidR="00A60DDE" w:rsidRDefault="00095506">
            <w:pPr>
              <w:pStyle w:val="P68B1DB1-Normal89"/>
              <w:spacing w:after="0" w:line="240" w:lineRule="auto"/>
              <w:rPr>
                <w:rFonts w:eastAsia="Times New Roman" w:cs="Times New Roman"/>
                <w:noProof/>
                <w:szCs w:val="18"/>
              </w:rPr>
            </w:pPr>
            <w:r>
              <w:rPr>
                <w:noProof/>
              </w:rPr>
              <w:t>Ministerul a finalizat investiția</w:t>
            </w:r>
          </w:p>
        </w:tc>
        <w:tc>
          <w:tcPr>
            <w:tcW w:w="1591" w:type="dxa"/>
            <w:shd w:val="clear" w:color="auto" w:fill="C6EFCE"/>
            <w:noWrap/>
          </w:tcPr>
          <w:p w14:paraId="1216C44F" w14:textId="77777777" w:rsidR="00A60DDE" w:rsidRDefault="00095506">
            <w:pPr>
              <w:pStyle w:val="P68B1DB1-Normal89"/>
              <w:spacing w:after="0" w:line="240" w:lineRule="auto"/>
              <w:rPr>
                <w:rFonts w:eastAsia="Times New Roman" w:cs="Times New Roman"/>
                <w:noProof/>
                <w:szCs w:val="18"/>
              </w:rPr>
            </w:pPr>
            <w:r>
              <w:rPr>
                <w:noProof/>
              </w:rPr>
              <w:t>Certificatul de transfer</w:t>
            </w:r>
          </w:p>
        </w:tc>
        <w:tc>
          <w:tcPr>
            <w:tcW w:w="1067" w:type="dxa"/>
            <w:shd w:val="clear" w:color="auto" w:fill="C6EFCE"/>
            <w:noWrap/>
          </w:tcPr>
          <w:p w14:paraId="1216C450"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51"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452"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453" w14:textId="77777777" w:rsidR="00A60DDE" w:rsidRDefault="00095506">
            <w:pPr>
              <w:pStyle w:val="P68B1DB1-Normal89"/>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454" w14:textId="77777777" w:rsidR="00A60DDE" w:rsidRDefault="00095506">
            <w:pPr>
              <w:pStyle w:val="P68B1DB1-Normal89"/>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455" w14:textId="77777777" w:rsidR="00A60DDE" w:rsidRDefault="00095506">
            <w:pPr>
              <w:pStyle w:val="P68B1DB1-Normal45"/>
              <w:spacing w:after="0" w:line="240" w:lineRule="auto"/>
              <w:rPr>
                <w:rFonts w:eastAsia="Times New Roman" w:cs="Times New Roman"/>
                <w:noProof/>
              </w:rPr>
            </w:pPr>
            <w:r>
              <w:rPr>
                <w:noProof/>
              </w:rPr>
              <w:t>Polonia transferă suma de 2 226 154 567 EUR către BGK pentru facilitate.</w:t>
            </w:r>
          </w:p>
        </w:tc>
      </w:tr>
    </w:tbl>
    <w:p w14:paraId="1216C457" w14:textId="77777777" w:rsidR="00A60DDE" w:rsidRDefault="00A60DDE">
      <w:pPr>
        <w:spacing w:before="120" w:after="120" w:line="240" w:lineRule="auto"/>
        <w:jc w:val="both"/>
        <w:rPr>
          <w:rFonts w:ascii="Times New Roman" w:hAnsi="Times New Roman" w:cs="Times New Roman"/>
          <w:noProof/>
        </w:rPr>
      </w:pPr>
    </w:p>
    <w:p w14:paraId="1216C458" w14:textId="77777777" w:rsidR="00A60DDE" w:rsidRDefault="00095506">
      <w:pPr>
        <w:pStyle w:val="P68B1DB1-Normal93"/>
        <w:keepNext/>
        <w:pageBreakBefore/>
        <w:spacing w:before="120" w:after="120" w:line="240" w:lineRule="auto"/>
        <w:jc w:val="both"/>
        <w:rPr>
          <w:noProof/>
        </w:rPr>
      </w:pPr>
      <w:r>
        <w:rPr>
          <w:noProof/>
        </w:rPr>
        <w:t>Subcomponenta G3.2 – Îmbunătățirea infrastructurii și a instalațiilor energetice pentru a răspunde nevoilor imediate în materie de securitate a aprovizionării cu gaze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857"/>
        <w:gridCol w:w="1591"/>
        <w:gridCol w:w="1067"/>
        <w:gridCol w:w="936"/>
        <w:gridCol w:w="673"/>
        <w:gridCol w:w="871"/>
        <w:gridCol w:w="877"/>
        <w:gridCol w:w="4105"/>
      </w:tblGrid>
      <w:tr w:rsidR="00A60DDE" w14:paraId="1216C461" w14:textId="77777777">
        <w:trPr>
          <w:trHeight w:val="752"/>
          <w:tblHeader/>
          <w:jc w:val="center"/>
        </w:trPr>
        <w:tc>
          <w:tcPr>
            <w:tcW w:w="803" w:type="dxa"/>
            <w:vMerge w:val="restart"/>
            <w:shd w:val="clear" w:color="auto" w:fill="BDD7EE"/>
            <w:vAlign w:val="center"/>
            <w:hideMark/>
          </w:tcPr>
          <w:p w14:paraId="1216C459" w14:textId="6683A162" w:rsidR="00A60DDE" w:rsidRDefault="005631E2">
            <w:pPr>
              <w:pStyle w:val="P68B1DB1-Normal96"/>
              <w:spacing w:after="0" w:line="240" w:lineRule="auto"/>
              <w:jc w:val="center"/>
              <w:rPr>
                <w:rFonts w:eastAsia="Times New Roman" w:cs="Times New Roman"/>
                <w:noProof/>
                <w:szCs w:val="18"/>
              </w:rPr>
            </w:pPr>
            <w:r>
              <w:rPr>
                <w:noProof/>
              </w:rPr>
              <w:t>Nr. secv</w:t>
            </w:r>
          </w:p>
        </w:tc>
        <w:tc>
          <w:tcPr>
            <w:tcW w:w="1461" w:type="dxa"/>
            <w:vMerge w:val="restart"/>
            <w:shd w:val="clear" w:color="auto" w:fill="BDD7EE"/>
            <w:vAlign w:val="center"/>
            <w:hideMark/>
          </w:tcPr>
          <w:p w14:paraId="1216C45A" w14:textId="77777777" w:rsidR="00A60DDE" w:rsidRDefault="00095506">
            <w:pPr>
              <w:pStyle w:val="P68B1DB1-Normal88"/>
              <w:spacing w:after="0" w:line="240" w:lineRule="auto"/>
              <w:jc w:val="center"/>
              <w:rPr>
                <w:rFonts w:eastAsia="Times New Roman" w:cs="Times New Roman"/>
                <w:noProof/>
              </w:rPr>
            </w:pPr>
            <w:r>
              <w:rPr>
                <w:noProof/>
              </w:rPr>
              <w:t>Măsură conexă (reformă sau investiție)</w:t>
            </w:r>
          </w:p>
        </w:tc>
        <w:tc>
          <w:tcPr>
            <w:tcW w:w="1068" w:type="dxa"/>
            <w:vMerge w:val="restart"/>
            <w:shd w:val="clear" w:color="auto" w:fill="BDD7EE"/>
            <w:vAlign w:val="center"/>
            <w:hideMark/>
          </w:tcPr>
          <w:p w14:paraId="1216C45B" w14:textId="77777777" w:rsidR="00A60DDE" w:rsidRDefault="00095506">
            <w:pPr>
              <w:pStyle w:val="P68B1DB1-Normal88"/>
              <w:spacing w:after="0" w:line="240" w:lineRule="auto"/>
              <w:jc w:val="center"/>
              <w:rPr>
                <w:rFonts w:eastAsia="Times New Roman" w:cs="Times New Roman"/>
                <w:noProof/>
              </w:rPr>
            </w:pPr>
            <w:r>
              <w:rPr>
                <w:noProof/>
              </w:rPr>
              <w:t>Etapa/ținta</w:t>
            </w:r>
          </w:p>
        </w:tc>
        <w:tc>
          <w:tcPr>
            <w:tcW w:w="1857" w:type="dxa"/>
            <w:vMerge w:val="restart"/>
            <w:shd w:val="clear" w:color="auto" w:fill="BDD7EE"/>
            <w:vAlign w:val="center"/>
            <w:hideMark/>
          </w:tcPr>
          <w:p w14:paraId="1216C45C" w14:textId="77777777" w:rsidR="00A60DDE" w:rsidRDefault="00095506">
            <w:pPr>
              <w:pStyle w:val="P68B1DB1-Normal88"/>
              <w:spacing w:after="0" w:line="240" w:lineRule="auto"/>
              <w:jc w:val="center"/>
              <w:rPr>
                <w:rFonts w:eastAsia="Times New Roman" w:cs="Times New Roman"/>
                <w:noProof/>
              </w:rPr>
            </w:pPr>
            <w:r>
              <w:rPr>
                <w:noProof/>
              </w:rPr>
              <w:t>Denumire</w:t>
            </w:r>
          </w:p>
        </w:tc>
        <w:tc>
          <w:tcPr>
            <w:tcW w:w="1591" w:type="dxa"/>
            <w:vMerge w:val="restart"/>
            <w:shd w:val="clear" w:color="auto" w:fill="BDD7EE"/>
            <w:vAlign w:val="center"/>
            <w:hideMark/>
          </w:tcPr>
          <w:p w14:paraId="1216C45D" w14:textId="359AE67E" w:rsidR="00A60DDE" w:rsidRDefault="00095506">
            <w:pPr>
              <w:pStyle w:val="P68B1DB1-Normal88"/>
              <w:spacing w:after="0" w:line="240" w:lineRule="auto"/>
              <w:jc w:val="center"/>
              <w:rPr>
                <w:rFonts w:eastAsia="Times New Roman" w:cs="Times New Roman"/>
                <w:noProof/>
              </w:rPr>
            </w:pPr>
            <w:r>
              <w:rPr>
                <w:noProof/>
              </w:rPr>
              <w:t>Indicatori calitativi (pentru obiectivele de etapă)</w:t>
            </w:r>
          </w:p>
        </w:tc>
        <w:tc>
          <w:tcPr>
            <w:tcW w:w="2676" w:type="dxa"/>
            <w:gridSpan w:val="3"/>
            <w:shd w:val="clear" w:color="auto" w:fill="BDD7EE"/>
            <w:vAlign w:val="center"/>
            <w:hideMark/>
          </w:tcPr>
          <w:p w14:paraId="1216C45E" w14:textId="40274034" w:rsidR="00A60DDE" w:rsidRDefault="00095506">
            <w:pPr>
              <w:pStyle w:val="P68B1DB1-Normal88"/>
              <w:spacing w:after="0" w:line="240" w:lineRule="auto"/>
              <w:jc w:val="center"/>
              <w:rPr>
                <w:rFonts w:eastAsia="Times New Roman" w:cs="Times New Roman"/>
                <w:noProof/>
              </w:rPr>
            </w:pPr>
            <w:r>
              <w:rPr>
                <w:noProof/>
              </w:rPr>
              <w:t>Indicatori cantitativi (pentru obiective)</w:t>
            </w:r>
          </w:p>
        </w:tc>
        <w:tc>
          <w:tcPr>
            <w:tcW w:w="1748" w:type="dxa"/>
            <w:gridSpan w:val="2"/>
            <w:shd w:val="clear" w:color="auto" w:fill="BDD7EE"/>
            <w:vAlign w:val="center"/>
            <w:hideMark/>
          </w:tcPr>
          <w:p w14:paraId="1216C45F" w14:textId="77777777" w:rsidR="00A60DDE" w:rsidRDefault="00095506">
            <w:pPr>
              <w:pStyle w:val="P68B1DB1-Normal88"/>
              <w:spacing w:after="0" w:line="240" w:lineRule="auto"/>
              <w:jc w:val="center"/>
              <w:rPr>
                <w:rFonts w:eastAsia="Times New Roman" w:cs="Times New Roman"/>
                <w:noProof/>
              </w:rPr>
            </w:pPr>
            <w:r>
              <w:rPr>
                <w:noProof/>
              </w:rPr>
              <w:t>Calendar orientativ pentru finalizare</w:t>
            </w:r>
          </w:p>
        </w:tc>
        <w:tc>
          <w:tcPr>
            <w:tcW w:w="4105" w:type="dxa"/>
            <w:vMerge w:val="restart"/>
            <w:shd w:val="clear" w:color="auto" w:fill="BDD7EE"/>
            <w:vAlign w:val="center"/>
            <w:hideMark/>
          </w:tcPr>
          <w:p w14:paraId="1216C460" w14:textId="77777777" w:rsidR="00A60DDE" w:rsidRDefault="00095506">
            <w:pPr>
              <w:pStyle w:val="P68B1DB1-Normal88"/>
              <w:spacing w:after="0" w:line="240" w:lineRule="auto"/>
              <w:jc w:val="center"/>
              <w:rPr>
                <w:rFonts w:eastAsia="Times New Roman" w:cs="Times New Roman"/>
                <w:noProof/>
              </w:rPr>
            </w:pPr>
            <w:r>
              <w:rPr>
                <w:noProof/>
              </w:rPr>
              <w:t>Descrierea fiecărui jalon și a fiecărei ținte</w:t>
            </w:r>
          </w:p>
        </w:tc>
      </w:tr>
      <w:tr w:rsidR="00A60DDE" w14:paraId="1216C46D" w14:textId="77777777">
        <w:trPr>
          <w:trHeight w:val="705"/>
          <w:tblHeader/>
          <w:jc w:val="center"/>
        </w:trPr>
        <w:tc>
          <w:tcPr>
            <w:tcW w:w="803" w:type="dxa"/>
            <w:vMerge/>
            <w:hideMark/>
          </w:tcPr>
          <w:p w14:paraId="1216C462" w14:textId="77777777" w:rsidR="00A60DDE" w:rsidRDefault="00A60DDE">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463" w14:textId="77777777" w:rsidR="00A60DDE" w:rsidRDefault="00A60DDE">
            <w:pPr>
              <w:spacing w:after="0" w:line="240" w:lineRule="auto"/>
              <w:rPr>
                <w:rFonts w:ascii="Times New Roman" w:eastAsia="Times New Roman" w:hAnsi="Times New Roman" w:cs="Times New Roman"/>
                <w:b/>
                <w:bCs/>
                <w:noProof/>
              </w:rPr>
            </w:pPr>
          </w:p>
        </w:tc>
        <w:tc>
          <w:tcPr>
            <w:tcW w:w="1068" w:type="dxa"/>
            <w:vMerge/>
            <w:vAlign w:val="center"/>
            <w:hideMark/>
          </w:tcPr>
          <w:p w14:paraId="1216C464" w14:textId="77777777" w:rsidR="00A60DDE" w:rsidRDefault="00A60DDE">
            <w:pPr>
              <w:spacing w:after="0" w:line="240" w:lineRule="auto"/>
              <w:jc w:val="center"/>
              <w:rPr>
                <w:rFonts w:ascii="Times New Roman" w:eastAsia="Times New Roman" w:hAnsi="Times New Roman" w:cs="Times New Roman"/>
                <w:b/>
                <w:bCs/>
                <w:noProof/>
              </w:rPr>
            </w:pPr>
          </w:p>
        </w:tc>
        <w:tc>
          <w:tcPr>
            <w:tcW w:w="1857" w:type="dxa"/>
            <w:vMerge/>
            <w:vAlign w:val="center"/>
            <w:hideMark/>
          </w:tcPr>
          <w:p w14:paraId="1216C465" w14:textId="77777777" w:rsidR="00A60DDE" w:rsidRDefault="00A60DDE">
            <w:pPr>
              <w:spacing w:after="0" w:line="240" w:lineRule="auto"/>
              <w:rPr>
                <w:rFonts w:ascii="Times New Roman" w:eastAsia="Times New Roman" w:hAnsi="Times New Roman" w:cs="Times New Roman"/>
                <w:b/>
                <w:bCs/>
                <w:noProof/>
              </w:rPr>
            </w:pPr>
          </w:p>
        </w:tc>
        <w:tc>
          <w:tcPr>
            <w:tcW w:w="1591" w:type="dxa"/>
            <w:vMerge/>
            <w:vAlign w:val="center"/>
            <w:hideMark/>
          </w:tcPr>
          <w:p w14:paraId="1216C466" w14:textId="77777777" w:rsidR="00A60DDE" w:rsidRDefault="00A60DDE">
            <w:pPr>
              <w:spacing w:after="0" w:line="240" w:lineRule="auto"/>
              <w:rPr>
                <w:rFonts w:ascii="Times New Roman" w:eastAsia="Times New Roman" w:hAnsi="Times New Roman" w:cs="Times New Roman"/>
                <w:b/>
                <w:bCs/>
                <w:noProof/>
              </w:rPr>
            </w:pPr>
          </w:p>
        </w:tc>
        <w:tc>
          <w:tcPr>
            <w:tcW w:w="1067" w:type="dxa"/>
            <w:shd w:val="clear" w:color="auto" w:fill="BDD7EE"/>
            <w:vAlign w:val="center"/>
            <w:hideMark/>
          </w:tcPr>
          <w:p w14:paraId="1216C467" w14:textId="77777777" w:rsidR="00A60DDE" w:rsidRDefault="00095506">
            <w:pPr>
              <w:pStyle w:val="P68B1DB1-Normal96"/>
              <w:spacing w:after="0" w:line="240" w:lineRule="auto"/>
              <w:jc w:val="center"/>
              <w:rPr>
                <w:rFonts w:eastAsia="Times New Roman" w:cs="Times New Roman"/>
                <w:noProof/>
                <w:szCs w:val="18"/>
              </w:rPr>
            </w:pPr>
            <w:r>
              <w:rPr>
                <w:noProof/>
              </w:rPr>
              <w:t>Unitatea de măsură</w:t>
            </w:r>
          </w:p>
        </w:tc>
        <w:tc>
          <w:tcPr>
            <w:tcW w:w="936" w:type="dxa"/>
            <w:shd w:val="clear" w:color="auto" w:fill="BDD7EE"/>
            <w:vAlign w:val="center"/>
            <w:hideMark/>
          </w:tcPr>
          <w:p w14:paraId="1216C468" w14:textId="77777777" w:rsidR="00A60DDE" w:rsidRDefault="00095506">
            <w:pPr>
              <w:pStyle w:val="P68B1DB1-Normal96"/>
              <w:spacing w:after="0" w:line="240" w:lineRule="auto"/>
              <w:jc w:val="center"/>
              <w:rPr>
                <w:rFonts w:eastAsia="Times New Roman" w:cs="Times New Roman"/>
                <w:noProof/>
                <w:szCs w:val="18"/>
              </w:rPr>
            </w:pPr>
            <w:r>
              <w:rPr>
                <w:noProof/>
              </w:rPr>
              <w:t>Situația de referință</w:t>
            </w:r>
          </w:p>
        </w:tc>
        <w:tc>
          <w:tcPr>
            <w:tcW w:w="673" w:type="dxa"/>
            <w:shd w:val="clear" w:color="auto" w:fill="BDD7EE"/>
            <w:vAlign w:val="center"/>
            <w:hideMark/>
          </w:tcPr>
          <w:p w14:paraId="1216C469" w14:textId="77777777" w:rsidR="00A60DDE" w:rsidRDefault="00095506">
            <w:pPr>
              <w:pStyle w:val="P68B1DB1-Normal96"/>
              <w:spacing w:after="0" w:line="240" w:lineRule="auto"/>
              <w:jc w:val="center"/>
              <w:rPr>
                <w:rFonts w:eastAsia="Times New Roman" w:cs="Times New Roman"/>
                <w:noProof/>
                <w:szCs w:val="18"/>
              </w:rPr>
            </w:pPr>
            <w:r>
              <w:rPr>
                <w:noProof/>
              </w:rPr>
              <w:t>Obiectiv</w:t>
            </w:r>
          </w:p>
        </w:tc>
        <w:tc>
          <w:tcPr>
            <w:tcW w:w="871" w:type="dxa"/>
            <w:shd w:val="clear" w:color="auto" w:fill="BDD7EE"/>
            <w:vAlign w:val="center"/>
            <w:hideMark/>
          </w:tcPr>
          <w:p w14:paraId="1216C46A" w14:textId="77777777" w:rsidR="00A60DDE" w:rsidRDefault="00095506">
            <w:pPr>
              <w:pStyle w:val="P68B1DB1-Normal96"/>
              <w:spacing w:after="0" w:line="240" w:lineRule="auto"/>
              <w:jc w:val="center"/>
              <w:rPr>
                <w:rFonts w:eastAsia="Times New Roman" w:cs="Times New Roman"/>
                <w:noProof/>
                <w:szCs w:val="18"/>
              </w:rPr>
            </w:pPr>
            <w:r>
              <w:rPr>
                <w:noProof/>
              </w:rPr>
              <w:t>Trimestrul</w:t>
            </w:r>
          </w:p>
        </w:tc>
        <w:tc>
          <w:tcPr>
            <w:tcW w:w="877" w:type="dxa"/>
            <w:shd w:val="clear" w:color="auto" w:fill="BDD7EE"/>
            <w:vAlign w:val="center"/>
            <w:hideMark/>
          </w:tcPr>
          <w:p w14:paraId="1216C46B" w14:textId="77777777" w:rsidR="00A60DDE" w:rsidRDefault="00095506">
            <w:pPr>
              <w:pStyle w:val="P68B1DB1-Normal96"/>
              <w:spacing w:after="0" w:line="240" w:lineRule="auto"/>
              <w:jc w:val="center"/>
              <w:rPr>
                <w:rFonts w:eastAsia="Times New Roman" w:cs="Times New Roman"/>
                <w:noProof/>
                <w:szCs w:val="18"/>
              </w:rPr>
            </w:pPr>
            <w:r>
              <w:rPr>
                <w:noProof/>
              </w:rPr>
              <w:t>Anul</w:t>
            </w:r>
          </w:p>
        </w:tc>
        <w:tc>
          <w:tcPr>
            <w:tcW w:w="4105" w:type="dxa"/>
            <w:vMerge/>
            <w:vAlign w:val="center"/>
            <w:hideMark/>
          </w:tcPr>
          <w:p w14:paraId="1216C46C" w14:textId="77777777" w:rsidR="00A60DDE" w:rsidRDefault="00A60DDE">
            <w:pPr>
              <w:spacing w:after="0" w:line="240" w:lineRule="auto"/>
              <w:rPr>
                <w:rFonts w:ascii="Times New Roman" w:eastAsia="Times New Roman" w:hAnsi="Times New Roman" w:cs="Times New Roman"/>
                <w:b/>
                <w:bCs/>
                <w:noProof/>
              </w:rPr>
            </w:pPr>
          </w:p>
        </w:tc>
      </w:tr>
      <w:tr w:rsidR="00A60DDE" w14:paraId="1216C479" w14:textId="77777777">
        <w:trPr>
          <w:trHeight w:val="309"/>
          <w:jc w:val="center"/>
        </w:trPr>
        <w:tc>
          <w:tcPr>
            <w:tcW w:w="803" w:type="dxa"/>
            <w:shd w:val="clear" w:color="auto" w:fill="C6EFCE"/>
            <w:noWrap/>
          </w:tcPr>
          <w:p w14:paraId="1216C46E" w14:textId="77777777" w:rsidR="00A60DDE" w:rsidRDefault="00095506">
            <w:pPr>
              <w:pStyle w:val="P68B1DB1-Normal44"/>
              <w:spacing w:after="0" w:line="240" w:lineRule="auto"/>
              <w:jc w:val="center"/>
              <w:rPr>
                <w:rFonts w:eastAsia="Times New Roman" w:cs="Times New Roman"/>
                <w:noProof/>
                <w:color w:val="000000"/>
                <w:szCs w:val="18"/>
              </w:rPr>
            </w:pPr>
            <w:r>
              <w:rPr>
                <w:noProof/>
              </w:rPr>
              <w:t>G20L</w:t>
            </w:r>
          </w:p>
        </w:tc>
        <w:tc>
          <w:tcPr>
            <w:tcW w:w="1461" w:type="dxa"/>
            <w:shd w:val="clear" w:color="auto" w:fill="C6EFCE"/>
            <w:noWrap/>
          </w:tcPr>
          <w:p w14:paraId="1216C46F" w14:textId="77777777" w:rsidR="00A60DDE" w:rsidRDefault="00095506">
            <w:pPr>
              <w:pStyle w:val="P68B1DB1-Normal44"/>
              <w:spacing w:after="0" w:line="240" w:lineRule="auto"/>
              <w:rPr>
                <w:rFonts w:eastAsia="Times New Roman" w:cs="Times New Roman"/>
                <w:noProof/>
                <w:color w:val="000000"/>
                <w:szCs w:val="18"/>
              </w:rPr>
            </w:pPr>
            <w:r>
              <w:rPr>
                <w:noProof/>
              </w:rPr>
              <w:t xml:space="preserve">G3.2.1 Construirea infrastructurii de gaze naturale pentru a asigura securitatea energetică </w:t>
            </w:r>
          </w:p>
        </w:tc>
        <w:tc>
          <w:tcPr>
            <w:tcW w:w="1068" w:type="dxa"/>
            <w:shd w:val="clear" w:color="auto" w:fill="C6EFCE"/>
            <w:noWrap/>
          </w:tcPr>
          <w:p w14:paraId="1216C470" w14:textId="77777777" w:rsidR="00A60DDE" w:rsidRDefault="00095506">
            <w:pPr>
              <w:pStyle w:val="P68B1DB1-Normal44"/>
              <w:spacing w:after="0" w:line="240" w:lineRule="auto"/>
              <w:jc w:val="center"/>
              <w:rPr>
                <w:rFonts w:eastAsia="Times New Roman" w:cs="Times New Roman"/>
                <w:noProof/>
                <w:color w:val="000000"/>
                <w:szCs w:val="18"/>
              </w:rPr>
            </w:pPr>
            <w:r>
              <w:rPr>
                <w:noProof/>
              </w:rPr>
              <w:t>Etapa de referință</w:t>
            </w:r>
          </w:p>
        </w:tc>
        <w:tc>
          <w:tcPr>
            <w:tcW w:w="1857" w:type="dxa"/>
            <w:shd w:val="clear" w:color="auto" w:fill="C6EFCE"/>
            <w:noWrap/>
          </w:tcPr>
          <w:p w14:paraId="1216C471" w14:textId="77777777" w:rsidR="00A60DDE" w:rsidRDefault="00095506">
            <w:pPr>
              <w:pStyle w:val="P68B1DB1-Normal44"/>
              <w:spacing w:after="0" w:line="240" w:lineRule="auto"/>
              <w:rPr>
                <w:rFonts w:eastAsia="Times New Roman" w:cs="Times New Roman"/>
                <w:noProof/>
                <w:color w:val="000000"/>
                <w:szCs w:val="18"/>
              </w:rPr>
            </w:pPr>
            <w:r>
              <w:rPr>
                <w:noProof/>
              </w:rPr>
              <w:t>Acordarea autorizațiilor de construcție</w:t>
            </w:r>
          </w:p>
        </w:tc>
        <w:tc>
          <w:tcPr>
            <w:tcW w:w="1591" w:type="dxa"/>
            <w:shd w:val="clear" w:color="auto" w:fill="C6EFCE"/>
            <w:noWrap/>
          </w:tcPr>
          <w:p w14:paraId="1216C472" w14:textId="77777777" w:rsidR="00A60DDE" w:rsidRDefault="00095506">
            <w:pPr>
              <w:pStyle w:val="P68B1DB1-Normal44"/>
              <w:spacing w:after="0" w:line="240" w:lineRule="auto"/>
              <w:rPr>
                <w:rFonts w:eastAsia="Times New Roman" w:cs="Times New Roman"/>
                <w:noProof/>
                <w:color w:val="000000"/>
                <w:szCs w:val="18"/>
              </w:rPr>
            </w:pPr>
            <w:r>
              <w:rPr>
                <w:noProof/>
              </w:rPr>
              <w:t>Acordarea autorizațiilor de construcție</w:t>
            </w:r>
          </w:p>
        </w:tc>
        <w:tc>
          <w:tcPr>
            <w:tcW w:w="1067" w:type="dxa"/>
            <w:shd w:val="clear" w:color="auto" w:fill="C6EFCE"/>
            <w:noWrap/>
          </w:tcPr>
          <w:p w14:paraId="1216C473" w14:textId="77777777" w:rsidR="00A60DDE" w:rsidRDefault="00A60DDE">
            <w:pPr>
              <w:spacing w:after="0" w:line="240" w:lineRule="auto"/>
              <w:jc w:val="center"/>
              <w:rPr>
                <w:rFonts w:ascii="Times New Roman" w:eastAsia="Times New Roman" w:hAnsi="Times New Roman" w:cs="Times New Roman"/>
                <w:noProof/>
                <w:color w:val="000000"/>
                <w:sz w:val="18"/>
                <w:szCs w:val="18"/>
              </w:rPr>
            </w:pPr>
          </w:p>
        </w:tc>
        <w:tc>
          <w:tcPr>
            <w:tcW w:w="936" w:type="dxa"/>
            <w:shd w:val="clear" w:color="auto" w:fill="C6EFCE"/>
            <w:noWrap/>
          </w:tcPr>
          <w:p w14:paraId="1216C474" w14:textId="77777777" w:rsidR="00A60DDE" w:rsidRDefault="00A60DDE">
            <w:pPr>
              <w:spacing w:after="0" w:line="240" w:lineRule="auto"/>
              <w:jc w:val="center"/>
              <w:rPr>
                <w:rFonts w:ascii="Times New Roman" w:eastAsia="Times New Roman" w:hAnsi="Times New Roman" w:cs="Times New Roman"/>
                <w:noProof/>
                <w:color w:val="000000"/>
                <w:sz w:val="18"/>
                <w:szCs w:val="18"/>
              </w:rPr>
            </w:pPr>
          </w:p>
        </w:tc>
        <w:tc>
          <w:tcPr>
            <w:tcW w:w="673" w:type="dxa"/>
            <w:shd w:val="clear" w:color="auto" w:fill="C6EFCE"/>
            <w:noWrap/>
          </w:tcPr>
          <w:p w14:paraId="1216C475" w14:textId="77777777" w:rsidR="00A60DDE" w:rsidRDefault="00A60DDE">
            <w:pPr>
              <w:spacing w:after="0" w:line="240" w:lineRule="auto"/>
              <w:jc w:val="center"/>
              <w:rPr>
                <w:rFonts w:ascii="Times New Roman" w:eastAsia="Times New Roman" w:hAnsi="Times New Roman" w:cs="Times New Roman"/>
                <w:noProof/>
                <w:color w:val="000000"/>
                <w:sz w:val="18"/>
                <w:szCs w:val="18"/>
              </w:rPr>
            </w:pPr>
          </w:p>
        </w:tc>
        <w:tc>
          <w:tcPr>
            <w:tcW w:w="871" w:type="dxa"/>
            <w:shd w:val="clear" w:color="auto" w:fill="C6EFCE"/>
            <w:noWrap/>
          </w:tcPr>
          <w:p w14:paraId="1216C476" w14:textId="77777777" w:rsidR="00A60DDE" w:rsidRDefault="00095506">
            <w:pPr>
              <w:pStyle w:val="P68B1DB1-Normal44"/>
              <w:spacing w:after="0" w:line="240" w:lineRule="auto"/>
              <w:jc w:val="center"/>
              <w:rPr>
                <w:rFonts w:eastAsia="Times New Roman" w:cs="Times New Roman"/>
                <w:noProof/>
                <w:color w:val="000000"/>
                <w:szCs w:val="18"/>
              </w:rPr>
            </w:pPr>
            <w:r>
              <w:rPr>
                <w:noProof/>
              </w:rPr>
              <w:t>T2</w:t>
            </w:r>
          </w:p>
        </w:tc>
        <w:tc>
          <w:tcPr>
            <w:tcW w:w="877" w:type="dxa"/>
            <w:shd w:val="clear" w:color="auto" w:fill="C6EFCE"/>
            <w:noWrap/>
          </w:tcPr>
          <w:p w14:paraId="1216C477" w14:textId="77777777" w:rsidR="00A60DDE" w:rsidRDefault="00095506">
            <w:pPr>
              <w:pStyle w:val="P68B1DB1-Normal44"/>
              <w:spacing w:after="0" w:line="240" w:lineRule="auto"/>
              <w:jc w:val="center"/>
              <w:rPr>
                <w:rFonts w:eastAsia="Times New Roman" w:cs="Times New Roman"/>
                <w:noProof/>
                <w:color w:val="000000"/>
                <w:szCs w:val="18"/>
              </w:rPr>
            </w:pPr>
            <w:r>
              <w:rPr>
                <w:noProof/>
              </w:rPr>
              <w:t>2024</w:t>
            </w:r>
          </w:p>
        </w:tc>
        <w:tc>
          <w:tcPr>
            <w:tcW w:w="4105" w:type="dxa"/>
            <w:shd w:val="clear" w:color="auto" w:fill="C6EFCE"/>
            <w:noWrap/>
          </w:tcPr>
          <w:p w14:paraId="1216C478" w14:textId="77777777" w:rsidR="00A60DDE" w:rsidRDefault="00095506">
            <w:pPr>
              <w:pStyle w:val="P68B1DB1-Normal44"/>
              <w:spacing w:after="0" w:line="240" w:lineRule="auto"/>
              <w:rPr>
                <w:rFonts w:eastAsia="Times New Roman" w:cs="Times New Roman"/>
                <w:noProof/>
                <w:color w:val="000000"/>
                <w:szCs w:val="18"/>
              </w:rPr>
            </w:pPr>
            <w:r>
              <w:rPr>
                <w:noProof/>
              </w:rPr>
              <w:t>Autorizațiile de construcție pentru gazoductul Gdańsk și Gustorzyn trebuie să fi fost acordate.</w:t>
            </w:r>
          </w:p>
        </w:tc>
      </w:tr>
      <w:tr w:rsidR="00A60DDE" w14:paraId="1216C485" w14:textId="77777777">
        <w:trPr>
          <w:trHeight w:val="309"/>
          <w:jc w:val="center"/>
        </w:trPr>
        <w:tc>
          <w:tcPr>
            <w:tcW w:w="803" w:type="dxa"/>
            <w:shd w:val="clear" w:color="auto" w:fill="C6EFCE"/>
            <w:noWrap/>
          </w:tcPr>
          <w:p w14:paraId="1216C47A" w14:textId="77777777" w:rsidR="00A60DDE" w:rsidRDefault="00095506">
            <w:pPr>
              <w:pStyle w:val="P68B1DB1-Normal89"/>
              <w:spacing w:after="0" w:line="240" w:lineRule="auto"/>
              <w:jc w:val="center"/>
              <w:rPr>
                <w:rFonts w:eastAsia="Times New Roman" w:cs="Times New Roman"/>
                <w:noProof/>
                <w:szCs w:val="18"/>
              </w:rPr>
            </w:pPr>
            <w:r>
              <w:rPr>
                <w:noProof/>
                <w:color w:val="000000"/>
              </w:rPr>
              <w:t>G21L</w:t>
            </w:r>
            <w:r>
              <w:rPr>
                <w:noProof/>
                <w:color w:val="0078D4"/>
              </w:rPr>
              <w:t xml:space="preserve"> </w:t>
            </w:r>
          </w:p>
        </w:tc>
        <w:tc>
          <w:tcPr>
            <w:tcW w:w="1461" w:type="dxa"/>
            <w:shd w:val="clear" w:color="auto" w:fill="C6EFCE"/>
            <w:noWrap/>
          </w:tcPr>
          <w:p w14:paraId="1216C47B" w14:textId="77777777" w:rsidR="00A60DDE" w:rsidRDefault="00095506">
            <w:pPr>
              <w:pStyle w:val="P68B1DB1-Normal89"/>
              <w:spacing w:after="0" w:line="240" w:lineRule="auto"/>
              <w:rPr>
                <w:rFonts w:eastAsia="Times New Roman" w:cs="Times New Roman"/>
                <w:noProof/>
                <w:szCs w:val="18"/>
              </w:rPr>
            </w:pPr>
            <w:r>
              <w:rPr>
                <w:noProof/>
                <w:color w:val="000000"/>
              </w:rPr>
              <w:t> G3.2.1 Construirea infrastructurii de gaze naturale pentru a asigura securitatea energetică</w:t>
            </w:r>
            <w:r>
              <w:rPr>
                <w:noProof/>
                <w:color w:val="0078D4"/>
              </w:rPr>
              <w:t xml:space="preserve"> </w:t>
            </w:r>
          </w:p>
        </w:tc>
        <w:tc>
          <w:tcPr>
            <w:tcW w:w="1068" w:type="dxa"/>
            <w:shd w:val="clear" w:color="auto" w:fill="C6EFCE"/>
            <w:noWrap/>
          </w:tcPr>
          <w:p w14:paraId="1216C47C" w14:textId="77777777" w:rsidR="00A60DDE" w:rsidRDefault="00095506">
            <w:pPr>
              <w:pStyle w:val="P68B1DB1-Normal44"/>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7D" w14:textId="77777777" w:rsidR="00A60DDE" w:rsidRDefault="00095506">
            <w:pPr>
              <w:pStyle w:val="P68B1DB1-Normal89"/>
              <w:spacing w:after="0" w:line="240" w:lineRule="auto"/>
              <w:rPr>
                <w:rFonts w:eastAsia="Times New Roman" w:cs="Times New Roman"/>
                <w:noProof/>
                <w:szCs w:val="18"/>
              </w:rPr>
            </w:pPr>
            <w:r>
              <w:rPr>
                <w:noProof/>
                <w:color w:val="000000"/>
              </w:rPr>
              <w:t xml:space="preserve">Selectarea contractantului </w:t>
            </w:r>
            <w:r>
              <w:rPr>
                <w:noProof/>
                <w:szCs w:val="18"/>
              </w:rPr>
              <w:t>(contractanților)</w:t>
            </w:r>
          </w:p>
        </w:tc>
        <w:tc>
          <w:tcPr>
            <w:tcW w:w="1591" w:type="dxa"/>
            <w:shd w:val="clear" w:color="auto" w:fill="C6EFCE"/>
            <w:noWrap/>
          </w:tcPr>
          <w:p w14:paraId="1216C47E" w14:textId="77777777" w:rsidR="00A60DDE" w:rsidRDefault="00095506">
            <w:pPr>
              <w:pStyle w:val="P68B1DB1-Normal45"/>
              <w:spacing w:after="0" w:line="240" w:lineRule="auto"/>
              <w:rPr>
                <w:rFonts w:eastAsia="Times New Roman" w:cs="Times New Roman"/>
                <w:noProof/>
              </w:rPr>
            </w:pPr>
            <w:r>
              <w:rPr>
                <w:noProof/>
                <w:color w:val="000000"/>
              </w:rPr>
              <w:t xml:space="preserve">Notificarea atribuirii contractului (contractelor) </w:t>
            </w:r>
          </w:p>
        </w:tc>
        <w:tc>
          <w:tcPr>
            <w:tcW w:w="1067" w:type="dxa"/>
            <w:shd w:val="clear" w:color="auto" w:fill="C6EFCE"/>
            <w:noWrap/>
          </w:tcPr>
          <w:p w14:paraId="1216C47F"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80"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481"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482" w14:textId="77777777" w:rsidR="00A60DDE" w:rsidRDefault="00095506">
            <w:pPr>
              <w:pStyle w:val="P68B1DB1-Normal44"/>
              <w:spacing w:after="0" w:line="240" w:lineRule="auto"/>
              <w:jc w:val="center"/>
              <w:rPr>
                <w:rFonts w:eastAsia="Times New Roman" w:cs="Times New Roman"/>
                <w:noProof/>
                <w:szCs w:val="18"/>
              </w:rPr>
            </w:pPr>
            <w:r>
              <w:rPr>
                <w:noProof/>
              </w:rPr>
              <w:t>Q1</w:t>
            </w:r>
          </w:p>
        </w:tc>
        <w:tc>
          <w:tcPr>
            <w:tcW w:w="877" w:type="dxa"/>
            <w:shd w:val="clear" w:color="auto" w:fill="C6EFCE"/>
            <w:noWrap/>
          </w:tcPr>
          <w:p w14:paraId="1216C483" w14:textId="77777777" w:rsidR="00A60DDE" w:rsidRDefault="00095506">
            <w:pPr>
              <w:pStyle w:val="P68B1DB1-Normal44"/>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484" w14:textId="40701EC3" w:rsidR="00A60DDE" w:rsidRDefault="00095506">
            <w:pPr>
              <w:pStyle w:val="P68B1DB1-Normal26"/>
              <w:spacing w:after="0" w:line="240" w:lineRule="auto"/>
              <w:rPr>
                <w:rFonts w:eastAsia="Times New Roman" w:cs="Times New Roman"/>
                <w:noProof/>
              </w:rPr>
            </w:pPr>
            <w:r>
              <w:rPr>
                <w:noProof/>
              </w:rPr>
              <w:t>Notificarea atribuirii contractului (contractelor) pentru lucrările de construcție a gazoductului Gdańsk-Gustorzyn.</w:t>
            </w:r>
          </w:p>
        </w:tc>
      </w:tr>
      <w:tr w:rsidR="00A60DDE" w14:paraId="1216C491" w14:textId="77777777">
        <w:trPr>
          <w:trHeight w:val="309"/>
          <w:jc w:val="center"/>
        </w:trPr>
        <w:tc>
          <w:tcPr>
            <w:tcW w:w="803" w:type="dxa"/>
            <w:shd w:val="clear" w:color="auto" w:fill="C6EFCE"/>
            <w:noWrap/>
          </w:tcPr>
          <w:p w14:paraId="1216C486" w14:textId="77777777" w:rsidR="00A60DDE" w:rsidRDefault="00095506">
            <w:pPr>
              <w:pStyle w:val="P68B1DB1-Normal45"/>
              <w:spacing w:after="0" w:line="240" w:lineRule="auto"/>
              <w:jc w:val="center"/>
              <w:rPr>
                <w:rFonts w:eastAsia="Times New Roman" w:cs="Times New Roman"/>
                <w:noProof/>
              </w:rPr>
            </w:pPr>
            <w:r>
              <w:rPr>
                <w:noProof/>
                <w:color w:val="000000"/>
              </w:rPr>
              <w:t>G23L</w:t>
            </w:r>
            <w:r>
              <w:rPr>
                <w:noProof/>
                <w:color w:val="0078D4"/>
              </w:rPr>
              <w:t xml:space="preserve"> </w:t>
            </w:r>
          </w:p>
        </w:tc>
        <w:tc>
          <w:tcPr>
            <w:tcW w:w="1461" w:type="dxa"/>
            <w:shd w:val="clear" w:color="auto" w:fill="C6EFCE"/>
            <w:noWrap/>
          </w:tcPr>
          <w:p w14:paraId="1216C487" w14:textId="77777777" w:rsidR="00A60DDE" w:rsidRDefault="00095506">
            <w:pPr>
              <w:pStyle w:val="P68B1DB1-Normal89"/>
              <w:spacing w:after="0" w:line="240" w:lineRule="auto"/>
              <w:rPr>
                <w:rFonts w:eastAsia="Times New Roman" w:cs="Times New Roman"/>
                <w:noProof/>
                <w:szCs w:val="18"/>
              </w:rPr>
            </w:pPr>
            <w:r>
              <w:rPr>
                <w:noProof/>
                <w:color w:val="000000"/>
              </w:rPr>
              <w:t> G3.2.1 Construirea infrastructurii de gaze naturale pentru a asigura securitatea energetică</w:t>
            </w:r>
            <w:r>
              <w:rPr>
                <w:noProof/>
                <w:color w:val="0078D4"/>
              </w:rPr>
              <w:t xml:space="preserve"> </w:t>
            </w:r>
          </w:p>
        </w:tc>
        <w:tc>
          <w:tcPr>
            <w:tcW w:w="1068" w:type="dxa"/>
            <w:shd w:val="clear" w:color="auto" w:fill="C6EFCE"/>
            <w:noWrap/>
          </w:tcPr>
          <w:p w14:paraId="1216C488" w14:textId="77777777" w:rsidR="00A60DDE" w:rsidRDefault="00095506">
            <w:pPr>
              <w:pStyle w:val="P68B1DB1-Normal89"/>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89" w14:textId="77777777" w:rsidR="00A60DDE" w:rsidRDefault="00095506">
            <w:pPr>
              <w:pStyle w:val="P68B1DB1-Normal89"/>
              <w:spacing w:after="0" w:line="240" w:lineRule="auto"/>
              <w:rPr>
                <w:rFonts w:eastAsia="Times New Roman" w:cs="Times New Roman"/>
                <w:noProof/>
                <w:szCs w:val="18"/>
              </w:rPr>
            </w:pPr>
            <w:r>
              <w:rPr>
                <w:noProof/>
              </w:rPr>
              <w:t>Construcția conductei de gaz</w:t>
            </w:r>
          </w:p>
        </w:tc>
        <w:tc>
          <w:tcPr>
            <w:tcW w:w="1591" w:type="dxa"/>
            <w:shd w:val="clear" w:color="auto" w:fill="C6EFCE"/>
            <w:noWrap/>
          </w:tcPr>
          <w:p w14:paraId="1216C48A" w14:textId="77777777" w:rsidR="00A60DDE" w:rsidRDefault="00095506">
            <w:pPr>
              <w:pStyle w:val="P68B1DB1-Normal89"/>
              <w:spacing w:after="0" w:line="240" w:lineRule="auto"/>
              <w:rPr>
                <w:rFonts w:eastAsia="Times New Roman" w:cs="Times New Roman"/>
                <w:noProof/>
                <w:szCs w:val="18"/>
              </w:rPr>
            </w:pPr>
            <w:r>
              <w:rPr>
                <w:noProof/>
              </w:rPr>
              <w:t>Acceptarea tehnică a gazoductului</w:t>
            </w:r>
          </w:p>
        </w:tc>
        <w:tc>
          <w:tcPr>
            <w:tcW w:w="1067" w:type="dxa"/>
            <w:shd w:val="clear" w:color="auto" w:fill="C6EFCE"/>
            <w:noWrap/>
          </w:tcPr>
          <w:p w14:paraId="1216C48B"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8C"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48D" w14:textId="77777777" w:rsidR="00A60DDE" w:rsidRDefault="00A60DDE">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48E" w14:textId="77777777" w:rsidR="00A60DDE" w:rsidRDefault="00095506">
            <w:pPr>
              <w:pStyle w:val="P68B1DB1-Normal89"/>
              <w:spacing w:after="0" w:line="240" w:lineRule="auto"/>
              <w:jc w:val="center"/>
              <w:rPr>
                <w:rFonts w:eastAsia="Times New Roman" w:cs="Times New Roman"/>
                <w:noProof/>
                <w:szCs w:val="18"/>
              </w:rPr>
            </w:pPr>
            <w:r>
              <w:rPr>
                <w:noProof/>
              </w:rPr>
              <w:t>T3</w:t>
            </w:r>
          </w:p>
        </w:tc>
        <w:tc>
          <w:tcPr>
            <w:tcW w:w="877" w:type="dxa"/>
            <w:shd w:val="clear" w:color="auto" w:fill="C6EFCE"/>
            <w:noWrap/>
          </w:tcPr>
          <w:p w14:paraId="1216C48F" w14:textId="77777777" w:rsidR="00A60DDE" w:rsidRDefault="00095506">
            <w:pPr>
              <w:pStyle w:val="P68B1DB1-Normal89"/>
              <w:spacing w:after="0" w:line="240" w:lineRule="auto"/>
              <w:jc w:val="center"/>
              <w:rPr>
                <w:rFonts w:eastAsia="Times New Roman" w:cs="Times New Roman"/>
                <w:noProof/>
                <w:szCs w:val="18"/>
              </w:rPr>
            </w:pPr>
            <w:r>
              <w:rPr>
                <w:noProof/>
              </w:rPr>
              <w:t>2026</w:t>
            </w:r>
          </w:p>
        </w:tc>
        <w:tc>
          <w:tcPr>
            <w:tcW w:w="4105" w:type="dxa"/>
            <w:shd w:val="clear" w:color="auto" w:fill="C6EFCE"/>
            <w:noWrap/>
          </w:tcPr>
          <w:p w14:paraId="1216C490" w14:textId="71D44A5F" w:rsidR="00A60DDE" w:rsidRDefault="00095506">
            <w:pPr>
              <w:pStyle w:val="P68B1DB1-Normal44"/>
              <w:spacing w:after="0" w:line="240" w:lineRule="auto"/>
              <w:rPr>
                <w:rFonts w:eastAsia="Times New Roman" w:cs="Times New Roman"/>
                <w:noProof/>
                <w:szCs w:val="18"/>
              </w:rPr>
            </w:pPr>
            <w:r>
              <w:rPr>
                <w:noProof/>
              </w:rPr>
              <w:t>Conducta de gaze Gdańsk și Gustorzyn se construiește până la 31 august 2026.</w:t>
            </w:r>
          </w:p>
        </w:tc>
      </w:tr>
      <w:tr w:rsidR="00A60DDE" w14:paraId="1216C49D" w14:textId="77777777">
        <w:trPr>
          <w:trHeight w:val="309"/>
          <w:jc w:val="center"/>
        </w:trPr>
        <w:tc>
          <w:tcPr>
            <w:tcW w:w="803" w:type="dxa"/>
            <w:shd w:val="clear" w:color="auto" w:fill="C6EFCE"/>
            <w:noWrap/>
          </w:tcPr>
          <w:p w14:paraId="1216C492" w14:textId="77777777" w:rsidR="00A60DDE" w:rsidRDefault="00095506">
            <w:pPr>
              <w:pStyle w:val="P68B1DB1-Normal26"/>
              <w:spacing w:line="240" w:lineRule="auto"/>
              <w:jc w:val="center"/>
              <w:rPr>
                <w:noProof/>
                <w:color w:val="000000"/>
              </w:rPr>
            </w:pPr>
            <w:r>
              <w:rPr>
                <w:noProof/>
              </w:rPr>
              <w:t>G24L</w:t>
            </w:r>
          </w:p>
        </w:tc>
        <w:tc>
          <w:tcPr>
            <w:tcW w:w="1461" w:type="dxa"/>
            <w:shd w:val="clear" w:color="auto" w:fill="C6EFCE"/>
            <w:noWrap/>
          </w:tcPr>
          <w:p w14:paraId="1216C493" w14:textId="77777777" w:rsidR="00A60DDE" w:rsidRDefault="00095506">
            <w:pPr>
              <w:pStyle w:val="P68B1DB1-Normal26"/>
              <w:spacing w:line="240" w:lineRule="auto"/>
              <w:rPr>
                <w:noProof/>
                <w:color w:val="000000"/>
              </w:rPr>
            </w:pPr>
            <w:r>
              <w:rPr>
                <w:noProof/>
              </w:rPr>
              <w:t>G3.3.1 Sisteme de stocare a energiei (sprijin rambursabil)</w:t>
            </w:r>
          </w:p>
        </w:tc>
        <w:tc>
          <w:tcPr>
            <w:tcW w:w="1068" w:type="dxa"/>
            <w:shd w:val="clear" w:color="auto" w:fill="C6EFCE"/>
            <w:noWrap/>
          </w:tcPr>
          <w:p w14:paraId="1216C494" w14:textId="77777777" w:rsidR="00A60DDE" w:rsidRDefault="00095506">
            <w:pPr>
              <w:pStyle w:val="P68B1DB1-Normal45"/>
              <w:spacing w:line="240" w:lineRule="auto"/>
              <w:jc w:val="center"/>
              <w:rPr>
                <w:noProof/>
              </w:rPr>
            </w:pPr>
            <w:r>
              <w:rPr>
                <w:noProof/>
              </w:rPr>
              <w:t>Etapa de referință</w:t>
            </w:r>
          </w:p>
        </w:tc>
        <w:tc>
          <w:tcPr>
            <w:tcW w:w="1857" w:type="dxa"/>
            <w:shd w:val="clear" w:color="auto" w:fill="C6EFCE"/>
            <w:noWrap/>
          </w:tcPr>
          <w:p w14:paraId="1216C495" w14:textId="77777777" w:rsidR="00A60DDE" w:rsidRDefault="00095506">
            <w:pPr>
              <w:pStyle w:val="P68B1DB1-Normal45"/>
              <w:spacing w:line="240" w:lineRule="auto"/>
              <w:rPr>
                <w:noProof/>
              </w:rPr>
            </w:pPr>
            <w:r>
              <w:rPr>
                <w:noProof/>
              </w:rPr>
              <w:t>Modernizarea instalațiilor de acumulare prin pompare existente</w:t>
            </w:r>
          </w:p>
        </w:tc>
        <w:tc>
          <w:tcPr>
            <w:tcW w:w="1591" w:type="dxa"/>
            <w:shd w:val="clear" w:color="auto" w:fill="C6EFCE"/>
            <w:noWrap/>
          </w:tcPr>
          <w:p w14:paraId="1216C496" w14:textId="77777777" w:rsidR="00A60DDE" w:rsidRDefault="00095506">
            <w:pPr>
              <w:pStyle w:val="P68B1DB1-Normal45"/>
              <w:spacing w:line="240" w:lineRule="auto"/>
              <w:rPr>
                <w:noProof/>
              </w:rPr>
            </w:pPr>
            <w:r>
              <w:rPr>
                <w:noProof/>
              </w:rPr>
              <w:t xml:space="preserve">Acceptare tehnică pentru modernizarea instalației de acumulare prin pompare existente </w:t>
            </w:r>
          </w:p>
        </w:tc>
        <w:tc>
          <w:tcPr>
            <w:tcW w:w="1067" w:type="dxa"/>
            <w:shd w:val="clear" w:color="auto" w:fill="C6EFCE"/>
            <w:noWrap/>
          </w:tcPr>
          <w:p w14:paraId="1216C497" w14:textId="77777777" w:rsidR="00A60DDE" w:rsidRDefault="00A60DDE">
            <w:pPr>
              <w:spacing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98" w14:textId="77777777" w:rsidR="00A60DDE" w:rsidRDefault="00A60DDE">
            <w:pPr>
              <w:spacing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499" w14:textId="77777777" w:rsidR="00A60DDE" w:rsidRDefault="00A60DDE">
            <w:pPr>
              <w:spacing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49A" w14:textId="77777777" w:rsidR="00A60DDE" w:rsidRDefault="00095506">
            <w:pPr>
              <w:pStyle w:val="P68B1DB1-Normal45"/>
              <w:spacing w:line="240" w:lineRule="auto"/>
              <w:jc w:val="center"/>
              <w:rPr>
                <w:noProof/>
              </w:rPr>
            </w:pPr>
            <w:r>
              <w:rPr>
                <w:noProof/>
              </w:rPr>
              <w:t>T4</w:t>
            </w:r>
          </w:p>
        </w:tc>
        <w:tc>
          <w:tcPr>
            <w:tcW w:w="877" w:type="dxa"/>
            <w:shd w:val="clear" w:color="auto" w:fill="C6EFCE"/>
            <w:noWrap/>
          </w:tcPr>
          <w:p w14:paraId="1216C49B" w14:textId="77777777" w:rsidR="00A60DDE" w:rsidRDefault="00095506">
            <w:pPr>
              <w:pStyle w:val="P68B1DB1-Normal45"/>
              <w:spacing w:line="240" w:lineRule="auto"/>
              <w:jc w:val="center"/>
              <w:rPr>
                <w:noProof/>
              </w:rPr>
            </w:pPr>
            <w:r>
              <w:rPr>
                <w:noProof/>
              </w:rPr>
              <w:t>2025</w:t>
            </w:r>
          </w:p>
        </w:tc>
        <w:tc>
          <w:tcPr>
            <w:tcW w:w="4105" w:type="dxa"/>
            <w:shd w:val="clear" w:color="auto" w:fill="C6EFCE"/>
            <w:noWrap/>
          </w:tcPr>
          <w:p w14:paraId="1216C49C" w14:textId="78361652" w:rsidR="00A60DDE" w:rsidRDefault="00095506">
            <w:pPr>
              <w:pStyle w:val="P68B1DB1-Normal26"/>
              <w:spacing w:line="240" w:lineRule="auto"/>
              <w:rPr>
                <w:noProof/>
                <w:color w:val="000000"/>
              </w:rPr>
            </w:pPr>
            <w:r>
              <w:rPr>
                <w:noProof/>
              </w:rPr>
              <w:t>Protocol tehnic de recepție pentru modernizarea rezervorului superior, a aporturilor de apă superioare și inferioare și a tunelurilor derivate.</w:t>
            </w:r>
          </w:p>
        </w:tc>
      </w:tr>
    </w:tbl>
    <w:p w14:paraId="1216C49E" w14:textId="77777777" w:rsidR="00A60DDE" w:rsidRDefault="00A60DDE">
      <w:pPr>
        <w:spacing w:line="240" w:lineRule="auto"/>
        <w:textAlignment w:val="baseline"/>
        <w:rPr>
          <w:rFonts w:ascii="Times New Roman" w:eastAsia="Times New Roman" w:hAnsi="Times New Roman" w:cs="Times New Roman"/>
          <w:b/>
          <w:bCs/>
          <w:noProof/>
        </w:rPr>
      </w:pPr>
    </w:p>
    <w:p w14:paraId="1216C49F" w14:textId="77777777" w:rsidR="00A60DDE" w:rsidRDefault="00A60DDE">
      <w:pPr>
        <w:spacing w:line="240" w:lineRule="auto"/>
        <w:textAlignment w:val="baseline"/>
        <w:rPr>
          <w:rFonts w:ascii="Times New Roman" w:eastAsia="Times New Roman" w:hAnsi="Times New Roman" w:cs="Times New Roman"/>
          <w:b/>
          <w:bCs/>
          <w:noProof/>
        </w:rPr>
        <w:sectPr w:rsidR="00A60DDE" w:rsidSect="006C5441">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299"/>
        </w:sectPr>
      </w:pPr>
    </w:p>
    <w:p w14:paraId="1216C4A0" w14:textId="77777777" w:rsidR="00A60DDE" w:rsidRDefault="00095506">
      <w:pPr>
        <w:pStyle w:val="P68B1DB1-Normal13"/>
        <w:spacing w:line="240" w:lineRule="auto"/>
        <w:ind w:left="840" w:hanging="840"/>
        <w:jc w:val="both"/>
        <w:rPr>
          <w:noProof/>
        </w:rPr>
      </w:pPr>
      <w:r>
        <w:rPr>
          <w:noProof/>
        </w:rPr>
        <w:t>2. Costul total estimat al planului de redresare și reziliență</w:t>
      </w:r>
    </w:p>
    <w:p w14:paraId="1216C4A1" w14:textId="55843EA6" w:rsidR="00A60DDE" w:rsidRDefault="00095506">
      <w:pPr>
        <w:pStyle w:val="P68B1DB1-Normal15"/>
        <w:spacing w:line="240" w:lineRule="auto"/>
        <w:jc w:val="both"/>
        <w:rPr>
          <w:noProof/>
        </w:rPr>
      </w:pPr>
      <w:r>
        <w:rPr>
          <w:noProof/>
        </w:rPr>
        <w:t>Costul total estimat al planului de redresare și reziliență al Poloniei, inclusiv al capitolului privind REPowerEU, este de 54 718 157 234 EUR. Costul total estimat al capitolului privind REPowerEU este de 20 676 219 512 EUR. În special, costul total estimat al măsurilor menționate la articolul 21c alineatul (3) litera (a) din Regulamentul (UE) 2023/435 este de 515 162 159 EUR, în timp ce costul celorlalte măsuri din capitolul privind REPowerEU este de 20 161 057 353 EUR.</w:t>
      </w:r>
    </w:p>
    <w:p w14:paraId="1216C4A2" w14:textId="77777777" w:rsidR="00A60DDE" w:rsidRDefault="00095506">
      <w:pPr>
        <w:pStyle w:val="P68B1DB1-Normal100"/>
        <w:spacing w:line="240" w:lineRule="auto"/>
        <w:textAlignment w:val="baseline"/>
        <w:rPr>
          <w:rFonts w:ascii="Segoe UI" w:hAnsi="Segoe UI" w:cs="Segoe UI"/>
          <w:noProof/>
          <w:sz w:val="18"/>
          <w:szCs w:val="18"/>
        </w:rPr>
      </w:pPr>
      <w:r>
        <w:rPr>
          <w:noProof/>
        </w:rPr>
        <w:t>SECȚIUNEA 2: Sprijin financiar</w:t>
      </w:r>
    </w:p>
    <w:p w14:paraId="1216C4A3" w14:textId="77777777" w:rsidR="00A60DDE" w:rsidRDefault="00095506">
      <w:pPr>
        <w:pStyle w:val="P68B1DB1-Normal13"/>
        <w:spacing w:line="240" w:lineRule="auto"/>
        <w:ind w:left="420"/>
        <w:jc w:val="both"/>
        <w:textAlignment w:val="baseline"/>
        <w:rPr>
          <w:rFonts w:ascii="Segoe UI" w:hAnsi="Segoe UI" w:cs="Segoe UI"/>
          <w:noProof/>
          <w:sz w:val="18"/>
          <w:szCs w:val="18"/>
        </w:rPr>
      </w:pPr>
      <w:r>
        <w:rPr>
          <w:noProof/>
        </w:rPr>
        <w:t>Contribuția financiară</w:t>
      </w:r>
    </w:p>
    <w:p w14:paraId="1216C4A4" w14:textId="77777777" w:rsidR="00A60DDE" w:rsidRDefault="00095506">
      <w:pPr>
        <w:pStyle w:val="P68B1DB1-Normal15"/>
        <w:spacing w:line="240" w:lineRule="auto"/>
        <w:ind w:left="840" w:hanging="840"/>
        <w:jc w:val="both"/>
        <w:textAlignment w:val="baseline"/>
        <w:rPr>
          <w:rFonts w:ascii="Segoe UI" w:hAnsi="Segoe UI" w:cs="Segoe UI"/>
          <w:noProof/>
          <w:sz w:val="18"/>
          <w:szCs w:val="18"/>
        </w:rPr>
      </w:pPr>
      <w:r>
        <w:rPr>
          <w:noProof/>
        </w:rPr>
        <w:t>Tranșele menționate la articolul 2 alineatul (2) se organizează după cum urmează:</w:t>
      </w:r>
    </w:p>
    <w:p w14:paraId="1216C4A5" w14:textId="77777777" w:rsidR="00A60DDE" w:rsidRDefault="00095506">
      <w:pPr>
        <w:pStyle w:val="P68B1DB1-Normal87"/>
        <w:spacing w:line="240" w:lineRule="auto"/>
        <w:ind w:left="-15"/>
        <w:textAlignment w:val="baseline"/>
        <w:rPr>
          <w:rFonts w:ascii="Segoe UI" w:hAnsi="Segoe UI" w:cs="Segoe UI"/>
          <w:noProof/>
          <w:sz w:val="18"/>
          <w:szCs w:val="18"/>
        </w:rPr>
      </w:pPr>
      <w:r>
        <w:rPr>
          <w:noProof/>
        </w:rPr>
        <w:t>2.1.1 Prima tranșă (sprijin nerambursabil):</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4"/>
        <w:gridCol w:w="3351"/>
        <w:gridCol w:w="1276"/>
        <w:gridCol w:w="4110"/>
      </w:tblGrid>
      <w:tr w:rsidR="00A60DDE" w14:paraId="1216C4AA" w14:textId="77777777">
        <w:trPr>
          <w:trHeight w:val="300"/>
          <w:tblHeader/>
          <w:jc w:val="center"/>
        </w:trPr>
        <w:tc>
          <w:tcPr>
            <w:tcW w:w="1464" w:type="dxa"/>
            <w:shd w:val="clear" w:color="auto" w:fill="BDD6EE"/>
            <w:vAlign w:val="center"/>
            <w:hideMark/>
          </w:tcPr>
          <w:p w14:paraId="1216C4A6" w14:textId="77777777" w:rsidR="00A60DDE" w:rsidRDefault="00095506">
            <w:pPr>
              <w:pStyle w:val="P68B1DB1-Normal100"/>
              <w:spacing w:line="240" w:lineRule="auto"/>
              <w:jc w:val="center"/>
              <w:textAlignment w:val="baseline"/>
              <w:rPr>
                <w:noProof/>
              </w:rPr>
            </w:pPr>
            <w:r>
              <w:rPr>
                <w:noProof/>
              </w:rPr>
              <w:t>Număr secvențial</w:t>
            </w:r>
          </w:p>
        </w:tc>
        <w:tc>
          <w:tcPr>
            <w:tcW w:w="3351" w:type="dxa"/>
            <w:shd w:val="clear" w:color="auto" w:fill="BDD6EE"/>
            <w:vAlign w:val="center"/>
            <w:hideMark/>
          </w:tcPr>
          <w:p w14:paraId="158B4200" w14:textId="77777777" w:rsidR="00A60DDE" w:rsidRDefault="00095506">
            <w:pPr>
              <w:pStyle w:val="P68B1DB1-Normal100"/>
              <w:spacing w:after="0" w:line="240" w:lineRule="auto"/>
              <w:ind w:left="45"/>
              <w:jc w:val="center"/>
              <w:textAlignment w:val="baseline"/>
              <w:rPr>
                <w:bCs/>
                <w:noProof/>
              </w:rPr>
            </w:pPr>
            <w:r>
              <w:rPr>
                <w:noProof/>
              </w:rPr>
              <w:t>Măsură conexă</w:t>
            </w:r>
          </w:p>
          <w:p w14:paraId="1216C4A7" w14:textId="1A6FB0ED" w:rsidR="00A60DDE" w:rsidRDefault="00095506">
            <w:pPr>
              <w:pStyle w:val="P68B1DB1-Normal100"/>
              <w:spacing w:after="0" w:line="240" w:lineRule="auto"/>
              <w:ind w:left="45"/>
              <w:jc w:val="center"/>
              <w:textAlignment w:val="baseline"/>
              <w:rPr>
                <w:noProof/>
              </w:rPr>
            </w:pPr>
            <w:r>
              <w:rPr>
                <w:noProof/>
              </w:rPr>
              <w:t>(Reformă sau investiție)</w:t>
            </w:r>
          </w:p>
        </w:tc>
        <w:tc>
          <w:tcPr>
            <w:tcW w:w="1276" w:type="dxa"/>
            <w:shd w:val="clear" w:color="auto" w:fill="BDD6EE"/>
            <w:vAlign w:val="center"/>
            <w:hideMark/>
          </w:tcPr>
          <w:p w14:paraId="1216C4A8" w14:textId="77777777" w:rsidR="00A60DDE" w:rsidRDefault="00095506">
            <w:pPr>
              <w:pStyle w:val="P68B1DB1-Normal100"/>
              <w:spacing w:line="240" w:lineRule="auto"/>
              <w:jc w:val="center"/>
              <w:textAlignment w:val="baseline"/>
              <w:rPr>
                <w:noProof/>
              </w:rPr>
            </w:pPr>
            <w:r>
              <w:rPr>
                <w:noProof/>
              </w:rPr>
              <w:t>Etapa/ținta</w:t>
            </w:r>
          </w:p>
        </w:tc>
        <w:tc>
          <w:tcPr>
            <w:tcW w:w="4110" w:type="dxa"/>
            <w:shd w:val="clear" w:color="auto" w:fill="BDD6EE"/>
            <w:vAlign w:val="center"/>
            <w:hideMark/>
          </w:tcPr>
          <w:p w14:paraId="1216C4A9" w14:textId="77777777" w:rsidR="00A60DDE" w:rsidRDefault="00095506">
            <w:pPr>
              <w:pStyle w:val="P68B1DB1-Normal100"/>
              <w:spacing w:line="240" w:lineRule="auto"/>
              <w:ind w:right="45"/>
              <w:jc w:val="center"/>
              <w:textAlignment w:val="baseline"/>
              <w:rPr>
                <w:noProof/>
              </w:rPr>
            </w:pPr>
            <w:r>
              <w:rPr>
                <w:noProof/>
              </w:rPr>
              <w:t>Denumire</w:t>
            </w:r>
          </w:p>
        </w:tc>
      </w:tr>
      <w:tr w:rsidR="00A60DDE" w14:paraId="1216C4AF" w14:textId="77777777">
        <w:trPr>
          <w:trHeight w:val="300"/>
          <w:jc w:val="center"/>
        </w:trPr>
        <w:tc>
          <w:tcPr>
            <w:tcW w:w="1464" w:type="dxa"/>
            <w:shd w:val="clear" w:color="auto" w:fill="C6EFCE"/>
            <w:hideMark/>
          </w:tcPr>
          <w:p w14:paraId="1216C4AB" w14:textId="77777777" w:rsidR="00A60DDE" w:rsidRDefault="00095506">
            <w:pPr>
              <w:pStyle w:val="P68B1DB1-Normal87"/>
              <w:spacing w:line="240" w:lineRule="auto"/>
              <w:ind w:right="45"/>
              <w:jc w:val="center"/>
              <w:textAlignment w:val="baseline"/>
              <w:rPr>
                <w:noProof/>
              </w:rPr>
            </w:pPr>
            <w:r>
              <w:rPr>
                <w:noProof/>
              </w:rPr>
              <w:t>A1G</w:t>
            </w:r>
          </w:p>
        </w:tc>
        <w:tc>
          <w:tcPr>
            <w:tcW w:w="3351" w:type="dxa"/>
            <w:shd w:val="clear" w:color="auto" w:fill="C6EFCE"/>
            <w:hideMark/>
          </w:tcPr>
          <w:p w14:paraId="1216C4AC" w14:textId="77777777" w:rsidR="00A60DDE" w:rsidRDefault="00095506">
            <w:pPr>
              <w:pStyle w:val="P68B1DB1-Normal87"/>
              <w:spacing w:line="240" w:lineRule="auto"/>
              <w:textAlignment w:val="baseline"/>
              <w:rPr>
                <w:noProof/>
              </w:rPr>
            </w:pPr>
            <w:r>
              <w:rPr>
                <w:noProof/>
              </w:rPr>
              <w:t>A1.1 Reforma cadrului bugetar</w:t>
            </w:r>
          </w:p>
        </w:tc>
        <w:tc>
          <w:tcPr>
            <w:tcW w:w="1276" w:type="dxa"/>
            <w:shd w:val="clear" w:color="auto" w:fill="C6EFCE"/>
            <w:hideMark/>
          </w:tcPr>
          <w:p w14:paraId="1216C4AD"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AE" w14:textId="77777777" w:rsidR="00A60DDE" w:rsidRDefault="00095506">
            <w:pPr>
              <w:pStyle w:val="P68B1DB1-Normal87"/>
              <w:spacing w:line="240" w:lineRule="auto"/>
              <w:textAlignment w:val="baseline"/>
              <w:rPr>
                <w:noProof/>
              </w:rPr>
            </w:pPr>
            <w:r>
              <w:rPr>
                <w:noProof/>
              </w:rPr>
              <w:t>Elaborarea unei note explicative privind organigrama standardizată a conturilor integrată în clasificarea bugetară</w:t>
            </w:r>
          </w:p>
        </w:tc>
      </w:tr>
      <w:tr w:rsidR="00A60DDE" w14:paraId="1216C4B4" w14:textId="77777777">
        <w:trPr>
          <w:trHeight w:val="300"/>
          <w:jc w:val="center"/>
        </w:trPr>
        <w:tc>
          <w:tcPr>
            <w:tcW w:w="1464" w:type="dxa"/>
            <w:shd w:val="clear" w:color="auto" w:fill="C6EFCE"/>
            <w:hideMark/>
          </w:tcPr>
          <w:p w14:paraId="1216C4B0" w14:textId="77777777" w:rsidR="00A60DDE" w:rsidRDefault="00095506">
            <w:pPr>
              <w:pStyle w:val="P68B1DB1-Normal87"/>
              <w:spacing w:line="240" w:lineRule="auto"/>
              <w:ind w:right="45"/>
              <w:jc w:val="center"/>
              <w:textAlignment w:val="baseline"/>
              <w:rPr>
                <w:noProof/>
              </w:rPr>
            </w:pPr>
            <w:r>
              <w:rPr>
                <w:noProof/>
              </w:rPr>
              <w:t>A3G</w:t>
            </w:r>
          </w:p>
        </w:tc>
        <w:tc>
          <w:tcPr>
            <w:tcW w:w="3351" w:type="dxa"/>
            <w:shd w:val="clear" w:color="auto" w:fill="C6EFCE"/>
            <w:hideMark/>
          </w:tcPr>
          <w:p w14:paraId="1216C4B1" w14:textId="06858A99" w:rsidR="00A60DDE" w:rsidRDefault="00095506">
            <w:pPr>
              <w:pStyle w:val="P68B1DB1-Normal87"/>
              <w:spacing w:line="240" w:lineRule="auto"/>
              <w:textAlignment w:val="baseline"/>
              <w:rPr>
                <w:noProof/>
              </w:rPr>
            </w:pPr>
            <w:r>
              <w:rPr>
                <w:noProof/>
              </w:rPr>
              <w:t>A1.1 Reforma cadrului bugetar</w:t>
            </w:r>
          </w:p>
        </w:tc>
        <w:tc>
          <w:tcPr>
            <w:tcW w:w="1276" w:type="dxa"/>
            <w:shd w:val="clear" w:color="auto" w:fill="C6EFCE"/>
            <w:hideMark/>
          </w:tcPr>
          <w:p w14:paraId="1216C4B2"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B3" w14:textId="4C22BA4A" w:rsidR="00A60DDE" w:rsidRDefault="00095506">
            <w:pPr>
              <w:pStyle w:val="P68B1DB1-Normal87"/>
              <w:spacing w:line="240" w:lineRule="auto"/>
              <w:textAlignment w:val="baseline"/>
              <w:rPr>
                <w:noProof/>
              </w:rPr>
            </w:pPr>
            <w:r>
              <w:rPr>
                <w:noProof/>
              </w:rPr>
              <w:t>Intrarea în vigoare a unei modificări a Legii privind finanțele publice care extinde domeniul de aplicare al regulii privind cheltuielile de stabilizare (SER) pentru a include fondurile de stat cu scop special</w:t>
            </w:r>
          </w:p>
        </w:tc>
      </w:tr>
      <w:tr w:rsidR="00A60DDE" w14:paraId="1216C4B9" w14:textId="77777777">
        <w:trPr>
          <w:trHeight w:val="300"/>
          <w:jc w:val="center"/>
        </w:trPr>
        <w:tc>
          <w:tcPr>
            <w:tcW w:w="1464" w:type="dxa"/>
            <w:shd w:val="clear" w:color="auto" w:fill="C6EFCE"/>
            <w:hideMark/>
          </w:tcPr>
          <w:p w14:paraId="1216C4B5" w14:textId="77777777" w:rsidR="00A60DDE" w:rsidRDefault="00095506">
            <w:pPr>
              <w:pStyle w:val="P68B1DB1-Normal87"/>
              <w:spacing w:line="240" w:lineRule="auto"/>
              <w:ind w:right="45"/>
              <w:jc w:val="center"/>
              <w:textAlignment w:val="baseline"/>
              <w:rPr>
                <w:noProof/>
              </w:rPr>
            </w:pPr>
            <w:r>
              <w:rPr>
                <w:noProof/>
              </w:rPr>
              <w:t>A5G</w:t>
            </w:r>
          </w:p>
        </w:tc>
        <w:tc>
          <w:tcPr>
            <w:tcW w:w="3351" w:type="dxa"/>
            <w:shd w:val="clear" w:color="auto" w:fill="C6EFCE"/>
            <w:hideMark/>
          </w:tcPr>
          <w:p w14:paraId="1216C4B6" w14:textId="3E6A4989" w:rsidR="00A60DDE" w:rsidRDefault="00095506">
            <w:pPr>
              <w:pStyle w:val="P68B1DB1-Normal87"/>
              <w:spacing w:line="240" w:lineRule="auto"/>
              <w:textAlignment w:val="baseline"/>
              <w:rPr>
                <w:noProof/>
              </w:rPr>
            </w:pPr>
            <w:r>
              <w:rPr>
                <w:noProof/>
              </w:rPr>
              <w:t>A1.2 Reducerea în continuare a sarcinii administrative și de reglementare</w:t>
            </w:r>
          </w:p>
        </w:tc>
        <w:tc>
          <w:tcPr>
            <w:tcW w:w="1276" w:type="dxa"/>
            <w:shd w:val="clear" w:color="auto" w:fill="C6EFCE"/>
            <w:hideMark/>
          </w:tcPr>
          <w:p w14:paraId="1216C4B7"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B8" w14:textId="1E690826" w:rsidR="00A60DDE" w:rsidRDefault="00095506">
            <w:pPr>
              <w:pStyle w:val="P68B1DB1-Normal87"/>
              <w:spacing w:line="240" w:lineRule="auto"/>
              <w:textAlignment w:val="baseline"/>
              <w:rPr>
                <w:noProof/>
              </w:rPr>
            </w:pPr>
            <w:r>
              <w:rPr>
                <w:noProof/>
              </w:rPr>
              <w:t>Intrarea în vigoare a unui pachet legislativ menit să reducă sarcina administrativă pentru întreprinderi și cetățeni</w:t>
            </w:r>
          </w:p>
        </w:tc>
      </w:tr>
      <w:tr w:rsidR="00A60DDE" w14:paraId="1216C4BE" w14:textId="77777777">
        <w:trPr>
          <w:trHeight w:val="300"/>
          <w:jc w:val="center"/>
        </w:trPr>
        <w:tc>
          <w:tcPr>
            <w:tcW w:w="1464" w:type="dxa"/>
            <w:shd w:val="clear" w:color="auto" w:fill="C6EFCE"/>
            <w:hideMark/>
          </w:tcPr>
          <w:p w14:paraId="1216C4BA" w14:textId="0E34E30D" w:rsidR="00A60DDE" w:rsidRDefault="00095506">
            <w:pPr>
              <w:pStyle w:val="P68B1DB1-Normal87"/>
              <w:spacing w:line="240" w:lineRule="auto"/>
              <w:ind w:right="45"/>
              <w:jc w:val="center"/>
              <w:textAlignment w:val="baseline"/>
              <w:rPr>
                <w:noProof/>
              </w:rPr>
            </w:pPr>
            <w:r>
              <w:rPr>
                <w:noProof/>
              </w:rPr>
              <w:t xml:space="preserve">A18G </w:t>
            </w:r>
          </w:p>
        </w:tc>
        <w:tc>
          <w:tcPr>
            <w:tcW w:w="3351" w:type="dxa"/>
            <w:shd w:val="clear" w:color="auto" w:fill="C6EFCE"/>
            <w:hideMark/>
          </w:tcPr>
          <w:p w14:paraId="1216C4BB" w14:textId="0E93DB4C" w:rsidR="00A60DDE" w:rsidRDefault="00095506">
            <w:pPr>
              <w:pStyle w:val="P68B1DB1-Normal87"/>
              <w:spacing w:line="240" w:lineRule="auto"/>
              <w:textAlignment w:val="baseline"/>
              <w:rPr>
                <w:noProof/>
              </w:rPr>
            </w:pPr>
            <w:r>
              <w:rPr>
                <w:noProof/>
              </w:rPr>
              <w:t>A1.4 Reforma de sprijinire a competitivității și a protecției producătorilor/consumatorilor din sectorul agricol</w:t>
            </w:r>
          </w:p>
        </w:tc>
        <w:tc>
          <w:tcPr>
            <w:tcW w:w="1276" w:type="dxa"/>
            <w:shd w:val="clear" w:color="auto" w:fill="C6EFCE"/>
            <w:hideMark/>
          </w:tcPr>
          <w:p w14:paraId="1216C4BC"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BD" w14:textId="081153DF" w:rsidR="00A60DDE" w:rsidRDefault="00095506">
            <w:pPr>
              <w:pStyle w:val="P68B1DB1-Normal87"/>
              <w:spacing w:line="240" w:lineRule="auto"/>
              <w:textAlignment w:val="baseline"/>
              <w:rPr>
                <w:noProof/>
              </w:rPr>
            </w:pPr>
            <w:r>
              <w:rPr>
                <w:noProof/>
              </w:rPr>
              <w:t>Intrarea în vigoare a unei noi legi pentru combaterea utilizării neloiale a avantajelor contractuale în sectorul comerțului agricol și alimentar</w:t>
            </w:r>
          </w:p>
        </w:tc>
      </w:tr>
      <w:tr w:rsidR="00A60DDE" w14:paraId="1216C4C3" w14:textId="77777777">
        <w:trPr>
          <w:trHeight w:val="300"/>
          <w:jc w:val="center"/>
        </w:trPr>
        <w:tc>
          <w:tcPr>
            <w:tcW w:w="1464" w:type="dxa"/>
            <w:shd w:val="clear" w:color="auto" w:fill="C6EFCE"/>
            <w:hideMark/>
          </w:tcPr>
          <w:p w14:paraId="1216C4BF" w14:textId="35B99333" w:rsidR="00A60DDE" w:rsidRDefault="00095506">
            <w:pPr>
              <w:pStyle w:val="P68B1DB1-Normal87"/>
              <w:spacing w:line="240" w:lineRule="auto"/>
              <w:ind w:right="45"/>
              <w:jc w:val="center"/>
              <w:textAlignment w:val="baseline"/>
              <w:rPr>
                <w:noProof/>
              </w:rPr>
            </w:pPr>
            <w:r>
              <w:rPr>
                <w:noProof/>
              </w:rPr>
              <w:t xml:space="preserve">A20G </w:t>
            </w:r>
          </w:p>
        </w:tc>
        <w:tc>
          <w:tcPr>
            <w:tcW w:w="3351" w:type="dxa"/>
            <w:shd w:val="clear" w:color="auto" w:fill="C6EFCE"/>
            <w:hideMark/>
          </w:tcPr>
          <w:p w14:paraId="1216C4C0" w14:textId="77777777" w:rsidR="00A60DDE" w:rsidRDefault="00095506">
            <w:pPr>
              <w:pStyle w:val="P68B1DB1-Normal87"/>
              <w:spacing w:line="240" w:lineRule="auto"/>
              <w:textAlignment w:val="baseline"/>
              <w:rPr>
                <w:noProof/>
              </w:rPr>
            </w:pPr>
            <w:r>
              <w:rPr>
                <w:noProof/>
              </w:rPr>
              <w:t>A1.4.1 Modernizarea infrastructurii sau a echipamentelor din sectorul agricol</w:t>
            </w:r>
          </w:p>
        </w:tc>
        <w:tc>
          <w:tcPr>
            <w:tcW w:w="1276" w:type="dxa"/>
            <w:shd w:val="clear" w:color="auto" w:fill="C6EFCE"/>
            <w:hideMark/>
          </w:tcPr>
          <w:p w14:paraId="1216C4C1"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C2" w14:textId="5950B3DF" w:rsidR="00A60DDE" w:rsidRDefault="00095506">
            <w:pPr>
              <w:pStyle w:val="P68B1DB1-Normal87"/>
              <w:spacing w:line="240" w:lineRule="auto"/>
              <w:textAlignment w:val="baseline"/>
              <w:rPr>
                <w:noProof/>
              </w:rPr>
            </w:pPr>
            <w:r>
              <w:rPr>
                <w:noProof/>
              </w:rPr>
              <w:t>Adoptarea criteriilor de selecție a beneficiarilor pentru toate proiectele din cadrul acestei investiții</w:t>
            </w:r>
          </w:p>
        </w:tc>
      </w:tr>
      <w:tr w:rsidR="00A60DDE" w14:paraId="1216C4C8" w14:textId="77777777">
        <w:trPr>
          <w:trHeight w:val="300"/>
          <w:jc w:val="center"/>
        </w:trPr>
        <w:tc>
          <w:tcPr>
            <w:tcW w:w="1464" w:type="dxa"/>
            <w:shd w:val="clear" w:color="auto" w:fill="C6EFCE"/>
            <w:hideMark/>
          </w:tcPr>
          <w:p w14:paraId="1216C4C4" w14:textId="30704526" w:rsidR="00A60DDE" w:rsidRDefault="00095506">
            <w:pPr>
              <w:pStyle w:val="P68B1DB1-Normal87"/>
              <w:spacing w:line="240" w:lineRule="auto"/>
              <w:ind w:right="45"/>
              <w:jc w:val="center"/>
              <w:textAlignment w:val="baseline"/>
              <w:rPr>
                <w:noProof/>
              </w:rPr>
            </w:pPr>
            <w:r>
              <w:rPr>
                <w:noProof/>
              </w:rPr>
              <w:t xml:space="preserve">A27G </w:t>
            </w:r>
          </w:p>
        </w:tc>
        <w:tc>
          <w:tcPr>
            <w:tcW w:w="3351" w:type="dxa"/>
            <w:shd w:val="clear" w:color="auto" w:fill="C6EFCE"/>
            <w:hideMark/>
          </w:tcPr>
          <w:p w14:paraId="1216C4C5" w14:textId="617D4F56" w:rsidR="00A60DDE" w:rsidRDefault="00095506">
            <w:pPr>
              <w:pStyle w:val="P68B1DB1-Normal87"/>
              <w:spacing w:line="240" w:lineRule="auto"/>
              <w:textAlignment w:val="baseline"/>
              <w:rPr>
                <w:noProof/>
              </w:rPr>
            </w:pPr>
            <w:r>
              <w:rPr>
                <w:noProof/>
              </w:rPr>
              <w:t>A2.1 Accelerarea proceselor de robotizare, digitalizare și inovare</w:t>
            </w:r>
          </w:p>
        </w:tc>
        <w:tc>
          <w:tcPr>
            <w:tcW w:w="1276" w:type="dxa"/>
            <w:shd w:val="clear" w:color="auto" w:fill="C6EFCE"/>
            <w:hideMark/>
          </w:tcPr>
          <w:p w14:paraId="1216C4C6"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C7" w14:textId="1BCB4E08" w:rsidR="00A60DDE" w:rsidRDefault="00095506">
            <w:pPr>
              <w:pStyle w:val="P68B1DB1-Normal87"/>
              <w:spacing w:line="240" w:lineRule="auto"/>
              <w:textAlignment w:val="baseline"/>
              <w:rPr>
                <w:noProof/>
              </w:rPr>
            </w:pPr>
            <w:r>
              <w:rPr>
                <w:noProof/>
              </w:rPr>
              <w:t>Intrarea în vigoare a unei noi legi pentru sprijinirea automatizării, a digitalizării și a inovării întreprinderilor prin introducerea unei reduceri fiscale pentru robotizare</w:t>
            </w:r>
          </w:p>
        </w:tc>
      </w:tr>
      <w:tr w:rsidR="00A60DDE" w14:paraId="1216C4CD" w14:textId="77777777">
        <w:trPr>
          <w:trHeight w:val="300"/>
          <w:jc w:val="center"/>
        </w:trPr>
        <w:tc>
          <w:tcPr>
            <w:tcW w:w="1464" w:type="dxa"/>
            <w:shd w:val="clear" w:color="auto" w:fill="C6EFCE"/>
            <w:hideMark/>
          </w:tcPr>
          <w:p w14:paraId="1216C4C9" w14:textId="11E0F27F" w:rsidR="00A60DDE" w:rsidRDefault="00095506">
            <w:pPr>
              <w:pStyle w:val="P68B1DB1-Normal87"/>
              <w:spacing w:line="240" w:lineRule="auto"/>
              <w:ind w:right="45"/>
              <w:jc w:val="center"/>
              <w:textAlignment w:val="baseline"/>
              <w:rPr>
                <w:noProof/>
              </w:rPr>
            </w:pPr>
            <w:r>
              <w:rPr>
                <w:noProof/>
              </w:rPr>
              <w:t xml:space="preserve">A38G </w:t>
            </w:r>
          </w:p>
        </w:tc>
        <w:tc>
          <w:tcPr>
            <w:tcW w:w="3351" w:type="dxa"/>
            <w:shd w:val="clear" w:color="auto" w:fill="C6EFCE"/>
            <w:hideMark/>
          </w:tcPr>
          <w:p w14:paraId="1216C4CA" w14:textId="55874BC6" w:rsidR="00A60DDE" w:rsidRDefault="00095506">
            <w:pPr>
              <w:pStyle w:val="P68B1DB1-Normal87"/>
              <w:spacing w:line="240" w:lineRule="auto"/>
              <w:textAlignment w:val="baseline"/>
              <w:rPr>
                <w:noProof/>
              </w:rPr>
            </w:pPr>
            <w:r>
              <w:rPr>
                <w:noProof/>
              </w:rPr>
              <w:t xml:space="preserve">A2.4 Consolidarea mecanismelor de cooperare între știință și industrie </w:t>
            </w:r>
          </w:p>
        </w:tc>
        <w:tc>
          <w:tcPr>
            <w:tcW w:w="1276" w:type="dxa"/>
            <w:shd w:val="clear" w:color="auto" w:fill="C6EFCE"/>
            <w:hideMark/>
          </w:tcPr>
          <w:p w14:paraId="1216C4CB"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CC" w14:textId="4C09DC2A" w:rsidR="00A60DDE" w:rsidRDefault="00095506">
            <w:pPr>
              <w:pStyle w:val="P68B1DB1-Normal87"/>
              <w:spacing w:line="240" w:lineRule="auto"/>
              <w:ind w:right="15"/>
              <w:textAlignment w:val="baseline"/>
              <w:rPr>
                <w:noProof/>
              </w:rPr>
            </w:pPr>
            <w:r>
              <w:rPr>
                <w:noProof/>
              </w:rPr>
              <w:t xml:space="preserve">Intrarea în vigoare a unui act de modificare a Legii privind învățământul superior și știința în ceea ce privește catalogul entităților care pot crea vehicule investiționale împreună cu universitățile </w:t>
            </w:r>
          </w:p>
        </w:tc>
      </w:tr>
      <w:tr w:rsidR="00A60DDE" w14:paraId="1216C4D2" w14:textId="77777777">
        <w:trPr>
          <w:trHeight w:val="300"/>
          <w:jc w:val="center"/>
        </w:trPr>
        <w:tc>
          <w:tcPr>
            <w:tcW w:w="1464" w:type="dxa"/>
            <w:shd w:val="clear" w:color="auto" w:fill="C6EFCE"/>
            <w:hideMark/>
          </w:tcPr>
          <w:p w14:paraId="1216C4CE" w14:textId="67060541" w:rsidR="00A60DDE" w:rsidRDefault="00095506">
            <w:pPr>
              <w:pStyle w:val="P68B1DB1-Normal87"/>
              <w:spacing w:line="240" w:lineRule="auto"/>
              <w:ind w:right="45"/>
              <w:jc w:val="center"/>
              <w:textAlignment w:val="baseline"/>
              <w:rPr>
                <w:noProof/>
              </w:rPr>
            </w:pPr>
            <w:r>
              <w:rPr>
                <w:noProof/>
              </w:rPr>
              <w:t xml:space="preserve">A39G </w:t>
            </w:r>
          </w:p>
        </w:tc>
        <w:tc>
          <w:tcPr>
            <w:tcW w:w="3351" w:type="dxa"/>
            <w:shd w:val="clear" w:color="auto" w:fill="C6EFCE"/>
            <w:hideMark/>
          </w:tcPr>
          <w:p w14:paraId="1216C4CF" w14:textId="5E69ED54" w:rsidR="00A60DDE" w:rsidRDefault="00095506">
            <w:pPr>
              <w:pStyle w:val="P68B1DB1-Normal87"/>
              <w:spacing w:line="240" w:lineRule="auto"/>
              <w:textAlignment w:val="baseline"/>
              <w:rPr>
                <w:noProof/>
              </w:rPr>
            </w:pPr>
            <w:r>
              <w:rPr>
                <w:noProof/>
              </w:rPr>
              <w:t xml:space="preserve">A2.4 Consolidarea mecanismelor de cooperare între știință și industrie </w:t>
            </w:r>
          </w:p>
        </w:tc>
        <w:tc>
          <w:tcPr>
            <w:tcW w:w="1276" w:type="dxa"/>
            <w:shd w:val="clear" w:color="auto" w:fill="C6EFCE"/>
            <w:hideMark/>
          </w:tcPr>
          <w:p w14:paraId="1216C4D0" w14:textId="7777777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D1" w14:textId="77777777" w:rsidR="00A60DDE" w:rsidRDefault="00095506">
            <w:pPr>
              <w:pStyle w:val="P68B1DB1-Normal87"/>
              <w:spacing w:line="240" w:lineRule="auto"/>
              <w:textAlignment w:val="baseline"/>
              <w:rPr>
                <w:noProof/>
              </w:rPr>
            </w:pPr>
            <w:r>
              <w:rPr>
                <w:noProof/>
              </w:rPr>
              <w:t>Stabilirea normelor de utilizare a laboratoarelor și transferul de cunoștințe al institutelor supravegheate de Ministerul Agriculturii și Dezvoltării Rurale</w:t>
            </w:r>
          </w:p>
        </w:tc>
      </w:tr>
      <w:tr w:rsidR="00A60DDE" w14:paraId="1216C4D7" w14:textId="77777777">
        <w:trPr>
          <w:trHeight w:val="300"/>
          <w:jc w:val="center"/>
        </w:trPr>
        <w:tc>
          <w:tcPr>
            <w:tcW w:w="1464" w:type="dxa"/>
            <w:shd w:val="clear" w:color="auto" w:fill="C6EFCE"/>
            <w:hideMark/>
          </w:tcPr>
          <w:p w14:paraId="1216C4D3" w14:textId="61E2BC51" w:rsidR="00A60DDE" w:rsidRDefault="00095506">
            <w:pPr>
              <w:pStyle w:val="P68B1DB1-Normal87"/>
              <w:spacing w:line="240" w:lineRule="auto"/>
              <w:ind w:right="45"/>
              <w:jc w:val="center"/>
              <w:textAlignment w:val="baseline"/>
              <w:rPr>
                <w:noProof/>
              </w:rPr>
            </w:pPr>
            <w:r>
              <w:rPr>
                <w:noProof/>
              </w:rPr>
              <w:t xml:space="preserve">A59G </w:t>
            </w:r>
          </w:p>
        </w:tc>
        <w:tc>
          <w:tcPr>
            <w:tcW w:w="3351" w:type="dxa"/>
            <w:shd w:val="clear" w:color="auto" w:fill="C6EFCE"/>
            <w:hideMark/>
          </w:tcPr>
          <w:p w14:paraId="1216C4D4" w14:textId="1F598C8E" w:rsidR="00A60DDE" w:rsidRDefault="00095506">
            <w:pPr>
              <w:pStyle w:val="P68B1DB1-Normal87"/>
              <w:spacing w:line="240" w:lineRule="auto"/>
              <w:textAlignment w:val="baseline"/>
              <w:rPr>
                <w:noProof/>
              </w:rPr>
            </w:pPr>
            <w:r>
              <w:rPr>
                <w:noProof/>
              </w:rPr>
              <w:t>A4.2 Reforma menită să îmbunătățească situația părinților pe piața forței de muncă prin creșterea accesului la servicii de îngrijire a copiilor cu vârsta de până la trei ani</w:t>
            </w:r>
          </w:p>
        </w:tc>
        <w:tc>
          <w:tcPr>
            <w:tcW w:w="1276" w:type="dxa"/>
            <w:shd w:val="clear" w:color="auto" w:fill="C6EFCE"/>
            <w:hideMark/>
          </w:tcPr>
          <w:p w14:paraId="1216C4D5" w14:textId="5D30B81F" w:rsidR="00A60DDE" w:rsidRDefault="00095506">
            <w:pPr>
              <w:pStyle w:val="P68B1DB1-Normal87"/>
              <w:spacing w:line="240" w:lineRule="auto"/>
              <w:ind w:left="60"/>
              <w:textAlignment w:val="baseline"/>
              <w:rPr>
                <w:noProof/>
              </w:rPr>
            </w:pPr>
            <w:r>
              <w:rPr>
                <w:noProof/>
              </w:rPr>
              <w:t xml:space="preserve">Etapa de referință </w:t>
            </w:r>
          </w:p>
        </w:tc>
        <w:tc>
          <w:tcPr>
            <w:tcW w:w="4110" w:type="dxa"/>
            <w:shd w:val="clear" w:color="auto" w:fill="C6EFCE"/>
            <w:hideMark/>
          </w:tcPr>
          <w:p w14:paraId="1216C4D6" w14:textId="4971F628" w:rsidR="00A60DDE" w:rsidRDefault="00095506">
            <w:pPr>
              <w:pStyle w:val="P68B1DB1-Normal87"/>
              <w:spacing w:line="240" w:lineRule="auto"/>
              <w:textAlignment w:val="baseline"/>
              <w:rPr>
                <w:noProof/>
              </w:rPr>
            </w:pPr>
            <w:r>
              <w:rPr>
                <w:noProof/>
              </w:rPr>
              <w:t>Intrarea în vigoare a unui act de modificare a Legii privind îngrijirea copiilor cu vârsta de până la trei ani, care vizează modificarea organizării sistemului de finanțare a îngrijirii copiilor cu vârsta de până la trei ani, în vederea punerii în aplicare a unui sistem unic și coerent de gestionare a finanțării pentru crearea și funcționarea serviciilor de îngrijire a copiilor cu vârsta de până la trei ani</w:t>
            </w:r>
          </w:p>
        </w:tc>
      </w:tr>
      <w:tr w:rsidR="00A60DDE" w14:paraId="1216C4DC" w14:textId="77777777">
        <w:trPr>
          <w:trHeight w:val="300"/>
          <w:jc w:val="center"/>
        </w:trPr>
        <w:tc>
          <w:tcPr>
            <w:tcW w:w="1464" w:type="dxa"/>
            <w:shd w:val="clear" w:color="auto" w:fill="C6EFCE"/>
            <w:hideMark/>
          </w:tcPr>
          <w:p w14:paraId="1216C4D8" w14:textId="77BBBDDF" w:rsidR="00A60DDE" w:rsidRDefault="00095506">
            <w:pPr>
              <w:pStyle w:val="P68B1DB1-Normal87"/>
              <w:spacing w:line="240" w:lineRule="auto"/>
              <w:ind w:right="45"/>
              <w:jc w:val="center"/>
              <w:textAlignment w:val="baseline"/>
              <w:rPr>
                <w:noProof/>
              </w:rPr>
            </w:pPr>
            <w:r>
              <w:rPr>
                <w:noProof/>
              </w:rPr>
              <w:t xml:space="preserve">A60G </w:t>
            </w:r>
          </w:p>
        </w:tc>
        <w:tc>
          <w:tcPr>
            <w:tcW w:w="3351" w:type="dxa"/>
            <w:shd w:val="clear" w:color="auto" w:fill="C6EFCE"/>
            <w:hideMark/>
          </w:tcPr>
          <w:p w14:paraId="1216C4D9" w14:textId="1512E111" w:rsidR="00A60DDE" w:rsidRDefault="00095506">
            <w:pPr>
              <w:pStyle w:val="P68B1DB1-Normal85"/>
              <w:spacing w:line="240" w:lineRule="auto"/>
              <w:textAlignment w:val="baseline"/>
              <w:rPr>
                <w:rFonts w:eastAsia="Times New Roman" w:cs="Times New Roman"/>
                <w:noProof/>
              </w:rPr>
            </w:pPr>
            <w:r>
              <w:rPr>
                <w:noProof/>
              </w:rPr>
              <w:t>A4.2.1 Sprijin pentru structurile de îngrijire a copiilor cu vârsta de până la trei ani în cadrul categoriei „Copil mic activ” (fostul Maluch+)</w:t>
            </w:r>
          </w:p>
        </w:tc>
        <w:tc>
          <w:tcPr>
            <w:tcW w:w="1276" w:type="dxa"/>
            <w:shd w:val="clear" w:color="auto" w:fill="C6EFCE"/>
            <w:hideMark/>
          </w:tcPr>
          <w:p w14:paraId="1216C4DA" w14:textId="1050F310"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DB" w14:textId="33FD3CD1" w:rsidR="00A60DDE" w:rsidRDefault="00095506">
            <w:pPr>
              <w:pStyle w:val="P68B1DB1-Normal87"/>
              <w:spacing w:line="240" w:lineRule="auto"/>
              <w:textAlignment w:val="baseline"/>
              <w:rPr>
                <w:noProof/>
              </w:rPr>
            </w:pPr>
            <w:r>
              <w:rPr>
                <w:noProof/>
              </w:rPr>
              <w:t>Crearea unui sistem informatic de gestionare a finanțării și a creării de structuri de îngrijire a copiilor cu vârsta de până la trei ani, care să combine diferite surse de finanțare a îngrijirii copiilor</w:t>
            </w:r>
          </w:p>
        </w:tc>
      </w:tr>
      <w:tr w:rsidR="00A60DDE" w14:paraId="1216C4E1" w14:textId="77777777">
        <w:trPr>
          <w:trHeight w:val="300"/>
          <w:jc w:val="center"/>
        </w:trPr>
        <w:tc>
          <w:tcPr>
            <w:tcW w:w="1464" w:type="dxa"/>
            <w:shd w:val="clear" w:color="auto" w:fill="C6EFCE"/>
            <w:hideMark/>
          </w:tcPr>
          <w:p w14:paraId="1216C4DD" w14:textId="6723B043" w:rsidR="00A60DDE" w:rsidRDefault="00095506">
            <w:pPr>
              <w:pStyle w:val="P68B1DB1-Normal87"/>
              <w:spacing w:line="240" w:lineRule="auto"/>
              <w:ind w:right="45"/>
              <w:jc w:val="center"/>
              <w:textAlignment w:val="baseline"/>
              <w:rPr>
                <w:noProof/>
              </w:rPr>
            </w:pPr>
            <w:r>
              <w:rPr>
                <w:noProof/>
              </w:rPr>
              <w:t xml:space="preserve">A62G </w:t>
            </w:r>
          </w:p>
        </w:tc>
        <w:tc>
          <w:tcPr>
            <w:tcW w:w="3351" w:type="dxa"/>
            <w:shd w:val="clear" w:color="auto" w:fill="C6EFCE"/>
            <w:hideMark/>
          </w:tcPr>
          <w:p w14:paraId="1216C4DE" w14:textId="5D6650C8" w:rsidR="00A60DDE" w:rsidRDefault="00095506">
            <w:pPr>
              <w:pStyle w:val="P68B1DB1-Normal87"/>
              <w:spacing w:line="240" w:lineRule="auto"/>
              <w:textAlignment w:val="baseline"/>
              <w:rPr>
                <w:noProof/>
              </w:rPr>
            </w:pPr>
            <w:r>
              <w:rPr>
                <w:noProof/>
              </w:rPr>
              <w:t>A4.3 Punerea în aplicare a cadrului juridic pentru entitățile din economia socială</w:t>
            </w:r>
          </w:p>
        </w:tc>
        <w:tc>
          <w:tcPr>
            <w:tcW w:w="1276" w:type="dxa"/>
            <w:shd w:val="clear" w:color="auto" w:fill="C6EFCE"/>
            <w:hideMark/>
          </w:tcPr>
          <w:p w14:paraId="1216C4DF" w14:textId="0C8974E6"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E0" w14:textId="20FBC558" w:rsidR="00A60DDE" w:rsidRDefault="00095506">
            <w:pPr>
              <w:pStyle w:val="P68B1DB1-Normal87"/>
              <w:spacing w:line="240" w:lineRule="auto"/>
              <w:textAlignment w:val="baseline"/>
              <w:rPr>
                <w:noProof/>
              </w:rPr>
            </w:pPr>
            <w:r>
              <w:rPr>
                <w:noProof/>
              </w:rPr>
              <w:t xml:space="preserve">Intrarea în vigoare a unui act privind economia socială </w:t>
            </w:r>
          </w:p>
        </w:tc>
      </w:tr>
      <w:tr w:rsidR="00A60DDE" w14:paraId="1216C4E6" w14:textId="77777777">
        <w:trPr>
          <w:trHeight w:val="300"/>
          <w:jc w:val="center"/>
        </w:trPr>
        <w:tc>
          <w:tcPr>
            <w:tcW w:w="1464" w:type="dxa"/>
            <w:shd w:val="clear" w:color="auto" w:fill="C6EFCE"/>
            <w:hideMark/>
          </w:tcPr>
          <w:p w14:paraId="1216C4E2" w14:textId="0D27E1A6" w:rsidR="00A60DDE" w:rsidRDefault="00095506">
            <w:pPr>
              <w:pStyle w:val="P68B1DB1-Normal87"/>
              <w:spacing w:line="240" w:lineRule="auto"/>
              <w:ind w:right="45"/>
              <w:jc w:val="center"/>
              <w:textAlignment w:val="baseline"/>
              <w:rPr>
                <w:noProof/>
              </w:rPr>
            </w:pPr>
            <w:r>
              <w:rPr>
                <w:noProof/>
              </w:rPr>
              <w:t xml:space="preserve">B1G </w:t>
            </w:r>
          </w:p>
        </w:tc>
        <w:tc>
          <w:tcPr>
            <w:tcW w:w="3351" w:type="dxa"/>
            <w:shd w:val="clear" w:color="auto" w:fill="C6EFCE"/>
            <w:hideMark/>
          </w:tcPr>
          <w:p w14:paraId="1216C4E3" w14:textId="5F410B96" w:rsidR="00A60DDE" w:rsidRDefault="00095506">
            <w:pPr>
              <w:pStyle w:val="P68B1DB1-Normal87"/>
              <w:spacing w:line="240" w:lineRule="auto"/>
              <w:textAlignment w:val="baseline"/>
              <w:rPr>
                <w:noProof/>
              </w:rPr>
            </w:pPr>
            <w:r>
              <w:rPr>
                <w:noProof/>
              </w:rPr>
              <w:t>B1.1 Aer curat și eficiență energetică</w:t>
            </w:r>
          </w:p>
        </w:tc>
        <w:tc>
          <w:tcPr>
            <w:tcW w:w="1276" w:type="dxa"/>
            <w:shd w:val="clear" w:color="auto" w:fill="C6EFCE"/>
            <w:hideMark/>
          </w:tcPr>
          <w:p w14:paraId="1216C4E4" w14:textId="105644FE"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E5" w14:textId="667746FE" w:rsidR="00A60DDE" w:rsidRDefault="00095506">
            <w:pPr>
              <w:pStyle w:val="P68B1DB1-Normal87"/>
              <w:spacing w:line="240" w:lineRule="auto"/>
              <w:textAlignment w:val="baseline"/>
              <w:rPr>
                <w:noProof/>
              </w:rPr>
            </w:pPr>
            <w:r>
              <w:rPr>
                <w:noProof/>
              </w:rPr>
              <w:t>Intrarea în vigoare a unui act de modificare a Legii privind eficiența energetică și a actelor legislative conexe</w:t>
            </w:r>
          </w:p>
        </w:tc>
      </w:tr>
      <w:tr w:rsidR="00A60DDE" w14:paraId="1216C4EB" w14:textId="77777777">
        <w:trPr>
          <w:trHeight w:val="300"/>
          <w:jc w:val="center"/>
        </w:trPr>
        <w:tc>
          <w:tcPr>
            <w:tcW w:w="1464" w:type="dxa"/>
            <w:shd w:val="clear" w:color="auto" w:fill="C6EFCE"/>
            <w:hideMark/>
          </w:tcPr>
          <w:p w14:paraId="1216C4E7" w14:textId="0633DBF9" w:rsidR="00A60DDE" w:rsidRDefault="00095506">
            <w:pPr>
              <w:pStyle w:val="P68B1DB1-Normal87"/>
              <w:spacing w:line="240" w:lineRule="auto"/>
              <w:ind w:right="45"/>
              <w:jc w:val="center"/>
              <w:textAlignment w:val="baseline"/>
              <w:rPr>
                <w:noProof/>
              </w:rPr>
            </w:pPr>
            <w:r>
              <w:rPr>
                <w:noProof/>
              </w:rPr>
              <w:t xml:space="preserve">B3G </w:t>
            </w:r>
          </w:p>
        </w:tc>
        <w:tc>
          <w:tcPr>
            <w:tcW w:w="3351" w:type="dxa"/>
            <w:shd w:val="clear" w:color="auto" w:fill="C6EFCE"/>
            <w:hideMark/>
          </w:tcPr>
          <w:p w14:paraId="1216C4E8" w14:textId="73FD3A76" w:rsidR="00A60DDE" w:rsidRDefault="00095506">
            <w:pPr>
              <w:pStyle w:val="P68B1DB1-Normal87"/>
              <w:spacing w:line="240" w:lineRule="auto"/>
              <w:textAlignment w:val="baseline"/>
              <w:rPr>
                <w:noProof/>
              </w:rPr>
            </w:pPr>
            <w:r>
              <w:rPr>
                <w:noProof/>
              </w:rPr>
              <w:t xml:space="preserve">B1.1 Aer curat și eficiență energetică </w:t>
            </w:r>
          </w:p>
        </w:tc>
        <w:tc>
          <w:tcPr>
            <w:tcW w:w="1276" w:type="dxa"/>
            <w:shd w:val="clear" w:color="auto" w:fill="C6EFCE"/>
            <w:hideMark/>
          </w:tcPr>
          <w:p w14:paraId="1216C4E9" w14:textId="58A188E8"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EA" w14:textId="1CEDB64C" w:rsidR="00A60DDE" w:rsidRDefault="00095506">
            <w:pPr>
              <w:pStyle w:val="P68B1DB1-Normal87"/>
              <w:spacing w:line="240" w:lineRule="auto"/>
              <w:textAlignment w:val="baseline"/>
              <w:rPr>
                <w:noProof/>
              </w:rPr>
            </w:pPr>
            <w:r>
              <w:rPr>
                <w:noProof/>
              </w:rPr>
              <w:t>Actualizarea Programului Național de Protecție Aeriană</w:t>
            </w:r>
          </w:p>
        </w:tc>
      </w:tr>
      <w:tr w:rsidR="00A60DDE" w14:paraId="1216C4F0" w14:textId="77777777">
        <w:trPr>
          <w:trHeight w:val="300"/>
          <w:jc w:val="center"/>
        </w:trPr>
        <w:tc>
          <w:tcPr>
            <w:tcW w:w="1464" w:type="dxa"/>
            <w:shd w:val="clear" w:color="auto" w:fill="C6EFCE"/>
            <w:hideMark/>
          </w:tcPr>
          <w:p w14:paraId="1216C4EC" w14:textId="6929DFAF" w:rsidR="00A60DDE" w:rsidRDefault="00095506">
            <w:pPr>
              <w:pStyle w:val="P68B1DB1-Normal87"/>
              <w:spacing w:line="240" w:lineRule="auto"/>
              <w:ind w:right="45"/>
              <w:jc w:val="center"/>
              <w:textAlignment w:val="baseline"/>
              <w:rPr>
                <w:noProof/>
              </w:rPr>
            </w:pPr>
            <w:r>
              <w:rPr>
                <w:noProof/>
              </w:rPr>
              <w:t xml:space="preserve">B16G </w:t>
            </w:r>
          </w:p>
        </w:tc>
        <w:tc>
          <w:tcPr>
            <w:tcW w:w="3351" w:type="dxa"/>
            <w:shd w:val="clear" w:color="auto" w:fill="C6EFCE"/>
            <w:hideMark/>
          </w:tcPr>
          <w:p w14:paraId="1216C4ED" w14:textId="3935F9F3" w:rsidR="00A60DDE" w:rsidRDefault="00095506">
            <w:pPr>
              <w:pStyle w:val="P68B1DB1-Normal87"/>
              <w:spacing w:line="240" w:lineRule="auto"/>
              <w:textAlignment w:val="baseline"/>
              <w:rPr>
                <w:noProof/>
              </w:rPr>
            </w:pPr>
            <w:r>
              <w:rPr>
                <w:noProof/>
              </w:rPr>
              <w:t>B2.1 Îmbunătățirea condițiilor pentru dezvoltarea tehnologiilor pe bază de hidrogen și a altor gaze decarbonizate</w:t>
            </w:r>
          </w:p>
        </w:tc>
        <w:tc>
          <w:tcPr>
            <w:tcW w:w="1276" w:type="dxa"/>
            <w:shd w:val="clear" w:color="auto" w:fill="C6EFCE"/>
            <w:hideMark/>
          </w:tcPr>
          <w:p w14:paraId="1216C4EE" w14:textId="480E14CE"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EF" w14:textId="157AA3E1" w:rsidR="00A60DDE" w:rsidRDefault="00095506">
            <w:pPr>
              <w:pStyle w:val="P68B1DB1-Normal87"/>
              <w:spacing w:line="240" w:lineRule="auto"/>
              <w:textAlignment w:val="baseline"/>
              <w:rPr>
                <w:noProof/>
              </w:rPr>
            </w:pPr>
            <w:r>
              <w:rPr>
                <w:noProof/>
              </w:rPr>
              <w:t>Intrarea în vigoare a actelor de modificare a actelor legislative privind hidrogenul drept combustibil alternativ pentru transport</w:t>
            </w:r>
          </w:p>
        </w:tc>
      </w:tr>
      <w:tr w:rsidR="00A60DDE" w14:paraId="1216C4F5" w14:textId="77777777">
        <w:trPr>
          <w:trHeight w:val="300"/>
          <w:jc w:val="center"/>
        </w:trPr>
        <w:tc>
          <w:tcPr>
            <w:tcW w:w="1464" w:type="dxa"/>
            <w:shd w:val="clear" w:color="auto" w:fill="C6EFCE"/>
            <w:hideMark/>
          </w:tcPr>
          <w:p w14:paraId="1216C4F1" w14:textId="3FF15F84" w:rsidR="00A60DDE" w:rsidRDefault="00095506">
            <w:pPr>
              <w:pStyle w:val="P68B1DB1-Normal87"/>
              <w:spacing w:line="240" w:lineRule="auto"/>
              <w:ind w:right="45"/>
              <w:jc w:val="center"/>
              <w:textAlignment w:val="baseline"/>
              <w:rPr>
                <w:noProof/>
              </w:rPr>
            </w:pPr>
            <w:r>
              <w:rPr>
                <w:noProof/>
              </w:rPr>
              <w:t xml:space="preserve">B39G </w:t>
            </w:r>
          </w:p>
        </w:tc>
        <w:tc>
          <w:tcPr>
            <w:tcW w:w="3351" w:type="dxa"/>
            <w:shd w:val="clear" w:color="auto" w:fill="C6EFCE"/>
            <w:hideMark/>
          </w:tcPr>
          <w:p w14:paraId="1216C4F2" w14:textId="66C2AB54" w:rsidR="00A60DDE" w:rsidRDefault="00095506">
            <w:pPr>
              <w:pStyle w:val="P68B1DB1-Normal87"/>
              <w:spacing w:line="240" w:lineRule="auto"/>
              <w:textAlignment w:val="baseline"/>
              <w:rPr>
                <w:noProof/>
              </w:rPr>
            </w:pPr>
            <w:r>
              <w:rPr>
                <w:noProof/>
              </w:rPr>
              <w:t>B3.1 Sprijinirea gestionării durabile a apei și a apelor uzate în zonele rurale</w:t>
            </w:r>
          </w:p>
        </w:tc>
        <w:tc>
          <w:tcPr>
            <w:tcW w:w="1276" w:type="dxa"/>
            <w:shd w:val="clear" w:color="auto" w:fill="C6EFCE"/>
            <w:hideMark/>
          </w:tcPr>
          <w:p w14:paraId="1216C4F3" w14:textId="55339D5E"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F4" w14:textId="3828EF8C" w:rsidR="00A60DDE" w:rsidRDefault="00095506">
            <w:pPr>
              <w:pStyle w:val="P68B1DB1-Normal87"/>
              <w:spacing w:line="240" w:lineRule="auto"/>
              <w:textAlignment w:val="baseline"/>
              <w:rPr>
                <w:noProof/>
              </w:rPr>
            </w:pPr>
            <w:r>
              <w:rPr>
                <w:noProof/>
              </w:rPr>
              <w:t>Elaborarea de norme pentru teritorializarea sprijinului pentru investițiile în alimentarea cu apă sau canalizare Planul de redresare și reziliență în zonele rurale</w:t>
            </w:r>
          </w:p>
        </w:tc>
      </w:tr>
      <w:tr w:rsidR="00A60DDE" w14:paraId="1216C4FA" w14:textId="77777777">
        <w:trPr>
          <w:trHeight w:val="300"/>
          <w:jc w:val="center"/>
        </w:trPr>
        <w:tc>
          <w:tcPr>
            <w:tcW w:w="1464" w:type="dxa"/>
            <w:shd w:val="clear" w:color="auto" w:fill="C6EFCE"/>
            <w:hideMark/>
          </w:tcPr>
          <w:p w14:paraId="1216C4F6" w14:textId="384029BE" w:rsidR="00A60DDE" w:rsidRDefault="00095506">
            <w:pPr>
              <w:pStyle w:val="P68B1DB1-Normal87"/>
              <w:spacing w:line="240" w:lineRule="auto"/>
              <w:ind w:right="45"/>
              <w:jc w:val="center"/>
              <w:textAlignment w:val="baseline"/>
              <w:rPr>
                <w:noProof/>
              </w:rPr>
            </w:pPr>
            <w:r>
              <w:rPr>
                <w:noProof/>
              </w:rPr>
              <w:t xml:space="preserve">B40G </w:t>
            </w:r>
          </w:p>
        </w:tc>
        <w:tc>
          <w:tcPr>
            <w:tcW w:w="3351" w:type="dxa"/>
            <w:shd w:val="clear" w:color="auto" w:fill="C6EFCE"/>
            <w:hideMark/>
          </w:tcPr>
          <w:p w14:paraId="1216C4F7" w14:textId="555B557D" w:rsidR="00A60DDE" w:rsidRDefault="00095506">
            <w:pPr>
              <w:pStyle w:val="P68B1DB1-Normal87"/>
              <w:spacing w:line="240" w:lineRule="auto"/>
              <w:ind w:right="45"/>
              <w:textAlignment w:val="baseline"/>
              <w:rPr>
                <w:noProof/>
              </w:rPr>
            </w:pPr>
            <w:r>
              <w:rPr>
                <w:noProof/>
              </w:rPr>
              <w:t>B3.1 Sprijinirea gestionării durabile a apei și a apelor uzate în zonele rurale</w:t>
            </w:r>
          </w:p>
        </w:tc>
        <w:tc>
          <w:tcPr>
            <w:tcW w:w="1276" w:type="dxa"/>
            <w:shd w:val="clear" w:color="auto" w:fill="C6EFCE"/>
            <w:hideMark/>
          </w:tcPr>
          <w:p w14:paraId="1216C4F8" w14:textId="33A9F845"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F9" w14:textId="08EB5FC2" w:rsidR="00A60DDE" w:rsidRDefault="00095506">
            <w:pPr>
              <w:pStyle w:val="P68B1DB1-Normal87"/>
              <w:spacing w:line="240" w:lineRule="auto"/>
              <w:textAlignment w:val="baseline"/>
              <w:rPr>
                <w:noProof/>
              </w:rPr>
            </w:pPr>
            <w:r>
              <w:rPr>
                <w:noProof/>
              </w:rPr>
              <w:t>Intrarea în vigoare a unui act juridic care stabilește obligația de a efectua monitorizarea și controlul periodic al sistemelor individuale adecvate</w:t>
            </w:r>
          </w:p>
        </w:tc>
      </w:tr>
      <w:tr w:rsidR="00A60DDE" w14:paraId="1216C4FF" w14:textId="77777777">
        <w:trPr>
          <w:trHeight w:val="300"/>
          <w:jc w:val="center"/>
        </w:trPr>
        <w:tc>
          <w:tcPr>
            <w:tcW w:w="1464" w:type="dxa"/>
            <w:shd w:val="clear" w:color="auto" w:fill="C6EFCE"/>
            <w:hideMark/>
          </w:tcPr>
          <w:p w14:paraId="1216C4FB" w14:textId="76AB54EA" w:rsidR="00A60DDE" w:rsidRDefault="00095506">
            <w:pPr>
              <w:pStyle w:val="P68B1DB1-Normal87"/>
              <w:spacing w:line="240" w:lineRule="auto"/>
              <w:ind w:right="45"/>
              <w:jc w:val="center"/>
              <w:textAlignment w:val="baseline"/>
              <w:rPr>
                <w:noProof/>
              </w:rPr>
            </w:pPr>
            <w:r>
              <w:rPr>
                <w:noProof/>
              </w:rPr>
              <w:t xml:space="preserve">C1G </w:t>
            </w:r>
          </w:p>
        </w:tc>
        <w:tc>
          <w:tcPr>
            <w:tcW w:w="3351" w:type="dxa"/>
            <w:shd w:val="clear" w:color="auto" w:fill="C6EFCE"/>
            <w:hideMark/>
          </w:tcPr>
          <w:p w14:paraId="1216C4FC" w14:textId="2BEB90DA" w:rsidR="00A60DDE" w:rsidRDefault="00095506">
            <w:pPr>
              <w:pStyle w:val="P68B1DB1-Normal87"/>
              <w:spacing w:line="240" w:lineRule="auto"/>
              <w:textAlignment w:val="baseline"/>
              <w:rPr>
                <w:noProof/>
              </w:rPr>
            </w:pPr>
            <w:r>
              <w:rPr>
                <w:noProof/>
              </w:rPr>
              <w:t>C1.1 Facilitarea dezvoltării infrastructurii de rețea pentru a asigura accesul universal la internetul de mare viteză</w:t>
            </w:r>
          </w:p>
        </w:tc>
        <w:tc>
          <w:tcPr>
            <w:tcW w:w="1276" w:type="dxa"/>
            <w:shd w:val="clear" w:color="auto" w:fill="C6EFCE"/>
            <w:hideMark/>
          </w:tcPr>
          <w:p w14:paraId="1216C4FD" w14:textId="2CD99EB3"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4FE" w14:textId="48C55504" w:rsidR="00A60DDE" w:rsidRDefault="00095506">
            <w:pPr>
              <w:pStyle w:val="P68B1DB1-Normal87"/>
              <w:spacing w:line="240" w:lineRule="auto"/>
              <w:textAlignment w:val="baseline"/>
              <w:rPr>
                <w:noProof/>
              </w:rPr>
            </w:pPr>
            <w:r>
              <w:rPr>
                <w:noProof/>
              </w:rPr>
              <w:t>Cadrul pregătit de Cancelaria Prim-ministrului pentru cofinanțarea proiectelor de bandă largă în zonele albe de acces de generație următoare (NGA), în care nu există în prezent nicio rețea NGA</w:t>
            </w:r>
          </w:p>
        </w:tc>
      </w:tr>
      <w:tr w:rsidR="00A60DDE" w14:paraId="1216C504" w14:textId="77777777">
        <w:trPr>
          <w:trHeight w:val="300"/>
          <w:jc w:val="center"/>
        </w:trPr>
        <w:tc>
          <w:tcPr>
            <w:tcW w:w="1464" w:type="dxa"/>
            <w:shd w:val="clear" w:color="auto" w:fill="C6EFCE"/>
            <w:hideMark/>
          </w:tcPr>
          <w:p w14:paraId="1216C500" w14:textId="502C3208" w:rsidR="00A60DDE" w:rsidRDefault="00095506">
            <w:pPr>
              <w:pStyle w:val="P68B1DB1-Normal87"/>
              <w:spacing w:line="240" w:lineRule="auto"/>
              <w:ind w:right="45"/>
              <w:jc w:val="center"/>
              <w:textAlignment w:val="baseline"/>
              <w:rPr>
                <w:noProof/>
              </w:rPr>
            </w:pPr>
            <w:r>
              <w:rPr>
                <w:noProof/>
              </w:rPr>
              <w:t xml:space="preserve">D23G </w:t>
            </w:r>
          </w:p>
        </w:tc>
        <w:tc>
          <w:tcPr>
            <w:tcW w:w="3351" w:type="dxa"/>
            <w:shd w:val="clear" w:color="auto" w:fill="C6EFCE"/>
            <w:hideMark/>
          </w:tcPr>
          <w:p w14:paraId="1216C501" w14:textId="0720B904" w:rsidR="00A60DDE" w:rsidRDefault="00095506">
            <w:pPr>
              <w:pStyle w:val="P68B1DB1-Normal87"/>
              <w:spacing w:line="240" w:lineRule="auto"/>
              <w:textAlignment w:val="baseline"/>
              <w:rPr>
                <w:noProof/>
              </w:rPr>
            </w:pPr>
            <w:r>
              <w:rPr>
                <w:noProof/>
              </w:rPr>
              <w:t>D2.1 Crearea condițiilor adecvate pentru creșterea numărului de personal medical</w:t>
            </w:r>
          </w:p>
        </w:tc>
        <w:tc>
          <w:tcPr>
            <w:tcW w:w="1276" w:type="dxa"/>
            <w:shd w:val="clear" w:color="auto" w:fill="C6EFCE"/>
            <w:hideMark/>
          </w:tcPr>
          <w:p w14:paraId="1216C502" w14:textId="5DF8CCE7"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503" w14:textId="0D667C50" w:rsidR="00A60DDE" w:rsidRDefault="00095506">
            <w:pPr>
              <w:pStyle w:val="P68B1DB1-Normal87"/>
              <w:spacing w:line="240" w:lineRule="auto"/>
              <w:textAlignment w:val="baseline"/>
              <w:rPr>
                <w:noProof/>
              </w:rPr>
            </w:pPr>
            <w:r>
              <w:rPr>
                <w:noProof/>
              </w:rPr>
              <w:t>Modificarea Legii privind învățământul superior și știința și profesiile de medic și stomatolog pentru a oferi un temei juridic pentru sprijinul financiar din anul universitar 2021/2022 pentru studenții din domeniul medicinei din Polonia</w:t>
            </w:r>
          </w:p>
        </w:tc>
      </w:tr>
      <w:tr w:rsidR="00A60DDE" w14:paraId="1216C509" w14:textId="77777777">
        <w:trPr>
          <w:trHeight w:val="300"/>
          <w:jc w:val="center"/>
        </w:trPr>
        <w:tc>
          <w:tcPr>
            <w:tcW w:w="1464" w:type="dxa"/>
            <w:shd w:val="clear" w:color="auto" w:fill="C6EFCE"/>
            <w:hideMark/>
          </w:tcPr>
          <w:p w14:paraId="1216C505" w14:textId="7E868CC6" w:rsidR="00A60DDE" w:rsidRDefault="00095506">
            <w:pPr>
              <w:pStyle w:val="P68B1DB1-Normal87"/>
              <w:spacing w:line="240" w:lineRule="auto"/>
              <w:ind w:right="45"/>
              <w:jc w:val="center"/>
              <w:textAlignment w:val="baseline"/>
              <w:rPr>
                <w:noProof/>
              </w:rPr>
            </w:pPr>
            <w:r>
              <w:rPr>
                <w:noProof/>
              </w:rPr>
              <w:t xml:space="preserve">D29G </w:t>
            </w:r>
          </w:p>
        </w:tc>
        <w:tc>
          <w:tcPr>
            <w:tcW w:w="3351" w:type="dxa"/>
            <w:shd w:val="clear" w:color="auto" w:fill="C6EFCE"/>
            <w:hideMark/>
          </w:tcPr>
          <w:p w14:paraId="1216C506" w14:textId="771660FD" w:rsidR="00A60DDE" w:rsidRDefault="00095506">
            <w:pPr>
              <w:pStyle w:val="P68B1DB1-Normal87"/>
              <w:spacing w:line="240" w:lineRule="auto"/>
              <w:textAlignment w:val="baseline"/>
              <w:rPr>
                <w:noProof/>
              </w:rPr>
            </w:pPr>
            <w:r>
              <w:rPr>
                <w:noProof/>
              </w:rPr>
              <w:t>D2.1.1 Investiții legate de modernizarea și modernizarea unităților de învățământ în vederea creșterii numărului de admiteri la studii medicale</w:t>
            </w:r>
          </w:p>
        </w:tc>
        <w:tc>
          <w:tcPr>
            <w:tcW w:w="1276" w:type="dxa"/>
            <w:shd w:val="clear" w:color="auto" w:fill="C6EFCE"/>
            <w:hideMark/>
          </w:tcPr>
          <w:p w14:paraId="1216C507" w14:textId="147B6C5C"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508" w14:textId="2FBBC2D5" w:rsidR="00A60DDE" w:rsidRDefault="00095506">
            <w:pPr>
              <w:pStyle w:val="P68B1DB1-Normal87"/>
              <w:spacing w:line="240" w:lineRule="auto"/>
              <w:textAlignment w:val="baseline"/>
              <w:rPr>
                <w:noProof/>
              </w:rPr>
            </w:pPr>
            <w:r>
              <w:rPr>
                <w:noProof/>
              </w:rPr>
              <w:t>Intrarea în vigoare a unui act juridic de instituire a unui sistem de stimulente pentru efectuarea și continuarea studiilor în facultățile medicale universitare selectate prin burse, finanțare pentru studii și mentorat</w:t>
            </w:r>
          </w:p>
        </w:tc>
      </w:tr>
      <w:tr w:rsidR="00A60DDE" w14:paraId="1216C50E" w14:textId="77777777">
        <w:trPr>
          <w:trHeight w:val="300"/>
          <w:jc w:val="center"/>
        </w:trPr>
        <w:tc>
          <w:tcPr>
            <w:tcW w:w="1464" w:type="dxa"/>
            <w:shd w:val="clear" w:color="auto" w:fill="C6EFCE"/>
            <w:hideMark/>
          </w:tcPr>
          <w:p w14:paraId="1216C50A" w14:textId="6D23497B" w:rsidR="00A60DDE" w:rsidRDefault="00095506">
            <w:pPr>
              <w:pStyle w:val="P68B1DB1-Normal87"/>
              <w:spacing w:line="240" w:lineRule="auto"/>
              <w:ind w:right="45"/>
              <w:jc w:val="center"/>
              <w:textAlignment w:val="baseline"/>
              <w:rPr>
                <w:noProof/>
              </w:rPr>
            </w:pPr>
            <w:r>
              <w:rPr>
                <w:noProof/>
              </w:rPr>
              <w:t xml:space="preserve">E8G </w:t>
            </w:r>
          </w:p>
        </w:tc>
        <w:tc>
          <w:tcPr>
            <w:tcW w:w="3351" w:type="dxa"/>
            <w:shd w:val="clear" w:color="auto" w:fill="C6EFCE"/>
            <w:hideMark/>
          </w:tcPr>
          <w:p w14:paraId="1216C50B" w14:textId="52CF5C76" w:rsidR="00A60DDE" w:rsidRDefault="00095506">
            <w:pPr>
              <w:pStyle w:val="P68B1DB1-Normal87"/>
              <w:spacing w:line="240" w:lineRule="auto"/>
              <w:textAlignment w:val="baseline"/>
              <w:rPr>
                <w:noProof/>
              </w:rPr>
            </w:pPr>
            <w:r>
              <w:rPr>
                <w:noProof/>
              </w:rPr>
              <w:t xml:space="preserve">E1.1.1 Sprijin pentru o economie cu emisii scăzute de dioxid de carbon </w:t>
            </w:r>
          </w:p>
        </w:tc>
        <w:tc>
          <w:tcPr>
            <w:tcW w:w="1276" w:type="dxa"/>
            <w:shd w:val="clear" w:color="auto" w:fill="C6EFCE"/>
            <w:hideMark/>
          </w:tcPr>
          <w:p w14:paraId="1216C50C" w14:textId="3F74FB0B" w:rsidR="00A60DDE" w:rsidRDefault="00095506">
            <w:pPr>
              <w:pStyle w:val="P68B1DB1-Normal87"/>
              <w:spacing w:line="240" w:lineRule="auto"/>
              <w:ind w:left="60"/>
              <w:textAlignment w:val="baseline"/>
              <w:rPr>
                <w:noProof/>
              </w:rPr>
            </w:pPr>
            <w:r>
              <w:rPr>
                <w:noProof/>
              </w:rPr>
              <w:t xml:space="preserve">Etapa de referință </w:t>
            </w:r>
          </w:p>
        </w:tc>
        <w:tc>
          <w:tcPr>
            <w:tcW w:w="4110" w:type="dxa"/>
            <w:shd w:val="clear" w:color="auto" w:fill="C6EFCE"/>
            <w:hideMark/>
          </w:tcPr>
          <w:p w14:paraId="1216C50D" w14:textId="767E360A" w:rsidR="00A60DDE" w:rsidRDefault="00095506">
            <w:pPr>
              <w:pStyle w:val="P68B1DB1-Normal87"/>
              <w:spacing w:line="240" w:lineRule="auto"/>
              <w:textAlignment w:val="baseline"/>
              <w:rPr>
                <w:noProof/>
              </w:rPr>
            </w:pPr>
            <w:r>
              <w:rPr>
                <w:noProof/>
              </w:rPr>
              <w:t>Instituirea unui instrument financiar (fond) pentru mobilitate și energie cu emisii zero/scăzute</w:t>
            </w:r>
          </w:p>
        </w:tc>
      </w:tr>
      <w:tr w:rsidR="00A60DDE" w14:paraId="1216C513" w14:textId="77777777">
        <w:trPr>
          <w:trHeight w:val="300"/>
          <w:jc w:val="center"/>
        </w:trPr>
        <w:tc>
          <w:tcPr>
            <w:tcW w:w="1464" w:type="dxa"/>
            <w:shd w:val="clear" w:color="auto" w:fill="C6EFCE"/>
            <w:hideMark/>
          </w:tcPr>
          <w:p w14:paraId="1216C50F" w14:textId="5A215DE4" w:rsidR="00A60DDE" w:rsidRDefault="00095506">
            <w:pPr>
              <w:pStyle w:val="P68B1DB1-Normal87"/>
              <w:spacing w:line="240" w:lineRule="auto"/>
              <w:ind w:right="45"/>
              <w:jc w:val="center"/>
              <w:textAlignment w:val="baseline"/>
              <w:rPr>
                <w:noProof/>
              </w:rPr>
            </w:pPr>
            <w:r>
              <w:rPr>
                <w:noProof/>
              </w:rPr>
              <w:t xml:space="preserve">E23G </w:t>
            </w:r>
          </w:p>
        </w:tc>
        <w:tc>
          <w:tcPr>
            <w:tcW w:w="3351" w:type="dxa"/>
            <w:shd w:val="clear" w:color="auto" w:fill="C6EFCE"/>
            <w:hideMark/>
          </w:tcPr>
          <w:p w14:paraId="1216C510" w14:textId="62EC0B53" w:rsidR="00A60DDE" w:rsidRDefault="00095506">
            <w:pPr>
              <w:pStyle w:val="P68B1DB1-Normal87"/>
              <w:spacing w:line="240" w:lineRule="auto"/>
              <w:textAlignment w:val="baseline"/>
              <w:rPr>
                <w:noProof/>
              </w:rPr>
            </w:pPr>
            <w:r>
              <w:rPr>
                <w:noProof/>
              </w:rPr>
              <w:t>E2.2 Îmbunătățirea siguranței transportului</w:t>
            </w:r>
          </w:p>
        </w:tc>
        <w:tc>
          <w:tcPr>
            <w:tcW w:w="1276" w:type="dxa"/>
            <w:shd w:val="clear" w:color="auto" w:fill="C6EFCE"/>
            <w:hideMark/>
          </w:tcPr>
          <w:p w14:paraId="1216C511" w14:textId="566093E2" w:rsidR="00A60DDE" w:rsidRDefault="00095506">
            <w:pPr>
              <w:pStyle w:val="P68B1DB1-Normal87"/>
              <w:spacing w:line="240" w:lineRule="auto"/>
              <w:ind w:left="60"/>
              <w:textAlignment w:val="baseline"/>
              <w:rPr>
                <w:noProof/>
              </w:rPr>
            </w:pPr>
            <w:r>
              <w:rPr>
                <w:noProof/>
              </w:rPr>
              <w:t xml:space="preserve">Etapa de referință </w:t>
            </w:r>
          </w:p>
        </w:tc>
        <w:tc>
          <w:tcPr>
            <w:tcW w:w="4110" w:type="dxa"/>
            <w:shd w:val="clear" w:color="auto" w:fill="C6EFCE"/>
            <w:hideMark/>
          </w:tcPr>
          <w:p w14:paraId="1216C512" w14:textId="1AA62E3C" w:rsidR="00A60DDE" w:rsidRDefault="00095506">
            <w:pPr>
              <w:pStyle w:val="P68B1DB1-Normal87"/>
              <w:spacing w:line="240" w:lineRule="auto"/>
              <w:textAlignment w:val="baseline"/>
              <w:rPr>
                <w:noProof/>
              </w:rPr>
            </w:pPr>
            <w:r>
              <w:rPr>
                <w:noProof/>
              </w:rPr>
              <w:t>Intrarea în vigoare a actelor juridice care introduc: prioritate pentru pietoni la treceri, viteză uniformă în zonele construite, distanță minimă între vehicule, obiective de siguranță rutieră până în 2030 (50 % decese în accidente)</w:t>
            </w:r>
          </w:p>
        </w:tc>
      </w:tr>
      <w:tr w:rsidR="00A60DDE" w14:paraId="1216C518" w14:textId="77777777">
        <w:trPr>
          <w:trHeight w:val="300"/>
          <w:jc w:val="center"/>
        </w:trPr>
        <w:tc>
          <w:tcPr>
            <w:tcW w:w="1464" w:type="dxa"/>
            <w:shd w:val="clear" w:color="auto" w:fill="C6EFCE"/>
            <w:hideMark/>
          </w:tcPr>
          <w:p w14:paraId="1216C514" w14:textId="1CF64EF9" w:rsidR="00A60DDE" w:rsidRDefault="00095506">
            <w:pPr>
              <w:pStyle w:val="P68B1DB1-Normal87"/>
              <w:spacing w:line="240" w:lineRule="auto"/>
              <w:ind w:right="45"/>
              <w:jc w:val="center"/>
              <w:textAlignment w:val="baseline"/>
              <w:rPr>
                <w:noProof/>
              </w:rPr>
            </w:pPr>
            <w:r>
              <w:rPr>
                <w:noProof/>
              </w:rPr>
              <w:t xml:space="preserve">F1G </w:t>
            </w:r>
          </w:p>
        </w:tc>
        <w:tc>
          <w:tcPr>
            <w:tcW w:w="3351" w:type="dxa"/>
            <w:shd w:val="clear" w:color="auto" w:fill="C6EFCE"/>
            <w:hideMark/>
          </w:tcPr>
          <w:p w14:paraId="1216C515" w14:textId="1963D1F5" w:rsidR="00A60DDE" w:rsidRDefault="00095506">
            <w:pPr>
              <w:pStyle w:val="P68B1DB1-Normal87"/>
              <w:spacing w:line="240" w:lineRule="auto"/>
              <w:textAlignment w:val="baseline"/>
              <w:rPr>
                <w:noProof/>
              </w:rPr>
            </w:pPr>
            <w:r>
              <w:rPr>
                <w:noProof/>
              </w:rPr>
              <w:t>F1.1 Reforma de consolidare a independenței și imparțialității instanțelor</w:t>
            </w:r>
          </w:p>
        </w:tc>
        <w:tc>
          <w:tcPr>
            <w:tcW w:w="1276" w:type="dxa"/>
            <w:shd w:val="clear" w:color="auto" w:fill="C6EFCE"/>
            <w:hideMark/>
          </w:tcPr>
          <w:p w14:paraId="1216C516" w14:textId="74486BFD"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517" w14:textId="257A6006" w:rsidR="00A60DDE" w:rsidRDefault="00095506">
            <w:pPr>
              <w:pStyle w:val="P68B1DB1-Normal87"/>
              <w:spacing w:line="240" w:lineRule="auto"/>
              <w:textAlignment w:val="baseline"/>
              <w:rPr>
                <w:noProof/>
              </w:rPr>
            </w:pPr>
            <w:r>
              <w:rPr>
                <w:noProof/>
              </w:rPr>
              <w:t>Intrarea în vigoare a unei reforme de consolidare a independenței și imparțialității instanțelor</w:t>
            </w:r>
          </w:p>
        </w:tc>
      </w:tr>
      <w:tr w:rsidR="00A60DDE" w14:paraId="1216C51D" w14:textId="77777777">
        <w:trPr>
          <w:trHeight w:val="300"/>
          <w:jc w:val="center"/>
        </w:trPr>
        <w:tc>
          <w:tcPr>
            <w:tcW w:w="1464" w:type="dxa"/>
            <w:shd w:val="clear" w:color="auto" w:fill="C6EFCE"/>
            <w:hideMark/>
          </w:tcPr>
          <w:p w14:paraId="1216C519" w14:textId="385A1B12" w:rsidR="00A60DDE" w:rsidRDefault="00095506">
            <w:pPr>
              <w:pStyle w:val="P68B1DB1-Normal87"/>
              <w:spacing w:line="240" w:lineRule="auto"/>
              <w:ind w:right="45"/>
              <w:jc w:val="center"/>
              <w:textAlignment w:val="baseline"/>
              <w:rPr>
                <w:noProof/>
              </w:rPr>
            </w:pPr>
            <w:r>
              <w:rPr>
                <w:noProof/>
              </w:rPr>
              <w:t xml:space="preserve">F2G </w:t>
            </w:r>
          </w:p>
        </w:tc>
        <w:tc>
          <w:tcPr>
            <w:tcW w:w="3351" w:type="dxa"/>
            <w:shd w:val="clear" w:color="auto" w:fill="C6EFCE"/>
            <w:hideMark/>
          </w:tcPr>
          <w:p w14:paraId="1216C51A" w14:textId="5C9932FB" w:rsidR="00A60DDE" w:rsidRDefault="00095506">
            <w:pPr>
              <w:pStyle w:val="P68B1DB1-Normal87"/>
              <w:spacing w:line="240" w:lineRule="auto"/>
              <w:textAlignment w:val="baseline"/>
              <w:rPr>
                <w:noProof/>
              </w:rPr>
            </w:pPr>
            <w:r>
              <w:rPr>
                <w:noProof/>
              </w:rPr>
              <w:t>F2.1 Reforma menită să remedieze situația judecătorilor afectați de deciziile Camerei disciplinare a Curții Supreme în cauzele disciplinare și în cauzele privind imunitatea judiciară</w:t>
            </w:r>
          </w:p>
        </w:tc>
        <w:tc>
          <w:tcPr>
            <w:tcW w:w="1276" w:type="dxa"/>
            <w:shd w:val="clear" w:color="auto" w:fill="C6EFCE"/>
            <w:hideMark/>
          </w:tcPr>
          <w:p w14:paraId="1216C51B" w14:textId="4E015B92" w:rsidR="00A60DDE" w:rsidRDefault="00095506">
            <w:pPr>
              <w:pStyle w:val="P68B1DB1-Normal87"/>
              <w:spacing w:line="240" w:lineRule="auto"/>
              <w:ind w:left="60"/>
              <w:textAlignment w:val="baseline"/>
              <w:rPr>
                <w:noProof/>
              </w:rPr>
            </w:pPr>
            <w:r>
              <w:rPr>
                <w:noProof/>
              </w:rPr>
              <w:t xml:space="preserve">Etapa de referință </w:t>
            </w:r>
          </w:p>
        </w:tc>
        <w:tc>
          <w:tcPr>
            <w:tcW w:w="4110" w:type="dxa"/>
            <w:shd w:val="clear" w:color="auto" w:fill="C6EFCE"/>
            <w:hideMark/>
          </w:tcPr>
          <w:p w14:paraId="1216C51C" w14:textId="62C28C9C" w:rsidR="00A60DDE" w:rsidRDefault="00095506">
            <w:pPr>
              <w:pStyle w:val="P68B1DB1-Normal87"/>
              <w:spacing w:line="240" w:lineRule="auto"/>
              <w:textAlignment w:val="baseline"/>
              <w:rPr>
                <w:noProof/>
              </w:rPr>
            </w:pPr>
            <w:r>
              <w:rPr>
                <w:noProof/>
              </w:rPr>
              <w:t xml:space="preserve">Intrarea în vigoare a unei reforme de consolidare a independenței și imparțialității instanțelor </w:t>
            </w:r>
          </w:p>
        </w:tc>
      </w:tr>
      <w:tr w:rsidR="00A60DDE" w14:paraId="1216C522" w14:textId="77777777">
        <w:trPr>
          <w:trHeight w:val="300"/>
          <w:jc w:val="center"/>
        </w:trPr>
        <w:tc>
          <w:tcPr>
            <w:tcW w:w="1464" w:type="dxa"/>
            <w:shd w:val="clear" w:color="auto" w:fill="C6EFCE"/>
            <w:hideMark/>
          </w:tcPr>
          <w:p w14:paraId="1216C51E" w14:textId="249603A2" w:rsidR="00A60DDE" w:rsidRDefault="00095506">
            <w:pPr>
              <w:pStyle w:val="P68B1DB1-Normal87"/>
              <w:spacing w:line="240" w:lineRule="auto"/>
              <w:ind w:right="45"/>
              <w:jc w:val="center"/>
              <w:textAlignment w:val="baseline"/>
              <w:rPr>
                <w:noProof/>
              </w:rPr>
            </w:pPr>
            <w:r>
              <w:rPr>
                <w:noProof/>
              </w:rPr>
              <w:t xml:space="preserve">F5G </w:t>
            </w:r>
          </w:p>
        </w:tc>
        <w:tc>
          <w:tcPr>
            <w:tcW w:w="3351" w:type="dxa"/>
            <w:shd w:val="clear" w:color="auto" w:fill="C6EFCE"/>
            <w:hideMark/>
          </w:tcPr>
          <w:p w14:paraId="1216C51F" w14:textId="56011149" w:rsidR="00A60DDE" w:rsidRDefault="00095506">
            <w:pPr>
              <w:pStyle w:val="P68B1DB1-Normal87"/>
              <w:spacing w:line="240" w:lineRule="auto"/>
              <w:textAlignment w:val="baseline"/>
              <w:rPr>
                <w:noProof/>
              </w:rPr>
            </w:pPr>
            <w:r>
              <w:rPr>
                <w:noProof/>
              </w:rPr>
              <w:t>F3.1 Îmbunătățirea condițiilor de punere în aplicare a planului de redresare și reziliență</w:t>
            </w:r>
          </w:p>
        </w:tc>
        <w:tc>
          <w:tcPr>
            <w:tcW w:w="1276" w:type="dxa"/>
            <w:shd w:val="clear" w:color="auto" w:fill="C6EFCE"/>
            <w:hideMark/>
          </w:tcPr>
          <w:p w14:paraId="1216C520" w14:textId="7C45C01D"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521" w14:textId="1AE81F2F" w:rsidR="00A60DDE" w:rsidRDefault="00095506">
            <w:pPr>
              <w:pStyle w:val="P68B1DB1-Normal87"/>
              <w:spacing w:line="240" w:lineRule="auto"/>
              <w:textAlignment w:val="baseline"/>
              <w:rPr>
                <w:noProof/>
              </w:rPr>
            </w:pPr>
            <w:r>
              <w:rPr>
                <w:noProof/>
              </w:rPr>
              <w:t>Intrarea în vigoare a unui act juridic care creează un comitet de monitorizare și îl însărcinează cu supravegherea punerii în aplicare eficace a planului de redresare și reziliență</w:t>
            </w:r>
          </w:p>
        </w:tc>
      </w:tr>
      <w:tr w:rsidR="00A60DDE" w14:paraId="1216C527" w14:textId="77777777">
        <w:trPr>
          <w:trHeight w:val="300"/>
          <w:jc w:val="center"/>
        </w:trPr>
        <w:tc>
          <w:tcPr>
            <w:tcW w:w="1464" w:type="dxa"/>
            <w:shd w:val="clear" w:color="auto" w:fill="C6EFCE"/>
            <w:hideMark/>
          </w:tcPr>
          <w:p w14:paraId="1216C523" w14:textId="396232D8" w:rsidR="00A60DDE" w:rsidRDefault="00095506">
            <w:pPr>
              <w:pStyle w:val="P68B1DB1-Normal87"/>
              <w:spacing w:line="240" w:lineRule="auto"/>
              <w:ind w:right="45"/>
              <w:jc w:val="center"/>
              <w:textAlignment w:val="baseline"/>
              <w:rPr>
                <w:noProof/>
              </w:rPr>
            </w:pPr>
            <w:r>
              <w:rPr>
                <w:noProof/>
              </w:rPr>
              <w:t xml:space="preserve">F6G </w:t>
            </w:r>
          </w:p>
        </w:tc>
        <w:tc>
          <w:tcPr>
            <w:tcW w:w="3351" w:type="dxa"/>
            <w:shd w:val="clear" w:color="auto" w:fill="C6EFCE"/>
            <w:hideMark/>
          </w:tcPr>
          <w:p w14:paraId="1216C524" w14:textId="0200F4BD" w:rsidR="00A60DDE" w:rsidRDefault="00095506">
            <w:pPr>
              <w:pStyle w:val="P68B1DB1-Normal87"/>
              <w:spacing w:line="240" w:lineRule="auto"/>
              <w:textAlignment w:val="baseline"/>
              <w:rPr>
                <w:noProof/>
              </w:rPr>
            </w:pPr>
            <w:r>
              <w:rPr>
                <w:noProof/>
              </w:rPr>
              <w:t>F3.1 Îmbunătățirea condițiilor de punere în aplicare a planului de redresare și reziliență</w:t>
            </w:r>
          </w:p>
        </w:tc>
        <w:tc>
          <w:tcPr>
            <w:tcW w:w="1276" w:type="dxa"/>
            <w:shd w:val="clear" w:color="auto" w:fill="C6EFCE"/>
            <w:hideMark/>
          </w:tcPr>
          <w:p w14:paraId="1216C525" w14:textId="79B9BA9E" w:rsidR="00A60DDE" w:rsidRDefault="00095506">
            <w:pPr>
              <w:pStyle w:val="P68B1DB1-Normal87"/>
              <w:spacing w:line="240" w:lineRule="auto"/>
              <w:ind w:left="60"/>
              <w:textAlignment w:val="baseline"/>
              <w:rPr>
                <w:noProof/>
              </w:rPr>
            </w:pPr>
            <w:r>
              <w:rPr>
                <w:noProof/>
              </w:rPr>
              <w:t>Etapa de referință</w:t>
            </w:r>
          </w:p>
        </w:tc>
        <w:tc>
          <w:tcPr>
            <w:tcW w:w="4110" w:type="dxa"/>
            <w:shd w:val="clear" w:color="auto" w:fill="C6EFCE"/>
            <w:hideMark/>
          </w:tcPr>
          <w:p w14:paraId="1216C526" w14:textId="77777777" w:rsidR="00A60DDE" w:rsidRDefault="00095506">
            <w:pPr>
              <w:pStyle w:val="P68B1DB1-Normal87"/>
              <w:spacing w:line="240" w:lineRule="auto"/>
              <w:textAlignment w:val="baseline"/>
              <w:rPr>
                <w:noProof/>
              </w:rPr>
            </w:pPr>
            <w:r>
              <w:rPr>
                <w:noProof/>
              </w:rPr>
              <w:t>Adoptarea orientărilor de către ministrul responsabil cu dezvoltarea regională de stabilire a normelor de implicare a părților interesate și a partenerilor sociali în punerea în aplicare a planului de redresare și reziliență</w:t>
            </w:r>
          </w:p>
        </w:tc>
      </w:tr>
      <w:tr w:rsidR="00A60DDE" w14:paraId="1216C52C" w14:textId="77777777">
        <w:trPr>
          <w:trHeight w:val="300"/>
          <w:jc w:val="center"/>
        </w:trPr>
        <w:tc>
          <w:tcPr>
            <w:tcW w:w="1464" w:type="dxa"/>
            <w:shd w:val="clear" w:color="auto" w:fill="C6EFCE"/>
            <w:hideMark/>
          </w:tcPr>
          <w:p w14:paraId="1216C528" w14:textId="1E69C869" w:rsidR="00A60DDE" w:rsidRDefault="00095506">
            <w:pPr>
              <w:pStyle w:val="P68B1DB1-Normal87"/>
              <w:spacing w:line="240" w:lineRule="auto"/>
              <w:ind w:right="45"/>
              <w:jc w:val="center"/>
              <w:textAlignment w:val="baseline"/>
              <w:rPr>
                <w:noProof/>
              </w:rPr>
            </w:pPr>
            <w:r>
              <w:rPr>
                <w:noProof/>
              </w:rPr>
              <w:t xml:space="preserve">F7G </w:t>
            </w:r>
          </w:p>
        </w:tc>
        <w:tc>
          <w:tcPr>
            <w:tcW w:w="3351" w:type="dxa"/>
            <w:shd w:val="clear" w:color="auto" w:fill="C6EFCE"/>
            <w:hideMark/>
          </w:tcPr>
          <w:p w14:paraId="1216C529" w14:textId="5ED71060" w:rsidR="00A60DDE" w:rsidRDefault="00095506">
            <w:pPr>
              <w:pStyle w:val="P68B1DB1-Normal87"/>
              <w:spacing w:line="240" w:lineRule="auto"/>
              <w:textAlignment w:val="baseline"/>
              <w:rPr>
                <w:noProof/>
              </w:rPr>
            </w:pPr>
            <w:r>
              <w:rPr>
                <w:noProof/>
              </w:rPr>
              <w:t>F3.1 Îmbunătățirea condițiilor de punere în aplicare a planului de redresare și reziliență</w:t>
            </w:r>
          </w:p>
        </w:tc>
        <w:tc>
          <w:tcPr>
            <w:tcW w:w="1276" w:type="dxa"/>
            <w:shd w:val="clear" w:color="auto" w:fill="C6EFCE"/>
            <w:hideMark/>
          </w:tcPr>
          <w:p w14:paraId="1216C52A" w14:textId="22AB241B" w:rsidR="00A60DDE" w:rsidRDefault="00095506">
            <w:pPr>
              <w:pStyle w:val="P68B1DB1-Normal87"/>
              <w:spacing w:line="240" w:lineRule="auto"/>
              <w:ind w:left="60"/>
              <w:textAlignment w:val="baseline"/>
              <w:rPr>
                <w:noProof/>
              </w:rPr>
            </w:pPr>
            <w:r>
              <w:rPr>
                <w:noProof/>
              </w:rPr>
              <w:t xml:space="preserve">Etapa de referință </w:t>
            </w:r>
          </w:p>
        </w:tc>
        <w:tc>
          <w:tcPr>
            <w:tcW w:w="4110" w:type="dxa"/>
            <w:shd w:val="clear" w:color="auto" w:fill="C6EFCE"/>
            <w:hideMark/>
          </w:tcPr>
          <w:p w14:paraId="1216C52B" w14:textId="653935EF" w:rsidR="00A60DDE" w:rsidRDefault="00095506">
            <w:pPr>
              <w:pStyle w:val="P68B1DB1-Normal87"/>
              <w:spacing w:line="240" w:lineRule="auto"/>
              <w:textAlignment w:val="baseline"/>
              <w:rPr>
                <w:noProof/>
              </w:rPr>
            </w:pPr>
            <w:r>
              <w:rPr>
                <w:noProof/>
              </w:rPr>
              <w:t>Asigurarea unui audit și a unui control eficace în cadrul punerii în aplicare a MRR, protejând interesele financiare ale Uniunii</w:t>
            </w:r>
          </w:p>
        </w:tc>
      </w:tr>
      <w:tr w:rsidR="00A60DDE" w14:paraId="1216C531" w14:textId="77777777">
        <w:trPr>
          <w:trHeight w:val="300"/>
          <w:jc w:val="center"/>
        </w:trPr>
        <w:tc>
          <w:tcPr>
            <w:tcW w:w="1464" w:type="dxa"/>
            <w:shd w:val="clear" w:color="auto" w:fill="C6EFCE"/>
            <w:hideMark/>
          </w:tcPr>
          <w:p w14:paraId="1216C52D" w14:textId="7B20B84D" w:rsidR="00A60DDE" w:rsidRDefault="00095506">
            <w:pPr>
              <w:pStyle w:val="P68B1DB1-Normal87"/>
              <w:spacing w:line="240" w:lineRule="auto"/>
              <w:ind w:right="45"/>
              <w:jc w:val="center"/>
              <w:textAlignment w:val="baseline"/>
              <w:rPr>
                <w:noProof/>
              </w:rPr>
            </w:pPr>
            <w:r>
              <w:rPr>
                <w:noProof/>
              </w:rPr>
              <w:t xml:space="preserve"> </w:t>
            </w:r>
          </w:p>
        </w:tc>
        <w:tc>
          <w:tcPr>
            <w:tcW w:w="3351" w:type="dxa"/>
            <w:shd w:val="clear" w:color="auto" w:fill="C6EFCE"/>
            <w:hideMark/>
          </w:tcPr>
          <w:p w14:paraId="1216C52E" w14:textId="7B9C2B0F" w:rsidR="00A60DDE" w:rsidRDefault="00A60DDE">
            <w:pPr>
              <w:spacing w:line="240" w:lineRule="auto"/>
              <w:textAlignment w:val="baseline"/>
              <w:rPr>
                <w:rFonts w:ascii="Times New Roman" w:eastAsia="Times New Roman" w:hAnsi="Times New Roman" w:cs="Times New Roman"/>
                <w:noProof/>
              </w:rPr>
            </w:pPr>
          </w:p>
        </w:tc>
        <w:tc>
          <w:tcPr>
            <w:tcW w:w="1276" w:type="dxa"/>
            <w:shd w:val="clear" w:color="auto" w:fill="C6EFCE"/>
            <w:hideMark/>
          </w:tcPr>
          <w:p w14:paraId="1216C52F" w14:textId="312CC5C7" w:rsidR="00A60DDE" w:rsidRDefault="00095506">
            <w:pPr>
              <w:pStyle w:val="P68B1DB1-Normal87"/>
              <w:spacing w:line="240" w:lineRule="auto"/>
              <w:ind w:left="60"/>
              <w:textAlignment w:val="baseline"/>
              <w:rPr>
                <w:noProof/>
              </w:rPr>
            </w:pPr>
            <w:r>
              <w:rPr>
                <w:noProof/>
              </w:rPr>
              <w:t>Valoarea tranșei</w:t>
            </w:r>
          </w:p>
        </w:tc>
        <w:tc>
          <w:tcPr>
            <w:tcW w:w="4110" w:type="dxa"/>
            <w:shd w:val="clear" w:color="auto" w:fill="C6EFCE"/>
            <w:hideMark/>
          </w:tcPr>
          <w:p w14:paraId="1216C530" w14:textId="77777777" w:rsidR="00A60DDE" w:rsidRDefault="00095506">
            <w:pPr>
              <w:pStyle w:val="P68B1DB1-Normal87"/>
              <w:spacing w:line="240" w:lineRule="auto"/>
              <w:textAlignment w:val="baseline"/>
              <w:rPr>
                <w:noProof/>
              </w:rPr>
            </w:pPr>
            <w:r>
              <w:rPr>
                <w:noProof/>
              </w:rPr>
              <w:t>2 758 738 902 EUR</w:t>
            </w:r>
          </w:p>
        </w:tc>
      </w:tr>
    </w:tbl>
    <w:p w14:paraId="1216C532" w14:textId="387248F2" w:rsidR="00A60DDE" w:rsidRDefault="00095506">
      <w:pPr>
        <w:pStyle w:val="P68B1DB1-Normal87"/>
        <w:spacing w:line="240" w:lineRule="auto"/>
        <w:ind w:left="-1140" w:right="10770"/>
        <w:textAlignment w:val="baseline"/>
        <w:rPr>
          <w:noProof/>
        </w:rPr>
      </w:pPr>
      <w:r>
        <w:rPr>
          <w:noProof/>
        </w:rPr>
        <w:t> </w:t>
      </w:r>
    </w:p>
    <w:p w14:paraId="13654AC7" w14:textId="77777777" w:rsidR="00A60DDE" w:rsidRDefault="00095506">
      <w:pPr>
        <w:pStyle w:val="P68B1DB1-Normal87"/>
        <w:rPr>
          <w:noProof/>
        </w:rPr>
      </w:pPr>
      <w:r>
        <w:rPr>
          <w:noProof/>
        </w:rPr>
        <w:br w:type="page"/>
      </w:r>
    </w:p>
    <w:p w14:paraId="478E4823" w14:textId="77777777" w:rsidR="00A60DDE" w:rsidRDefault="00A60DDE">
      <w:pPr>
        <w:spacing w:line="240" w:lineRule="auto"/>
        <w:ind w:left="-1140" w:right="10770"/>
        <w:textAlignment w:val="baseline"/>
        <w:rPr>
          <w:rFonts w:ascii="Segoe UI" w:eastAsia="Times New Roman" w:hAnsi="Segoe UI" w:cs="Segoe UI"/>
          <w:noProof/>
          <w:sz w:val="18"/>
          <w:szCs w:val="18"/>
        </w:rPr>
      </w:pPr>
    </w:p>
    <w:p w14:paraId="1216C534" w14:textId="77777777" w:rsidR="00A60DDE" w:rsidRDefault="00095506">
      <w:pPr>
        <w:pStyle w:val="P68B1DB1-Normal87"/>
        <w:spacing w:line="240" w:lineRule="auto"/>
        <w:textAlignment w:val="baseline"/>
        <w:rPr>
          <w:rFonts w:ascii="Segoe UI" w:hAnsi="Segoe UI" w:cs="Segoe UI"/>
          <w:noProof/>
          <w:sz w:val="18"/>
          <w:szCs w:val="18"/>
        </w:rPr>
      </w:pPr>
      <w:r>
        <w:rPr>
          <w:noProof/>
        </w:rPr>
        <w:t>2.1.2 A doua tranșă (sprijin nerambursabil):</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3579"/>
        <w:gridCol w:w="1224"/>
        <w:gridCol w:w="3550"/>
      </w:tblGrid>
      <w:tr w:rsidR="00A60DDE" w14:paraId="1216C539" w14:textId="77777777">
        <w:trPr>
          <w:trHeight w:val="300"/>
          <w:tblHeader/>
          <w:jc w:val="center"/>
        </w:trPr>
        <w:tc>
          <w:tcPr>
            <w:tcW w:w="1335" w:type="dxa"/>
            <w:shd w:val="clear" w:color="auto" w:fill="BDD6EE"/>
            <w:hideMark/>
          </w:tcPr>
          <w:p w14:paraId="1216C535" w14:textId="5A9C8E3B" w:rsidR="00A60DDE" w:rsidRDefault="00095506">
            <w:pPr>
              <w:pStyle w:val="P68B1DB1-Normal87"/>
              <w:spacing w:line="240" w:lineRule="auto"/>
              <w:jc w:val="center"/>
              <w:textAlignment w:val="baseline"/>
              <w:rPr>
                <w:noProof/>
                <w:sz w:val="24"/>
                <w:szCs w:val="24"/>
              </w:rPr>
            </w:pPr>
            <w:r>
              <w:rPr>
                <w:b/>
                <w:noProof/>
              </w:rPr>
              <w:t>Număr secvențial</w:t>
            </w:r>
            <w:r>
              <w:rPr>
                <w:noProof/>
              </w:rPr>
              <w:t xml:space="preserve"> </w:t>
            </w:r>
          </w:p>
        </w:tc>
        <w:tc>
          <w:tcPr>
            <w:tcW w:w="3960" w:type="dxa"/>
            <w:shd w:val="clear" w:color="auto" w:fill="BDD6EE"/>
            <w:hideMark/>
          </w:tcPr>
          <w:p w14:paraId="1216C536" w14:textId="55DABBC8"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45" w:type="dxa"/>
            <w:shd w:val="clear" w:color="auto" w:fill="BDD6EE"/>
            <w:hideMark/>
          </w:tcPr>
          <w:p w14:paraId="1216C537" w14:textId="7788E953" w:rsidR="00A60DDE" w:rsidRDefault="00095506">
            <w:pPr>
              <w:pStyle w:val="P68B1DB1-Normal100"/>
              <w:spacing w:line="240" w:lineRule="auto"/>
              <w:ind w:left="15" w:right="15"/>
              <w:jc w:val="center"/>
              <w:textAlignment w:val="baseline"/>
              <w:rPr>
                <w:noProof/>
                <w:sz w:val="24"/>
                <w:szCs w:val="24"/>
              </w:rPr>
            </w:pPr>
            <w:r>
              <w:rPr>
                <w:noProof/>
              </w:rPr>
              <w:t>Etapa/ținta</w:t>
            </w:r>
          </w:p>
        </w:tc>
        <w:tc>
          <w:tcPr>
            <w:tcW w:w="3915" w:type="dxa"/>
            <w:shd w:val="clear" w:color="auto" w:fill="BDD6EE"/>
            <w:hideMark/>
          </w:tcPr>
          <w:p w14:paraId="1216C538" w14:textId="47ACF307" w:rsidR="00A60DDE" w:rsidRDefault="00095506">
            <w:pPr>
              <w:pStyle w:val="P68B1DB1-Normal87"/>
              <w:spacing w:line="240" w:lineRule="auto"/>
              <w:ind w:right="45"/>
              <w:jc w:val="center"/>
              <w:textAlignment w:val="baseline"/>
              <w:rPr>
                <w:noProof/>
                <w:sz w:val="24"/>
                <w:szCs w:val="24"/>
              </w:rPr>
            </w:pPr>
            <w:r>
              <w:rPr>
                <w:b/>
                <w:noProof/>
              </w:rPr>
              <w:t>Denumire</w:t>
            </w:r>
            <w:r>
              <w:rPr>
                <w:noProof/>
              </w:rPr>
              <w:t xml:space="preserve"> </w:t>
            </w:r>
          </w:p>
        </w:tc>
      </w:tr>
      <w:tr w:rsidR="00A60DDE" w14:paraId="1216C53E" w14:textId="77777777">
        <w:trPr>
          <w:trHeight w:val="300"/>
          <w:jc w:val="center"/>
        </w:trPr>
        <w:tc>
          <w:tcPr>
            <w:tcW w:w="1335" w:type="dxa"/>
            <w:shd w:val="clear" w:color="auto" w:fill="C6EFCE"/>
            <w:hideMark/>
          </w:tcPr>
          <w:p w14:paraId="1216C53A" w14:textId="3FE5D826" w:rsidR="00A60DDE" w:rsidRDefault="00095506">
            <w:pPr>
              <w:pStyle w:val="P68B1DB1-Normal87"/>
              <w:spacing w:line="240" w:lineRule="auto"/>
              <w:ind w:right="45"/>
              <w:jc w:val="center"/>
              <w:textAlignment w:val="baseline"/>
              <w:rPr>
                <w:noProof/>
                <w:sz w:val="24"/>
                <w:szCs w:val="24"/>
              </w:rPr>
            </w:pPr>
            <w:r>
              <w:rPr>
                <w:noProof/>
              </w:rPr>
              <w:t xml:space="preserve">A13G </w:t>
            </w:r>
          </w:p>
        </w:tc>
        <w:tc>
          <w:tcPr>
            <w:tcW w:w="3960" w:type="dxa"/>
            <w:shd w:val="clear" w:color="auto" w:fill="C6EFCE"/>
            <w:hideMark/>
          </w:tcPr>
          <w:p w14:paraId="1216C53B" w14:textId="219EB3B4" w:rsidR="00A60DDE" w:rsidRDefault="00095506">
            <w:pPr>
              <w:pStyle w:val="P68B1DB1-Normal87"/>
              <w:spacing w:line="240" w:lineRule="auto"/>
              <w:textAlignment w:val="baseline"/>
              <w:rPr>
                <w:noProof/>
                <w:sz w:val="24"/>
                <w:szCs w:val="24"/>
              </w:rPr>
            </w:pPr>
            <w:r>
              <w:rPr>
                <w:noProof/>
              </w:rPr>
              <w:t>A1.3.1 Punerea în aplicare a reformei amenajării teritoriului</w:t>
            </w:r>
          </w:p>
        </w:tc>
        <w:tc>
          <w:tcPr>
            <w:tcW w:w="1245" w:type="dxa"/>
            <w:shd w:val="clear" w:color="auto" w:fill="C6EFCE"/>
            <w:hideMark/>
          </w:tcPr>
          <w:p w14:paraId="1216C53C" w14:textId="6060C03A"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3D" w14:textId="7BDF7EDF" w:rsidR="00A60DDE" w:rsidRDefault="00095506">
            <w:pPr>
              <w:pStyle w:val="P68B1DB1-Normal87"/>
              <w:spacing w:line="240" w:lineRule="auto"/>
              <w:ind w:right="30"/>
              <w:textAlignment w:val="baseline"/>
              <w:rPr>
                <w:noProof/>
                <w:sz w:val="24"/>
                <w:szCs w:val="24"/>
              </w:rPr>
            </w:pPr>
            <w:r>
              <w:rPr>
                <w:noProof/>
              </w:rPr>
              <w:t>Publicarea unui document care stabilește mecanismul de alocare și cuantumul orientativ al sprijinului care urmează să fie acordat fiecărei municipalități din Polonia pentru punerea în aplicare a reformei amenajării teritoriului</w:t>
            </w:r>
          </w:p>
        </w:tc>
      </w:tr>
      <w:tr w:rsidR="00A60DDE" w14:paraId="1216C543" w14:textId="77777777">
        <w:trPr>
          <w:trHeight w:val="300"/>
          <w:jc w:val="center"/>
        </w:trPr>
        <w:tc>
          <w:tcPr>
            <w:tcW w:w="1335" w:type="dxa"/>
            <w:shd w:val="clear" w:color="auto" w:fill="C6EFCE"/>
            <w:hideMark/>
          </w:tcPr>
          <w:p w14:paraId="1216C53F" w14:textId="6C11859C" w:rsidR="00A60DDE" w:rsidRDefault="00095506">
            <w:pPr>
              <w:pStyle w:val="P68B1DB1-Normal87"/>
              <w:spacing w:line="240" w:lineRule="auto"/>
              <w:ind w:right="45"/>
              <w:jc w:val="center"/>
              <w:textAlignment w:val="baseline"/>
              <w:rPr>
                <w:noProof/>
                <w:sz w:val="24"/>
                <w:szCs w:val="24"/>
              </w:rPr>
            </w:pPr>
            <w:r>
              <w:rPr>
                <w:noProof/>
              </w:rPr>
              <w:t xml:space="preserve">A49G </w:t>
            </w:r>
          </w:p>
        </w:tc>
        <w:tc>
          <w:tcPr>
            <w:tcW w:w="3960" w:type="dxa"/>
            <w:shd w:val="clear" w:color="auto" w:fill="C6EFCE"/>
            <w:hideMark/>
          </w:tcPr>
          <w:p w14:paraId="1216C540" w14:textId="1B803DDA" w:rsidR="00A60DDE" w:rsidRDefault="00095506">
            <w:pPr>
              <w:pStyle w:val="P68B1DB1-Normal87"/>
              <w:spacing w:line="240" w:lineRule="auto"/>
              <w:textAlignment w:val="baseline"/>
              <w:rPr>
                <w:noProof/>
                <w:sz w:val="24"/>
                <w:szCs w:val="24"/>
              </w:rPr>
            </w:pPr>
            <w:r>
              <w:rPr>
                <w:noProof/>
              </w:rPr>
              <w:t>A3.1.1 Investiții în formarea profesională modernă, învățământul superior și învățarea pe tot parcursul vieții</w:t>
            </w:r>
          </w:p>
        </w:tc>
        <w:tc>
          <w:tcPr>
            <w:tcW w:w="1245" w:type="dxa"/>
            <w:shd w:val="clear" w:color="auto" w:fill="C6EFCE"/>
            <w:hideMark/>
          </w:tcPr>
          <w:p w14:paraId="1216C541" w14:textId="7E522C46" w:rsidR="00A60DDE" w:rsidRDefault="00095506">
            <w:pPr>
              <w:pStyle w:val="P68B1DB1-Normal87"/>
              <w:spacing w:line="240" w:lineRule="auto"/>
              <w:ind w:right="45"/>
              <w:textAlignment w:val="baseline"/>
              <w:rPr>
                <w:noProof/>
                <w:sz w:val="24"/>
                <w:szCs w:val="24"/>
              </w:rPr>
            </w:pPr>
            <w:r>
              <w:rPr>
                <w:noProof/>
              </w:rPr>
              <w:t>Țintă</w:t>
            </w:r>
          </w:p>
        </w:tc>
        <w:tc>
          <w:tcPr>
            <w:tcW w:w="3915" w:type="dxa"/>
            <w:shd w:val="clear" w:color="auto" w:fill="C6EFCE"/>
            <w:hideMark/>
          </w:tcPr>
          <w:p w14:paraId="1216C542" w14:textId="7B376EFF" w:rsidR="00A60DDE" w:rsidRDefault="00095506">
            <w:pPr>
              <w:pStyle w:val="P68B1DB1-Normal87"/>
              <w:spacing w:line="240" w:lineRule="auto"/>
              <w:textAlignment w:val="baseline"/>
              <w:rPr>
                <w:noProof/>
                <w:sz w:val="24"/>
                <w:szCs w:val="24"/>
              </w:rPr>
            </w:pPr>
            <w:r>
              <w:rPr>
                <w:noProof/>
              </w:rPr>
              <w:t>Înființarea unor echipe de coordonare regională funcționale care să coordoneze politica în domeniul educației și formării profesionale și al învățării pe tot parcursul vieții</w:t>
            </w:r>
          </w:p>
        </w:tc>
      </w:tr>
      <w:tr w:rsidR="00A60DDE" w14:paraId="1216C548" w14:textId="77777777">
        <w:trPr>
          <w:trHeight w:val="300"/>
          <w:jc w:val="center"/>
        </w:trPr>
        <w:tc>
          <w:tcPr>
            <w:tcW w:w="1335" w:type="dxa"/>
            <w:shd w:val="clear" w:color="auto" w:fill="C6EFCE"/>
            <w:hideMark/>
          </w:tcPr>
          <w:p w14:paraId="1216C544" w14:textId="4882261B" w:rsidR="00A60DDE" w:rsidRDefault="00095506">
            <w:pPr>
              <w:pStyle w:val="P68B1DB1-Normal87"/>
              <w:spacing w:line="240" w:lineRule="auto"/>
              <w:ind w:right="45"/>
              <w:jc w:val="center"/>
              <w:textAlignment w:val="baseline"/>
              <w:rPr>
                <w:noProof/>
                <w:sz w:val="24"/>
                <w:szCs w:val="24"/>
              </w:rPr>
            </w:pPr>
            <w:r>
              <w:rPr>
                <w:noProof/>
              </w:rPr>
              <w:t xml:space="preserve">A53G </w:t>
            </w:r>
          </w:p>
        </w:tc>
        <w:tc>
          <w:tcPr>
            <w:tcW w:w="3960" w:type="dxa"/>
            <w:shd w:val="clear" w:color="auto" w:fill="C6EFCE"/>
            <w:hideMark/>
          </w:tcPr>
          <w:p w14:paraId="1216C545" w14:textId="77777777" w:rsidR="00A60DDE" w:rsidRDefault="00095506">
            <w:pPr>
              <w:pStyle w:val="P68B1DB1-Normal87"/>
              <w:spacing w:line="240" w:lineRule="auto"/>
              <w:textAlignment w:val="baseline"/>
              <w:rPr>
                <w:noProof/>
                <w:sz w:val="24"/>
                <w:szCs w:val="24"/>
              </w:rPr>
            </w:pPr>
            <w:r>
              <w:rPr>
                <w:noProof/>
              </w:rPr>
              <w:t>A4.1 Reformele structurale ale instituțiilor pieței forței de muncă</w:t>
            </w:r>
          </w:p>
        </w:tc>
        <w:tc>
          <w:tcPr>
            <w:tcW w:w="1245" w:type="dxa"/>
            <w:shd w:val="clear" w:color="auto" w:fill="C6EFCE"/>
            <w:hideMark/>
          </w:tcPr>
          <w:p w14:paraId="1216C546" w14:textId="26895A19"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47" w14:textId="18AA275F" w:rsidR="00A60DDE" w:rsidRDefault="00095506">
            <w:pPr>
              <w:pStyle w:val="P68B1DB1-Normal87"/>
              <w:spacing w:line="240" w:lineRule="auto"/>
              <w:textAlignment w:val="baseline"/>
              <w:rPr>
                <w:noProof/>
                <w:sz w:val="24"/>
                <w:szCs w:val="24"/>
              </w:rPr>
            </w:pPr>
            <w:r>
              <w:rPr>
                <w:noProof/>
              </w:rPr>
              <w:t>Desfășurarea unui proces de consultare a partenerilor sociali cu privire la potențialul contractelor colective de muncă și realizarea unui studiu cuprinzător privind rolul potențial al unui contract unic de muncă pentru a aduce o nouă flexibilitate și securitate pe piața forței de muncă din Polonia</w:t>
            </w:r>
          </w:p>
        </w:tc>
      </w:tr>
      <w:tr w:rsidR="00A60DDE" w14:paraId="1216C54D" w14:textId="77777777">
        <w:trPr>
          <w:trHeight w:val="300"/>
          <w:jc w:val="center"/>
        </w:trPr>
        <w:tc>
          <w:tcPr>
            <w:tcW w:w="1335" w:type="dxa"/>
            <w:shd w:val="clear" w:color="auto" w:fill="C6EFCE"/>
            <w:hideMark/>
          </w:tcPr>
          <w:p w14:paraId="1216C549" w14:textId="355478AB" w:rsidR="00A60DDE" w:rsidRDefault="00095506">
            <w:pPr>
              <w:pStyle w:val="P68B1DB1-Normal87"/>
              <w:spacing w:line="240" w:lineRule="auto"/>
              <w:ind w:right="45"/>
              <w:jc w:val="center"/>
              <w:textAlignment w:val="baseline"/>
              <w:rPr>
                <w:noProof/>
                <w:sz w:val="24"/>
                <w:szCs w:val="24"/>
              </w:rPr>
            </w:pPr>
            <w:r>
              <w:rPr>
                <w:noProof/>
              </w:rPr>
              <w:t xml:space="preserve">A65G </w:t>
            </w:r>
          </w:p>
        </w:tc>
        <w:tc>
          <w:tcPr>
            <w:tcW w:w="3960" w:type="dxa"/>
            <w:shd w:val="clear" w:color="auto" w:fill="C6EFCE"/>
            <w:hideMark/>
          </w:tcPr>
          <w:p w14:paraId="1216C54A" w14:textId="4B807E75" w:rsidR="00A60DDE" w:rsidRDefault="00095506">
            <w:pPr>
              <w:pStyle w:val="P68B1DB1-Normal87"/>
              <w:spacing w:line="240" w:lineRule="auto"/>
              <w:textAlignment w:val="baseline"/>
              <w:rPr>
                <w:noProof/>
                <w:sz w:val="24"/>
                <w:szCs w:val="24"/>
              </w:rPr>
            </w:pPr>
            <w:r>
              <w:rPr>
                <w:noProof/>
              </w:rPr>
              <w:t>A4.4 Sporirea flexibilității formelor de ocupare a forței de muncă și introducerea muncii la distanță</w:t>
            </w:r>
          </w:p>
        </w:tc>
        <w:tc>
          <w:tcPr>
            <w:tcW w:w="1245" w:type="dxa"/>
            <w:shd w:val="clear" w:color="auto" w:fill="C6EFCE"/>
            <w:hideMark/>
          </w:tcPr>
          <w:p w14:paraId="1216C54B" w14:textId="63BB611C"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4C" w14:textId="481333D6" w:rsidR="00A60DDE" w:rsidRDefault="00095506">
            <w:pPr>
              <w:pStyle w:val="P68B1DB1-Normal87"/>
              <w:spacing w:line="240" w:lineRule="auto"/>
              <w:textAlignment w:val="baseline"/>
              <w:rPr>
                <w:noProof/>
                <w:sz w:val="24"/>
                <w:szCs w:val="24"/>
              </w:rPr>
            </w:pPr>
            <w:r>
              <w:rPr>
                <w:noProof/>
              </w:rPr>
              <w:t>Intrarea în vigoare a actului de modificare a Codului muncii care introduce instituția permanentă a muncii la distanță în dispozițiile Codului muncii și forme flexibile de organizare a timpului de lucru</w:t>
            </w:r>
          </w:p>
        </w:tc>
      </w:tr>
      <w:tr w:rsidR="00A60DDE" w14:paraId="1216C552" w14:textId="77777777">
        <w:trPr>
          <w:trHeight w:val="300"/>
          <w:jc w:val="center"/>
        </w:trPr>
        <w:tc>
          <w:tcPr>
            <w:tcW w:w="1335" w:type="dxa"/>
            <w:shd w:val="clear" w:color="auto" w:fill="C6EFCE"/>
            <w:hideMark/>
          </w:tcPr>
          <w:p w14:paraId="1216C54E" w14:textId="34DAF445" w:rsidR="00A60DDE" w:rsidRDefault="00095506">
            <w:pPr>
              <w:pStyle w:val="P68B1DB1-Normal87"/>
              <w:spacing w:line="240" w:lineRule="auto"/>
              <w:ind w:right="45"/>
              <w:jc w:val="center"/>
              <w:textAlignment w:val="baseline"/>
              <w:rPr>
                <w:noProof/>
                <w:sz w:val="24"/>
                <w:szCs w:val="24"/>
              </w:rPr>
            </w:pPr>
            <w:r>
              <w:rPr>
                <w:noProof/>
              </w:rPr>
              <w:t xml:space="preserve">A67G </w:t>
            </w:r>
          </w:p>
        </w:tc>
        <w:tc>
          <w:tcPr>
            <w:tcW w:w="3960" w:type="dxa"/>
            <w:shd w:val="clear" w:color="auto" w:fill="C6EFCE"/>
            <w:hideMark/>
          </w:tcPr>
          <w:p w14:paraId="1216C54F" w14:textId="0187A2E3" w:rsidR="00A60DDE" w:rsidRDefault="00095506">
            <w:pPr>
              <w:pStyle w:val="P68B1DB1-Normal87"/>
              <w:spacing w:line="240" w:lineRule="auto"/>
              <w:textAlignment w:val="baseline"/>
              <w:rPr>
                <w:noProof/>
                <w:sz w:val="24"/>
                <w:szCs w:val="24"/>
              </w:rPr>
            </w:pPr>
            <w:r>
              <w:rPr>
                <w:noProof/>
              </w:rPr>
              <w:t>A4.5 Extinderea carierelor și promovarea muncii dincolo de vârsta legală de pensionare</w:t>
            </w:r>
          </w:p>
        </w:tc>
        <w:tc>
          <w:tcPr>
            <w:tcW w:w="1245" w:type="dxa"/>
            <w:shd w:val="clear" w:color="auto" w:fill="C6EFCE"/>
            <w:hideMark/>
          </w:tcPr>
          <w:p w14:paraId="1216C550" w14:textId="46A930A1"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51" w14:textId="23B87847" w:rsidR="00A60DDE" w:rsidRDefault="00095506">
            <w:pPr>
              <w:pStyle w:val="P68B1DB1-Normal87"/>
              <w:spacing w:line="240" w:lineRule="auto"/>
              <w:textAlignment w:val="baseline"/>
              <w:rPr>
                <w:noProof/>
                <w:sz w:val="24"/>
                <w:szCs w:val="24"/>
              </w:rPr>
            </w:pPr>
            <w:r>
              <w:rPr>
                <w:noProof/>
              </w:rPr>
              <w:t>Intrarea în vigoare a actului de modificare a Legii privind impozitul pe venitul persoanelor fizice prin care se pune în aplicare, începând din 2023, o reducere a impozitului pe venitul persoanelor fizice pentru cei care au împlinit vârsta de pensionare, dar continuă să lucreze</w:t>
            </w:r>
          </w:p>
        </w:tc>
      </w:tr>
      <w:tr w:rsidR="00A60DDE" w14:paraId="1216C557" w14:textId="77777777">
        <w:trPr>
          <w:trHeight w:val="300"/>
          <w:jc w:val="center"/>
        </w:trPr>
        <w:tc>
          <w:tcPr>
            <w:tcW w:w="1335" w:type="dxa"/>
            <w:shd w:val="clear" w:color="auto" w:fill="C6EFCE"/>
            <w:hideMark/>
          </w:tcPr>
          <w:p w14:paraId="1216C553" w14:textId="1227BB2E" w:rsidR="00A60DDE" w:rsidRDefault="00095506">
            <w:pPr>
              <w:pStyle w:val="P68B1DB1-Normal87"/>
              <w:spacing w:line="240" w:lineRule="auto"/>
              <w:ind w:right="45"/>
              <w:jc w:val="center"/>
              <w:textAlignment w:val="baseline"/>
              <w:rPr>
                <w:noProof/>
                <w:sz w:val="24"/>
                <w:szCs w:val="24"/>
              </w:rPr>
            </w:pPr>
            <w:r>
              <w:rPr>
                <w:noProof/>
              </w:rPr>
              <w:t xml:space="preserve">B4G </w:t>
            </w:r>
          </w:p>
        </w:tc>
        <w:tc>
          <w:tcPr>
            <w:tcW w:w="3960" w:type="dxa"/>
            <w:shd w:val="clear" w:color="auto" w:fill="C6EFCE"/>
            <w:hideMark/>
          </w:tcPr>
          <w:p w14:paraId="1216C554" w14:textId="18FEC992" w:rsidR="00A60DDE" w:rsidRDefault="00095506">
            <w:pPr>
              <w:pStyle w:val="P68B1DB1-Normal87"/>
              <w:spacing w:line="240" w:lineRule="auto"/>
              <w:textAlignment w:val="baseline"/>
              <w:rPr>
                <w:noProof/>
                <w:sz w:val="24"/>
                <w:szCs w:val="24"/>
              </w:rPr>
            </w:pPr>
            <w:r>
              <w:rPr>
                <w:noProof/>
              </w:rPr>
              <w:t>B1.1 Aer curat și eficiență energetică</w:t>
            </w:r>
          </w:p>
        </w:tc>
        <w:tc>
          <w:tcPr>
            <w:tcW w:w="1245" w:type="dxa"/>
            <w:shd w:val="clear" w:color="auto" w:fill="C6EFCE"/>
            <w:hideMark/>
          </w:tcPr>
          <w:p w14:paraId="1216C555" w14:textId="0CCA4441"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56" w14:textId="76EB05F8" w:rsidR="00A60DDE" w:rsidRDefault="00095506">
            <w:pPr>
              <w:pStyle w:val="P68B1DB1-Normal87"/>
              <w:spacing w:line="240" w:lineRule="auto"/>
              <w:ind w:right="30"/>
              <w:textAlignment w:val="baseline"/>
              <w:rPr>
                <w:noProof/>
                <w:sz w:val="24"/>
                <w:szCs w:val="24"/>
              </w:rPr>
            </w:pPr>
            <w:r>
              <w:rPr>
                <w:noProof/>
              </w:rPr>
              <w:t>Intrarea în vigoare a unei modificări a regulamentului de către ministrul climei și mediului privind standardele de calitate pentru combustibilii solizi</w:t>
            </w:r>
          </w:p>
        </w:tc>
      </w:tr>
      <w:tr w:rsidR="00A60DDE" w14:paraId="1216C55C" w14:textId="77777777">
        <w:trPr>
          <w:trHeight w:val="300"/>
          <w:jc w:val="center"/>
        </w:trPr>
        <w:tc>
          <w:tcPr>
            <w:tcW w:w="1335" w:type="dxa"/>
            <w:shd w:val="clear" w:color="auto" w:fill="C6EFCE"/>
            <w:hideMark/>
          </w:tcPr>
          <w:p w14:paraId="1216C558" w14:textId="1F0D78A7" w:rsidR="00A60DDE" w:rsidRDefault="00095506">
            <w:pPr>
              <w:pStyle w:val="P68B1DB1-Normal87"/>
              <w:spacing w:line="240" w:lineRule="auto"/>
              <w:ind w:right="45"/>
              <w:jc w:val="center"/>
              <w:textAlignment w:val="baseline"/>
              <w:rPr>
                <w:noProof/>
                <w:sz w:val="24"/>
                <w:szCs w:val="24"/>
              </w:rPr>
            </w:pPr>
            <w:r>
              <w:rPr>
                <w:noProof/>
              </w:rPr>
              <w:t xml:space="preserve">C3G </w:t>
            </w:r>
          </w:p>
        </w:tc>
        <w:tc>
          <w:tcPr>
            <w:tcW w:w="3960" w:type="dxa"/>
            <w:shd w:val="clear" w:color="auto" w:fill="C6EFCE"/>
            <w:hideMark/>
          </w:tcPr>
          <w:p w14:paraId="1216C559" w14:textId="094E3974" w:rsidR="00A60DDE" w:rsidRDefault="00095506">
            <w:pPr>
              <w:pStyle w:val="P68B1DB1-Normal87"/>
              <w:spacing w:line="240" w:lineRule="auto"/>
              <w:textAlignment w:val="baseline"/>
              <w:rPr>
                <w:noProof/>
                <w:sz w:val="24"/>
                <w:szCs w:val="24"/>
              </w:rPr>
            </w:pPr>
            <w:r>
              <w:rPr>
                <w:noProof/>
              </w:rPr>
              <w:t>C1.1 Facilitarea dezvoltării infrastructurii de rețea pentru a asigura accesul universal la internetul de mare viteză</w:t>
            </w:r>
          </w:p>
        </w:tc>
        <w:tc>
          <w:tcPr>
            <w:tcW w:w="1245" w:type="dxa"/>
            <w:shd w:val="clear" w:color="auto" w:fill="C6EFCE"/>
            <w:hideMark/>
          </w:tcPr>
          <w:p w14:paraId="1216C55A" w14:textId="6D591011"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5B" w14:textId="3150F48E" w:rsidR="00A60DDE" w:rsidRDefault="00095506">
            <w:pPr>
              <w:pStyle w:val="P68B1DB1-Normal87"/>
              <w:spacing w:line="240" w:lineRule="auto"/>
              <w:textAlignment w:val="baseline"/>
              <w:rPr>
                <w:noProof/>
                <w:sz w:val="24"/>
                <w:szCs w:val="24"/>
              </w:rPr>
            </w:pPr>
            <w:r>
              <w:rPr>
                <w:noProof/>
              </w:rPr>
              <w:t>Modificarea Regulamentului privind punctul unic de informare</w:t>
            </w:r>
          </w:p>
        </w:tc>
      </w:tr>
      <w:tr w:rsidR="00A60DDE" w14:paraId="1216C561" w14:textId="77777777">
        <w:trPr>
          <w:trHeight w:val="300"/>
          <w:jc w:val="center"/>
        </w:trPr>
        <w:tc>
          <w:tcPr>
            <w:tcW w:w="1335" w:type="dxa"/>
            <w:shd w:val="clear" w:color="auto" w:fill="C6EFCE"/>
            <w:hideMark/>
          </w:tcPr>
          <w:p w14:paraId="1216C55D" w14:textId="5BC234D4" w:rsidR="00A60DDE" w:rsidRDefault="00095506">
            <w:pPr>
              <w:pStyle w:val="P68B1DB1-Normal87"/>
              <w:spacing w:line="240" w:lineRule="auto"/>
              <w:ind w:right="45"/>
              <w:jc w:val="center"/>
              <w:textAlignment w:val="baseline"/>
              <w:rPr>
                <w:noProof/>
                <w:sz w:val="24"/>
                <w:szCs w:val="24"/>
              </w:rPr>
            </w:pPr>
            <w:r>
              <w:rPr>
                <w:noProof/>
              </w:rPr>
              <w:t xml:space="preserve">C9G </w:t>
            </w:r>
          </w:p>
        </w:tc>
        <w:tc>
          <w:tcPr>
            <w:tcW w:w="3960" w:type="dxa"/>
            <w:shd w:val="clear" w:color="auto" w:fill="C6EFCE"/>
            <w:hideMark/>
          </w:tcPr>
          <w:p w14:paraId="1216C55E" w14:textId="1CC694FC" w:rsidR="00A60DDE" w:rsidRDefault="00095506">
            <w:pPr>
              <w:pStyle w:val="P68B1DB1-Normal87"/>
              <w:spacing w:line="240" w:lineRule="auto"/>
              <w:textAlignment w:val="baseline"/>
              <w:rPr>
                <w:noProof/>
                <w:sz w:val="24"/>
                <w:szCs w:val="24"/>
              </w:rPr>
            </w:pPr>
            <w:r>
              <w:rPr>
                <w:noProof/>
              </w:rPr>
              <w:t>C2.1 Extinderea aplicațiilor digitale în sfera publică, în economie și în societate</w:t>
            </w:r>
          </w:p>
        </w:tc>
        <w:tc>
          <w:tcPr>
            <w:tcW w:w="1245" w:type="dxa"/>
            <w:shd w:val="clear" w:color="auto" w:fill="C6EFCE"/>
            <w:hideMark/>
          </w:tcPr>
          <w:p w14:paraId="1216C55F" w14:textId="16B65EA1"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60" w14:textId="09C2B000" w:rsidR="00A60DDE" w:rsidRDefault="00095506">
            <w:pPr>
              <w:pStyle w:val="P68B1DB1-Normal87"/>
              <w:spacing w:line="240" w:lineRule="auto"/>
              <w:textAlignment w:val="baseline"/>
              <w:rPr>
                <w:noProof/>
                <w:sz w:val="24"/>
                <w:szCs w:val="24"/>
              </w:rPr>
            </w:pPr>
            <w:r>
              <w:rPr>
                <w:noProof/>
              </w:rPr>
              <w:t>Standarde minime obligatorii pentru dotarea tuturor școlilor cu infrastructură digitală pentru a permite utilizarea tehnologiilor digitale în procesul de învățare la un nivel egal în fiecare școală</w:t>
            </w:r>
          </w:p>
        </w:tc>
      </w:tr>
      <w:tr w:rsidR="00A60DDE" w14:paraId="1216C566" w14:textId="77777777">
        <w:trPr>
          <w:trHeight w:val="300"/>
          <w:jc w:val="center"/>
        </w:trPr>
        <w:tc>
          <w:tcPr>
            <w:tcW w:w="1335" w:type="dxa"/>
            <w:shd w:val="clear" w:color="auto" w:fill="C6EFCE"/>
            <w:hideMark/>
          </w:tcPr>
          <w:p w14:paraId="1216C562" w14:textId="03DD9974" w:rsidR="00A60DDE" w:rsidRDefault="00095506">
            <w:pPr>
              <w:pStyle w:val="P68B1DB1-Normal87"/>
              <w:spacing w:line="240" w:lineRule="auto"/>
              <w:ind w:right="45"/>
              <w:jc w:val="center"/>
              <w:textAlignment w:val="baseline"/>
              <w:rPr>
                <w:noProof/>
                <w:sz w:val="24"/>
                <w:szCs w:val="24"/>
              </w:rPr>
            </w:pPr>
            <w:r>
              <w:rPr>
                <w:noProof/>
              </w:rPr>
              <w:t xml:space="preserve">C10G </w:t>
            </w:r>
          </w:p>
        </w:tc>
        <w:tc>
          <w:tcPr>
            <w:tcW w:w="3960" w:type="dxa"/>
            <w:shd w:val="clear" w:color="auto" w:fill="C6EFCE"/>
            <w:hideMark/>
          </w:tcPr>
          <w:p w14:paraId="1216C563" w14:textId="3A5CFF9A" w:rsidR="00A60DDE" w:rsidRDefault="00095506">
            <w:pPr>
              <w:pStyle w:val="P68B1DB1-Normal87"/>
              <w:spacing w:line="240" w:lineRule="auto"/>
              <w:textAlignment w:val="baseline"/>
              <w:rPr>
                <w:noProof/>
                <w:sz w:val="24"/>
                <w:szCs w:val="24"/>
              </w:rPr>
            </w:pPr>
            <w:r>
              <w:rPr>
                <w:noProof/>
              </w:rPr>
              <w:t>C2.1 Extinderea aplicațiilor digitale în sfera publică, în economie și în societate</w:t>
            </w:r>
          </w:p>
        </w:tc>
        <w:tc>
          <w:tcPr>
            <w:tcW w:w="1245" w:type="dxa"/>
            <w:shd w:val="clear" w:color="auto" w:fill="C6EFCE"/>
            <w:hideMark/>
          </w:tcPr>
          <w:p w14:paraId="1216C564" w14:textId="0EB6D281"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65" w14:textId="0CE69D43" w:rsidR="00A60DDE" w:rsidRDefault="00095506">
            <w:pPr>
              <w:pStyle w:val="P68B1DB1-Normal87"/>
              <w:spacing w:line="240" w:lineRule="auto"/>
              <w:textAlignment w:val="baseline"/>
              <w:rPr>
                <w:noProof/>
                <w:sz w:val="24"/>
                <w:szCs w:val="24"/>
              </w:rPr>
            </w:pPr>
            <w:r>
              <w:rPr>
                <w:noProof/>
              </w:rPr>
              <w:t>Intrarea în vigoare a rezoluției Consiliului de Miniștri privind Programul de dezvoltare a competențelor digitale</w:t>
            </w:r>
          </w:p>
        </w:tc>
      </w:tr>
      <w:tr w:rsidR="00A60DDE" w14:paraId="1216C56B" w14:textId="77777777">
        <w:trPr>
          <w:trHeight w:val="300"/>
          <w:jc w:val="center"/>
        </w:trPr>
        <w:tc>
          <w:tcPr>
            <w:tcW w:w="1335" w:type="dxa"/>
            <w:shd w:val="clear" w:color="auto" w:fill="C6EFCE"/>
            <w:hideMark/>
          </w:tcPr>
          <w:p w14:paraId="1216C567" w14:textId="2300BF98" w:rsidR="00A60DDE" w:rsidRDefault="00095506">
            <w:pPr>
              <w:pStyle w:val="P68B1DB1-Normal87"/>
              <w:spacing w:line="240" w:lineRule="auto"/>
              <w:ind w:right="45"/>
              <w:jc w:val="center"/>
              <w:textAlignment w:val="baseline"/>
              <w:rPr>
                <w:noProof/>
                <w:sz w:val="24"/>
                <w:szCs w:val="24"/>
              </w:rPr>
            </w:pPr>
            <w:r>
              <w:rPr>
                <w:noProof/>
              </w:rPr>
              <w:t xml:space="preserve">C16G </w:t>
            </w:r>
          </w:p>
        </w:tc>
        <w:tc>
          <w:tcPr>
            <w:tcW w:w="3960" w:type="dxa"/>
            <w:shd w:val="clear" w:color="auto" w:fill="C6EFCE"/>
            <w:hideMark/>
          </w:tcPr>
          <w:p w14:paraId="1216C568" w14:textId="3BB8C4A7" w:rsidR="00A60DDE" w:rsidRDefault="00095506">
            <w:pPr>
              <w:pStyle w:val="P68B1DB1-Normal87"/>
              <w:spacing w:line="240" w:lineRule="auto"/>
              <w:textAlignment w:val="baseline"/>
              <w:rPr>
                <w:noProof/>
                <w:sz w:val="24"/>
                <w:szCs w:val="24"/>
              </w:rPr>
            </w:pPr>
            <w:r>
              <w:rPr>
                <w:noProof/>
              </w:rPr>
              <w:t>C2.1.3 Competențe electronice</w:t>
            </w:r>
          </w:p>
        </w:tc>
        <w:tc>
          <w:tcPr>
            <w:tcW w:w="1245" w:type="dxa"/>
            <w:shd w:val="clear" w:color="auto" w:fill="C6EFCE"/>
            <w:hideMark/>
          </w:tcPr>
          <w:p w14:paraId="1216C569" w14:textId="4497CD96"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6A" w14:textId="062BBBBB" w:rsidR="00A60DDE" w:rsidRDefault="00095506">
            <w:pPr>
              <w:pStyle w:val="P68B1DB1-Normal87"/>
              <w:spacing w:line="240" w:lineRule="auto"/>
              <w:textAlignment w:val="baseline"/>
              <w:rPr>
                <w:noProof/>
                <w:sz w:val="24"/>
                <w:szCs w:val="24"/>
              </w:rPr>
            </w:pPr>
            <w:r>
              <w:rPr>
                <w:noProof/>
              </w:rPr>
              <w:t>Crearea unui Centru de Dezvoltare a Competențelor Digitale (DCDC)</w:t>
            </w:r>
          </w:p>
        </w:tc>
      </w:tr>
      <w:tr w:rsidR="00A60DDE" w14:paraId="1216C570" w14:textId="77777777">
        <w:trPr>
          <w:trHeight w:val="300"/>
          <w:jc w:val="center"/>
        </w:trPr>
        <w:tc>
          <w:tcPr>
            <w:tcW w:w="1335" w:type="dxa"/>
            <w:shd w:val="clear" w:color="auto" w:fill="C6EFCE"/>
            <w:hideMark/>
          </w:tcPr>
          <w:p w14:paraId="1216C56C" w14:textId="4B5D1D37" w:rsidR="00A60DDE" w:rsidRDefault="00095506">
            <w:pPr>
              <w:pStyle w:val="P68B1DB1-Normal87"/>
              <w:spacing w:line="240" w:lineRule="auto"/>
              <w:ind w:right="45"/>
              <w:jc w:val="center"/>
              <w:textAlignment w:val="baseline"/>
              <w:rPr>
                <w:noProof/>
                <w:sz w:val="24"/>
                <w:szCs w:val="24"/>
              </w:rPr>
            </w:pPr>
            <w:r>
              <w:rPr>
                <w:noProof/>
              </w:rPr>
              <w:t xml:space="preserve">D2G </w:t>
            </w:r>
          </w:p>
        </w:tc>
        <w:tc>
          <w:tcPr>
            <w:tcW w:w="3960" w:type="dxa"/>
            <w:shd w:val="clear" w:color="auto" w:fill="C6EFCE"/>
            <w:hideMark/>
          </w:tcPr>
          <w:p w14:paraId="1216C56D" w14:textId="25334A5E" w:rsidR="00A60DDE" w:rsidRDefault="00095506">
            <w:pPr>
              <w:pStyle w:val="P68B1DB1-Normal87"/>
              <w:spacing w:line="240" w:lineRule="auto"/>
              <w:textAlignment w:val="baseline"/>
              <w:rPr>
                <w:noProof/>
                <w:sz w:val="24"/>
                <w:szCs w:val="24"/>
              </w:rPr>
            </w:pPr>
            <w:r>
              <w:rPr>
                <w:noProof/>
              </w:rPr>
              <w:t>D1.1 Îmbunătățirea eficacității, accesibilității și calității serviciilor de sănătate</w:t>
            </w:r>
          </w:p>
        </w:tc>
        <w:tc>
          <w:tcPr>
            <w:tcW w:w="1245" w:type="dxa"/>
            <w:shd w:val="clear" w:color="auto" w:fill="C6EFCE"/>
            <w:hideMark/>
          </w:tcPr>
          <w:p w14:paraId="1216C56E" w14:textId="516FAEF5"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6F" w14:textId="2A35BC28" w:rsidR="00A60DDE" w:rsidRDefault="00095506">
            <w:pPr>
              <w:pStyle w:val="P68B1DB1-Normal87"/>
              <w:spacing w:line="240" w:lineRule="auto"/>
              <w:textAlignment w:val="baseline"/>
              <w:rPr>
                <w:noProof/>
                <w:sz w:val="24"/>
                <w:szCs w:val="24"/>
              </w:rPr>
            </w:pPr>
            <w:r>
              <w:rPr>
                <w:noProof/>
              </w:rPr>
              <w:t>Intrarea în vigoare a Ordinului președintelui Fondului Național de Sănătate (NFZ) și a actelor juridice respective privind consolidarea asistenței medicale primare și a asistenței medicale coordonate, urmate de dispoziții financiare (inclusiv modificări ale contractelor), care să permită punerea în aplicare la nivel național</w:t>
            </w:r>
          </w:p>
        </w:tc>
      </w:tr>
      <w:tr w:rsidR="00A60DDE" w14:paraId="1216C575" w14:textId="77777777">
        <w:trPr>
          <w:trHeight w:val="300"/>
          <w:jc w:val="center"/>
        </w:trPr>
        <w:tc>
          <w:tcPr>
            <w:tcW w:w="1335" w:type="dxa"/>
            <w:shd w:val="clear" w:color="auto" w:fill="C6EFCE"/>
            <w:hideMark/>
          </w:tcPr>
          <w:p w14:paraId="1216C571" w14:textId="1E799B7A" w:rsidR="00A60DDE" w:rsidRDefault="00095506">
            <w:pPr>
              <w:pStyle w:val="P68B1DB1-Normal87"/>
              <w:spacing w:line="240" w:lineRule="auto"/>
              <w:ind w:right="45"/>
              <w:jc w:val="center"/>
              <w:textAlignment w:val="baseline"/>
              <w:rPr>
                <w:noProof/>
                <w:sz w:val="24"/>
                <w:szCs w:val="24"/>
              </w:rPr>
            </w:pPr>
            <w:r>
              <w:rPr>
                <w:noProof/>
              </w:rPr>
              <w:t xml:space="preserve">D3G </w:t>
            </w:r>
          </w:p>
        </w:tc>
        <w:tc>
          <w:tcPr>
            <w:tcW w:w="3960" w:type="dxa"/>
            <w:shd w:val="clear" w:color="auto" w:fill="C6EFCE"/>
            <w:hideMark/>
          </w:tcPr>
          <w:p w14:paraId="1216C572" w14:textId="17474BCA" w:rsidR="00A60DDE" w:rsidRDefault="00095506">
            <w:pPr>
              <w:pStyle w:val="P68B1DB1-Normal87"/>
              <w:spacing w:line="240" w:lineRule="auto"/>
              <w:textAlignment w:val="baseline"/>
              <w:rPr>
                <w:noProof/>
                <w:sz w:val="24"/>
                <w:szCs w:val="24"/>
              </w:rPr>
            </w:pPr>
            <w:r>
              <w:rPr>
                <w:noProof/>
              </w:rPr>
              <w:t>D1.1 Îmbunătățirea eficacității, accesibilității și calității serviciilor de sănătate</w:t>
            </w:r>
          </w:p>
        </w:tc>
        <w:tc>
          <w:tcPr>
            <w:tcW w:w="1245" w:type="dxa"/>
            <w:shd w:val="clear" w:color="auto" w:fill="C6EFCE"/>
            <w:hideMark/>
          </w:tcPr>
          <w:p w14:paraId="1216C573" w14:textId="3D89257B"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74" w14:textId="6A8007AC" w:rsidR="00A60DDE" w:rsidRDefault="00095506">
            <w:pPr>
              <w:pStyle w:val="P68B1DB1-Normal87"/>
              <w:spacing w:line="240" w:lineRule="auto"/>
              <w:textAlignment w:val="baseline"/>
              <w:rPr>
                <w:noProof/>
                <w:sz w:val="24"/>
                <w:szCs w:val="24"/>
              </w:rPr>
            </w:pPr>
            <w:r>
              <w:rPr>
                <w:noProof/>
              </w:rPr>
              <w:t>Intrarea în vigoare a Legii privind calitatea asistenței medicale și siguranța pacienților, împreună cu regulamentele de punere în aplicare necesare</w:t>
            </w:r>
          </w:p>
        </w:tc>
      </w:tr>
      <w:tr w:rsidR="00A60DDE" w14:paraId="1216C57A" w14:textId="77777777">
        <w:trPr>
          <w:trHeight w:val="300"/>
          <w:jc w:val="center"/>
        </w:trPr>
        <w:tc>
          <w:tcPr>
            <w:tcW w:w="1335" w:type="dxa"/>
            <w:shd w:val="clear" w:color="auto" w:fill="C6EFCE"/>
            <w:hideMark/>
          </w:tcPr>
          <w:p w14:paraId="1216C576" w14:textId="3545776C" w:rsidR="00A60DDE" w:rsidRDefault="00095506">
            <w:pPr>
              <w:pStyle w:val="P68B1DB1-Normal87"/>
              <w:spacing w:line="240" w:lineRule="auto"/>
              <w:ind w:right="45"/>
              <w:jc w:val="center"/>
              <w:textAlignment w:val="baseline"/>
              <w:rPr>
                <w:noProof/>
                <w:sz w:val="24"/>
                <w:szCs w:val="24"/>
              </w:rPr>
            </w:pPr>
            <w:r>
              <w:rPr>
                <w:noProof/>
              </w:rPr>
              <w:t xml:space="preserve">D4G </w:t>
            </w:r>
          </w:p>
        </w:tc>
        <w:tc>
          <w:tcPr>
            <w:tcW w:w="3960" w:type="dxa"/>
            <w:shd w:val="clear" w:color="auto" w:fill="C6EFCE"/>
            <w:hideMark/>
          </w:tcPr>
          <w:p w14:paraId="1216C577" w14:textId="5A5202EE" w:rsidR="00A60DDE" w:rsidRDefault="00095506">
            <w:pPr>
              <w:pStyle w:val="P68B1DB1-Normal87"/>
              <w:spacing w:line="240" w:lineRule="auto"/>
              <w:textAlignment w:val="baseline"/>
              <w:rPr>
                <w:noProof/>
                <w:sz w:val="24"/>
                <w:szCs w:val="24"/>
              </w:rPr>
            </w:pPr>
            <w:r>
              <w:rPr>
                <w:noProof/>
              </w:rPr>
              <w:t>D1.1 Îmbunătățirea eficacității, accesibilității și calității serviciilor de sănătate</w:t>
            </w:r>
          </w:p>
        </w:tc>
        <w:tc>
          <w:tcPr>
            <w:tcW w:w="1245" w:type="dxa"/>
            <w:shd w:val="clear" w:color="auto" w:fill="C6EFCE"/>
            <w:hideMark/>
          </w:tcPr>
          <w:p w14:paraId="1216C578" w14:textId="1026DA16"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79" w14:textId="4CB333B7" w:rsidR="00A60DDE" w:rsidRDefault="00095506">
            <w:pPr>
              <w:pStyle w:val="P68B1DB1-Normal87"/>
              <w:spacing w:line="240" w:lineRule="auto"/>
              <w:textAlignment w:val="baseline"/>
              <w:rPr>
                <w:noProof/>
                <w:sz w:val="24"/>
                <w:szCs w:val="24"/>
              </w:rPr>
            </w:pPr>
            <w:r>
              <w:rPr>
                <w:noProof/>
              </w:rPr>
              <w:t>Intrarea în vigoare a Legii privind rețeaua oncologică națională și a actelor juridice relevante de stabilire a normelor de funcționare a rețelei prin introducerea unei noi structuri și a unui nou model de gestionare a îngrijirii oncologice</w:t>
            </w:r>
          </w:p>
        </w:tc>
      </w:tr>
      <w:tr w:rsidR="00A60DDE" w14:paraId="1216C57F" w14:textId="77777777">
        <w:trPr>
          <w:trHeight w:val="300"/>
          <w:jc w:val="center"/>
        </w:trPr>
        <w:tc>
          <w:tcPr>
            <w:tcW w:w="1335" w:type="dxa"/>
            <w:shd w:val="clear" w:color="auto" w:fill="C6EFCE"/>
            <w:hideMark/>
          </w:tcPr>
          <w:p w14:paraId="1216C57B" w14:textId="0355813D" w:rsidR="00A60DDE" w:rsidRDefault="00095506">
            <w:pPr>
              <w:pStyle w:val="P68B1DB1-Normal87"/>
              <w:spacing w:line="240" w:lineRule="auto"/>
              <w:ind w:right="45"/>
              <w:jc w:val="center"/>
              <w:textAlignment w:val="baseline"/>
              <w:rPr>
                <w:noProof/>
                <w:sz w:val="24"/>
                <w:szCs w:val="24"/>
              </w:rPr>
            </w:pPr>
            <w:r>
              <w:rPr>
                <w:noProof/>
              </w:rPr>
              <w:t xml:space="preserve">D9G </w:t>
            </w:r>
          </w:p>
        </w:tc>
        <w:tc>
          <w:tcPr>
            <w:tcW w:w="3960" w:type="dxa"/>
            <w:shd w:val="clear" w:color="auto" w:fill="C6EFCE"/>
            <w:hideMark/>
          </w:tcPr>
          <w:p w14:paraId="1216C57C" w14:textId="06392BCD" w:rsidR="00A60DDE" w:rsidRDefault="00095506">
            <w:pPr>
              <w:pStyle w:val="P68B1DB1-Normal87"/>
              <w:spacing w:line="240" w:lineRule="auto"/>
              <w:textAlignment w:val="baseline"/>
              <w:rPr>
                <w:noProof/>
                <w:sz w:val="24"/>
                <w:szCs w:val="24"/>
              </w:rPr>
            </w:pPr>
            <w:r>
              <w:rPr>
                <w:noProof/>
              </w:rPr>
              <w:t>D1.1.1 Modernizarea centrelor de îngrijire foarte specializate și a altor furnizori de servicii medicale</w:t>
            </w:r>
          </w:p>
        </w:tc>
        <w:tc>
          <w:tcPr>
            <w:tcW w:w="1245" w:type="dxa"/>
            <w:shd w:val="clear" w:color="auto" w:fill="C6EFCE"/>
            <w:hideMark/>
          </w:tcPr>
          <w:p w14:paraId="1216C57D" w14:textId="533AC1BA"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7E" w14:textId="11D3D258" w:rsidR="00A60DDE" w:rsidRDefault="00095506">
            <w:pPr>
              <w:pStyle w:val="P68B1DB1-Normal87"/>
              <w:spacing w:line="240" w:lineRule="auto"/>
              <w:textAlignment w:val="baseline"/>
              <w:rPr>
                <w:noProof/>
                <w:sz w:val="24"/>
                <w:szCs w:val="24"/>
              </w:rPr>
            </w:pPr>
            <w:r>
              <w:rPr>
                <w:noProof/>
              </w:rPr>
              <w:t>Intrarea în vigoare a unui act juridic privind lista criteriilor precise care califică spitalele în categorii specifice pentru a contribui la definirea nevoilor de investiții rezultate în urma reformei</w:t>
            </w:r>
          </w:p>
        </w:tc>
      </w:tr>
      <w:tr w:rsidR="00A60DDE" w14:paraId="1216C584" w14:textId="77777777">
        <w:trPr>
          <w:trHeight w:val="300"/>
          <w:jc w:val="center"/>
        </w:trPr>
        <w:tc>
          <w:tcPr>
            <w:tcW w:w="1335" w:type="dxa"/>
            <w:shd w:val="clear" w:color="auto" w:fill="C6EFCE"/>
            <w:hideMark/>
          </w:tcPr>
          <w:p w14:paraId="1216C580" w14:textId="2117BDC1" w:rsidR="00A60DDE" w:rsidRDefault="00095506">
            <w:pPr>
              <w:pStyle w:val="P68B1DB1-Normal87"/>
              <w:spacing w:line="240" w:lineRule="auto"/>
              <w:ind w:right="45"/>
              <w:jc w:val="center"/>
              <w:textAlignment w:val="baseline"/>
              <w:rPr>
                <w:noProof/>
                <w:sz w:val="24"/>
                <w:szCs w:val="24"/>
              </w:rPr>
            </w:pPr>
            <w:r>
              <w:rPr>
                <w:noProof/>
              </w:rPr>
              <w:t xml:space="preserve">D25G </w:t>
            </w:r>
          </w:p>
        </w:tc>
        <w:tc>
          <w:tcPr>
            <w:tcW w:w="3960" w:type="dxa"/>
            <w:shd w:val="clear" w:color="auto" w:fill="C6EFCE"/>
            <w:hideMark/>
          </w:tcPr>
          <w:p w14:paraId="1216C581" w14:textId="310AA0D9" w:rsidR="00A60DDE" w:rsidRDefault="00095506">
            <w:pPr>
              <w:pStyle w:val="P68B1DB1-Normal87"/>
              <w:spacing w:line="240" w:lineRule="auto"/>
              <w:textAlignment w:val="baseline"/>
              <w:rPr>
                <w:noProof/>
                <w:sz w:val="24"/>
                <w:szCs w:val="24"/>
              </w:rPr>
            </w:pPr>
            <w:r>
              <w:rPr>
                <w:noProof/>
              </w:rPr>
              <w:t xml:space="preserve">D2.1 Crearea condițiilor adecvate pentru creșterea numărului de personal medical </w:t>
            </w:r>
          </w:p>
        </w:tc>
        <w:tc>
          <w:tcPr>
            <w:tcW w:w="1245" w:type="dxa"/>
            <w:shd w:val="clear" w:color="auto" w:fill="C6EFCE"/>
            <w:hideMark/>
          </w:tcPr>
          <w:p w14:paraId="1216C582" w14:textId="5537A827"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83" w14:textId="21D18FFE" w:rsidR="00A60DDE" w:rsidRDefault="00095506">
            <w:pPr>
              <w:pStyle w:val="P68B1DB1-Normal87"/>
              <w:spacing w:line="240" w:lineRule="auto"/>
              <w:textAlignment w:val="baseline"/>
              <w:rPr>
                <w:noProof/>
                <w:sz w:val="24"/>
                <w:szCs w:val="24"/>
              </w:rPr>
            </w:pPr>
            <w:r>
              <w:rPr>
                <w:noProof/>
              </w:rPr>
              <w:t>Intrarea în vigoare a Legii legislative privind profesia de paramedic și autoguvernarea paramedicilor, care introduce posibilitatea de a crea programe de al doilea ciclu în domeniul pregătirii pentru profesia de paramedic</w:t>
            </w:r>
          </w:p>
        </w:tc>
      </w:tr>
      <w:tr w:rsidR="00A60DDE" w14:paraId="1216C589" w14:textId="77777777">
        <w:trPr>
          <w:trHeight w:val="300"/>
          <w:jc w:val="center"/>
        </w:trPr>
        <w:tc>
          <w:tcPr>
            <w:tcW w:w="1335" w:type="dxa"/>
            <w:shd w:val="clear" w:color="auto" w:fill="C6EFCE"/>
            <w:hideMark/>
          </w:tcPr>
          <w:p w14:paraId="1216C585" w14:textId="2DAE08CB" w:rsidR="00A60DDE" w:rsidRDefault="00095506">
            <w:pPr>
              <w:pStyle w:val="P68B1DB1-Normal87"/>
              <w:spacing w:line="240" w:lineRule="auto"/>
              <w:ind w:right="45"/>
              <w:jc w:val="center"/>
              <w:textAlignment w:val="baseline"/>
              <w:rPr>
                <w:noProof/>
                <w:sz w:val="24"/>
                <w:szCs w:val="24"/>
              </w:rPr>
            </w:pPr>
            <w:r>
              <w:rPr>
                <w:noProof/>
              </w:rPr>
              <w:t xml:space="preserve">D27G </w:t>
            </w:r>
          </w:p>
        </w:tc>
        <w:tc>
          <w:tcPr>
            <w:tcW w:w="3960" w:type="dxa"/>
            <w:shd w:val="clear" w:color="auto" w:fill="C6EFCE"/>
            <w:hideMark/>
          </w:tcPr>
          <w:p w14:paraId="1216C586" w14:textId="376F079F" w:rsidR="00A60DDE" w:rsidRDefault="00095506">
            <w:pPr>
              <w:pStyle w:val="P68B1DB1-Normal87"/>
              <w:spacing w:line="240" w:lineRule="auto"/>
              <w:textAlignment w:val="baseline"/>
              <w:rPr>
                <w:noProof/>
                <w:sz w:val="24"/>
                <w:szCs w:val="24"/>
              </w:rPr>
            </w:pPr>
            <w:r>
              <w:rPr>
                <w:noProof/>
              </w:rPr>
              <w:t xml:space="preserve">D2.1 Crearea condițiilor adecvate pentru creșterea numărului de personal medical </w:t>
            </w:r>
          </w:p>
        </w:tc>
        <w:tc>
          <w:tcPr>
            <w:tcW w:w="1245" w:type="dxa"/>
            <w:shd w:val="clear" w:color="auto" w:fill="C6EFCE"/>
            <w:hideMark/>
          </w:tcPr>
          <w:p w14:paraId="1216C587" w14:textId="3179664D"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88" w14:textId="7F8DB4CC" w:rsidR="00A60DDE" w:rsidRDefault="00095506">
            <w:pPr>
              <w:pStyle w:val="P68B1DB1-Normal87"/>
              <w:spacing w:line="240" w:lineRule="auto"/>
              <w:textAlignment w:val="baseline"/>
              <w:rPr>
                <w:noProof/>
                <w:sz w:val="24"/>
                <w:szCs w:val="24"/>
              </w:rPr>
            </w:pPr>
            <w:r>
              <w:rPr>
                <w:noProof/>
              </w:rPr>
              <w:t>Intrarea în vigoare a actelor juridice care vizează îmbunătățirea atractivității locurilor de muncă din domeniul medical și a condițiilor de muncă ale lucrătorilor din domeniul medical</w:t>
            </w:r>
          </w:p>
        </w:tc>
      </w:tr>
      <w:tr w:rsidR="00A60DDE" w14:paraId="1216C58E" w14:textId="77777777">
        <w:trPr>
          <w:trHeight w:val="300"/>
          <w:jc w:val="center"/>
        </w:trPr>
        <w:tc>
          <w:tcPr>
            <w:tcW w:w="1335" w:type="dxa"/>
            <w:shd w:val="clear" w:color="auto" w:fill="C6EFCE"/>
            <w:hideMark/>
          </w:tcPr>
          <w:p w14:paraId="1216C58A" w14:textId="06FF5F2D" w:rsidR="00A60DDE" w:rsidRDefault="00095506">
            <w:pPr>
              <w:pStyle w:val="P68B1DB1-Normal87"/>
              <w:spacing w:line="240" w:lineRule="auto"/>
              <w:ind w:right="45"/>
              <w:jc w:val="center"/>
              <w:textAlignment w:val="baseline"/>
              <w:rPr>
                <w:noProof/>
                <w:sz w:val="24"/>
                <w:szCs w:val="24"/>
              </w:rPr>
            </w:pPr>
            <w:r>
              <w:rPr>
                <w:noProof/>
              </w:rPr>
              <w:t xml:space="preserve">D32G </w:t>
            </w:r>
          </w:p>
        </w:tc>
        <w:tc>
          <w:tcPr>
            <w:tcW w:w="3960" w:type="dxa"/>
            <w:shd w:val="clear" w:color="auto" w:fill="C6EFCE"/>
            <w:hideMark/>
          </w:tcPr>
          <w:p w14:paraId="1216C58B" w14:textId="19566EF8" w:rsidR="00A60DDE" w:rsidRDefault="00095506">
            <w:pPr>
              <w:pStyle w:val="P68B1DB1-Normal87"/>
              <w:spacing w:line="240" w:lineRule="auto"/>
              <w:textAlignment w:val="baseline"/>
              <w:rPr>
                <w:noProof/>
                <w:sz w:val="24"/>
                <w:szCs w:val="24"/>
              </w:rPr>
            </w:pPr>
            <w:r>
              <w:rPr>
                <w:noProof/>
              </w:rPr>
              <w:t>D3.1 Creșterea eficienței și calității sistemului de sănătate prin sprijinirea potențialului polonez de cercetare și dezvoltare în domeniul științelor medicale și al științelor sănătății</w:t>
            </w:r>
          </w:p>
        </w:tc>
        <w:tc>
          <w:tcPr>
            <w:tcW w:w="1245" w:type="dxa"/>
            <w:shd w:val="clear" w:color="auto" w:fill="C6EFCE"/>
            <w:hideMark/>
          </w:tcPr>
          <w:p w14:paraId="1216C58C" w14:textId="021E0878"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8D" w14:textId="7A5DF8C8" w:rsidR="00A60DDE" w:rsidRDefault="00095506">
            <w:pPr>
              <w:pStyle w:val="P68B1DB1-Normal87"/>
              <w:spacing w:line="240" w:lineRule="auto"/>
              <w:textAlignment w:val="baseline"/>
              <w:rPr>
                <w:noProof/>
                <w:sz w:val="24"/>
                <w:szCs w:val="24"/>
              </w:rPr>
            </w:pPr>
            <w:r>
              <w:rPr>
                <w:noProof/>
              </w:rPr>
              <w:t>Intrarea în vigoare a Legii privind studiile clinice intervenționale cu medicamente de uz uman</w:t>
            </w:r>
          </w:p>
        </w:tc>
      </w:tr>
      <w:tr w:rsidR="00A60DDE" w14:paraId="1216C593" w14:textId="77777777">
        <w:trPr>
          <w:trHeight w:val="300"/>
          <w:jc w:val="center"/>
        </w:trPr>
        <w:tc>
          <w:tcPr>
            <w:tcW w:w="1335" w:type="dxa"/>
            <w:shd w:val="clear" w:color="auto" w:fill="C6EFCE"/>
            <w:hideMark/>
          </w:tcPr>
          <w:p w14:paraId="1216C58F" w14:textId="5C5900F1" w:rsidR="00A60DDE" w:rsidRDefault="00095506">
            <w:pPr>
              <w:pStyle w:val="P68B1DB1-Normal87"/>
              <w:spacing w:line="240" w:lineRule="auto"/>
              <w:ind w:right="45"/>
              <w:jc w:val="center"/>
              <w:textAlignment w:val="baseline"/>
              <w:rPr>
                <w:noProof/>
                <w:sz w:val="24"/>
                <w:szCs w:val="24"/>
              </w:rPr>
            </w:pPr>
            <w:r>
              <w:rPr>
                <w:noProof/>
              </w:rPr>
              <w:t xml:space="preserve">D33G </w:t>
            </w:r>
          </w:p>
        </w:tc>
        <w:tc>
          <w:tcPr>
            <w:tcW w:w="3960" w:type="dxa"/>
            <w:shd w:val="clear" w:color="auto" w:fill="C6EFCE"/>
            <w:hideMark/>
          </w:tcPr>
          <w:p w14:paraId="1216C590" w14:textId="7B5E9BBC" w:rsidR="00A60DDE" w:rsidRDefault="00095506">
            <w:pPr>
              <w:pStyle w:val="P68B1DB1-Normal87"/>
              <w:spacing w:line="240" w:lineRule="auto"/>
              <w:textAlignment w:val="baseline"/>
              <w:rPr>
                <w:noProof/>
                <w:sz w:val="24"/>
                <w:szCs w:val="24"/>
              </w:rPr>
            </w:pPr>
            <w:r>
              <w:rPr>
                <w:noProof/>
              </w:rPr>
              <w:t xml:space="preserve">D3.1 Creșterea eficienței și calității sistemului de sănătate prin sprijinirea potențialului polonez de cercetare și dezvoltare în domeniul științelor medicale și al științelor sănătății </w:t>
            </w:r>
          </w:p>
        </w:tc>
        <w:tc>
          <w:tcPr>
            <w:tcW w:w="1245" w:type="dxa"/>
            <w:shd w:val="clear" w:color="auto" w:fill="C6EFCE"/>
            <w:hideMark/>
          </w:tcPr>
          <w:p w14:paraId="1216C591" w14:textId="6CD2D798" w:rsidR="00A60DDE" w:rsidRDefault="00095506">
            <w:pPr>
              <w:pStyle w:val="P68B1DB1-Normal87"/>
              <w:spacing w:line="240" w:lineRule="auto"/>
              <w:ind w:left="60"/>
              <w:textAlignment w:val="baseline"/>
              <w:rPr>
                <w:noProof/>
                <w:sz w:val="24"/>
                <w:szCs w:val="24"/>
              </w:rPr>
            </w:pPr>
            <w:r>
              <w:rPr>
                <w:noProof/>
              </w:rPr>
              <w:t xml:space="preserve">Etapa de referință </w:t>
            </w:r>
          </w:p>
        </w:tc>
        <w:tc>
          <w:tcPr>
            <w:tcW w:w="3915" w:type="dxa"/>
            <w:shd w:val="clear" w:color="auto" w:fill="C6EFCE"/>
            <w:hideMark/>
          </w:tcPr>
          <w:p w14:paraId="1216C592" w14:textId="23EBCF27" w:rsidR="00A60DDE" w:rsidRDefault="00095506">
            <w:pPr>
              <w:pStyle w:val="P68B1DB1-Normal87"/>
              <w:spacing w:line="240" w:lineRule="auto"/>
              <w:textAlignment w:val="baseline"/>
              <w:rPr>
                <w:noProof/>
                <w:sz w:val="24"/>
                <w:szCs w:val="24"/>
              </w:rPr>
            </w:pPr>
            <w:r>
              <w:rPr>
                <w:noProof/>
              </w:rPr>
              <w:t>Intrarea în vigoare sau punerea în aplicare a acțiunilor-cheie specificate în Planul strategic al guvernului pentru dezvoltarea sectorului biomedical, în conformitate cu calendarul stabilit în planul strategic</w:t>
            </w:r>
          </w:p>
        </w:tc>
      </w:tr>
      <w:tr w:rsidR="00A60DDE" w14:paraId="1216C598" w14:textId="77777777">
        <w:trPr>
          <w:trHeight w:val="300"/>
          <w:jc w:val="center"/>
        </w:trPr>
        <w:tc>
          <w:tcPr>
            <w:tcW w:w="1335" w:type="dxa"/>
            <w:shd w:val="clear" w:color="auto" w:fill="C6EFCE"/>
            <w:hideMark/>
          </w:tcPr>
          <w:p w14:paraId="1216C594" w14:textId="2AEA3108" w:rsidR="00A60DDE" w:rsidRDefault="00095506">
            <w:pPr>
              <w:pStyle w:val="P68B1DB1-Normal87"/>
              <w:spacing w:line="240" w:lineRule="auto"/>
              <w:ind w:right="45"/>
              <w:jc w:val="center"/>
              <w:textAlignment w:val="baseline"/>
              <w:rPr>
                <w:noProof/>
                <w:sz w:val="24"/>
                <w:szCs w:val="24"/>
              </w:rPr>
            </w:pPr>
            <w:r>
              <w:rPr>
                <w:noProof/>
              </w:rPr>
              <w:t xml:space="preserve">D34G </w:t>
            </w:r>
          </w:p>
        </w:tc>
        <w:tc>
          <w:tcPr>
            <w:tcW w:w="3960" w:type="dxa"/>
            <w:shd w:val="clear" w:color="auto" w:fill="C6EFCE"/>
            <w:hideMark/>
          </w:tcPr>
          <w:p w14:paraId="1216C595" w14:textId="60EEBEFB" w:rsidR="00A60DDE" w:rsidRDefault="00095506">
            <w:pPr>
              <w:pStyle w:val="P68B1DB1-Normal87"/>
              <w:spacing w:line="240" w:lineRule="auto"/>
              <w:textAlignment w:val="baseline"/>
              <w:rPr>
                <w:noProof/>
                <w:sz w:val="24"/>
                <w:szCs w:val="24"/>
              </w:rPr>
            </w:pPr>
            <w:r>
              <w:rPr>
                <w:noProof/>
              </w:rPr>
              <w:t>D3.1.1 Cercetarea în sectorul biomedical și înființarea sau dezvoltarea de centre de sprijin pentru studiile clinice</w:t>
            </w:r>
          </w:p>
        </w:tc>
        <w:tc>
          <w:tcPr>
            <w:tcW w:w="1245" w:type="dxa"/>
            <w:shd w:val="clear" w:color="auto" w:fill="C6EFCE"/>
            <w:hideMark/>
          </w:tcPr>
          <w:p w14:paraId="1216C596" w14:textId="27A13988" w:rsidR="00A60DDE" w:rsidRDefault="00095506">
            <w:pPr>
              <w:pStyle w:val="P68B1DB1-Normal87"/>
              <w:spacing w:line="240" w:lineRule="auto"/>
              <w:ind w:left="60"/>
              <w:textAlignment w:val="baseline"/>
              <w:rPr>
                <w:noProof/>
                <w:sz w:val="24"/>
                <w:szCs w:val="24"/>
              </w:rPr>
            </w:pPr>
            <w:r>
              <w:rPr>
                <w:noProof/>
              </w:rPr>
              <w:t xml:space="preserve">Etapa de referință </w:t>
            </w:r>
          </w:p>
        </w:tc>
        <w:tc>
          <w:tcPr>
            <w:tcW w:w="3915" w:type="dxa"/>
            <w:shd w:val="clear" w:color="auto" w:fill="C6EFCE"/>
            <w:hideMark/>
          </w:tcPr>
          <w:p w14:paraId="1216C597" w14:textId="2876C158" w:rsidR="00A60DDE" w:rsidRDefault="00095506">
            <w:pPr>
              <w:pStyle w:val="P68B1DB1-Normal87"/>
              <w:spacing w:line="240" w:lineRule="auto"/>
              <w:textAlignment w:val="baseline"/>
              <w:rPr>
                <w:noProof/>
                <w:sz w:val="24"/>
                <w:szCs w:val="24"/>
              </w:rPr>
            </w:pPr>
            <w:r>
              <w:rPr>
                <w:noProof/>
              </w:rPr>
              <w:t>Punerea în funcțiune a unei platforme electronice pentru Rețeaua poloneză de studii clinice</w:t>
            </w:r>
          </w:p>
        </w:tc>
      </w:tr>
      <w:tr w:rsidR="00A60DDE" w14:paraId="1216C59D" w14:textId="77777777">
        <w:trPr>
          <w:trHeight w:val="300"/>
          <w:jc w:val="center"/>
        </w:trPr>
        <w:tc>
          <w:tcPr>
            <w:tcW w:w="1335" w:type="dxa"/>
            <w:shd w:val="clear" w:color="auto" w:fill="C6EFCE"/>
            <w:hideMark/>
          </w:tcPr>
          <w:p w14:paraId="1216C599" w14:textId="0F1A03A2" w:rsidR="00A60DDE" w:rsidRDefault="00095506">
            <w:pPr>
              <w:pStyle w:val="P68B1DB1-Normal87"/>
              <w:spacing w:line="240" w:lineRule="auto"/>
              <w:ind w:right="45"/>
              <w:jc w:val="center"/>
              <w:textAlignment w:val="baseline"/>
              <w:rPr>
                <w:noProof/>
                <w:sz w:val="24"/>
                <w:szCs w:val="24"/>
              </w:rPr>
            </w:pPr>
            <w:r>
              <w:rPr>
                <w:noProof/>
              </w:rPr>
              <w:t xml:space="preserve">E15G </w:t>
            </w:r>
          </w:p>
        </w:tc>
        <w:tc>
          <w:tcPr>
            <w:tcW w:w="3960" w:type="dxa"/>
            <w:shd w:val="clear" w:color="auto" w:fill="C6EFCE"/>
            <w:hideMark/>
          </w:tcPr>
          <w:p w14:paraId="1216C59A" w14:textId="424489CF" w:rsidR="00A60DDE" w:rsidRDefault="00095506">
            <w:pPr>
              <w:pStyle w:val="P68B1DB1-Normal87"/>
              <w:spacing w:line="240" w:lineRule="auto"/>
              <w:textAlignment w:val="baseline"/>
              <w:rPr>
                <w:noProof/>
                <w:sz w:val="24"/>
                <w:szCs w:val="24"/>
              </w:rPr>
            </w:pPr>
            <w:r>
              <w:rPr>
                <w:noProof/>
              </w:rPr>
              <w:t xml:space="preserve">E2.1 Creșterea competitivității sectorului feroviar </w:t>
            </w:r>
          </w:p>
        </w:tc>
        <w:tc>
          <w:tcPr>
            <w:tcW w:w="1245" w:type="dxa"/>
            <w:shd w:val="clear" w:color="auto" w:fill="C6EFCE"/>
            <w:hideMark/>
          </w:tcPr>
          <w:p w14:paraId="1216C59B" w14:textId="526683D3" w:rsidR="00A60DDE" w:rsidRDefault="00095506">
            <w:pPr>
              <w:pStyle w:val="P68B1DB1-Normal87"/>
              <w:spacing w:line="240" w:lineRule="auto"/>
              <w:ind w:left="60"/>
              <w:textAlignment w:val="baseline"/>
              <w:rPr>
                <w:noProof/>
                <w:sz w:val="24"/>
                <w:szCs w:val="24"/>
              </w:rPr>
            </w:pPr>
            <w:r>
              <w:rPr>
                <w:noProof/>
              </w:rPr>
              <w:t xml:space="preserve">Etapa de referință </w:t>
            </w:r>
          </w:p>
        </w:tc>
        <w:tc>
          <w:tcPr>
            <w:tcW w:w="3915" w:type="dxa"/>
            <w:shd w:val="clear" w:color="auto" w:fill="C6EFCE"/>
            <w:hideMark/>
          </w:tcPr>
          <w:p w14:paraId="1216C59C" w14:textId="6EE40CF4" w:rsidR="00A60DDE" w:rsidRDefault="00095506">
            <w:pPr>
              <w:pStyle w:val="P68B1DB1-Normal87"/>
              <w:spacing w:line="240" w:lineRule="auto"/>
              <w:textAlignment w:val="baseline"/>
              <w:rPr>
                <w:noProof/>
                <w:sz w:val="24"/>
                <w:szCs w:val="24"/>
              </w:rPr>
            </w:pPr>
            <w:r>
              <w:rPr>
                <w:noProof/>
              </w:rPr>
              <w:t>Intrarea în vigoare a unui act de modificare a Legii privind transportul feroviar care asigură reziliența operatorilor feroviari. Decizie ministerială privind stabilirea priorităților pentru transportul intermodal și eliminarea blocajelor pentru promovarea capacității căilor ferate</w:t>
            </w:r>
          </w:p>
        </w:tc>
      </w:tr>
      <w:tr w:rsidR="00A60DDE" w14:paraId="1216C5A2" w14:textId="77777777">
        <w:trPr>
          <w:trHeight w:val="300"/>
          <w:jc w:val="center"/>
        </w:trPr>
        <w:tc>
          <w:tcPr>
            <w:tcW w:w="1335" w:type="dxa"/>
            <w:shd w:val="clear" w:color="auto" w:fill="C6EFCE"/>
            <w:hideMark/>
          </w:tcPr>
          <w:p w14:paraId="1216C59E" w14:textId="764C7C57" w:rsidR="00A60DDE" w:rsidRDefault="00095506">
            <w:pPr>
              <w:pStyle w:val="P68B1DB1-Normal87"/>
              <w:spacing w:line="240" w:lineRule="auto"/>
              <w:ind w:right="45"/>
              <w:jc w:val="center"/>
              <w:textAlignment w:val="baseline"/>
              <w:rPr>
                <w:noProof/>
                <w:sz w:val="24"/>
                <w:szCs w:val="24"/>
              </w:rPr>
            </w:pPr>
            <w:r>
              <w:rPr>
                <w:noProof/>
              </w:rPr>
              <w:t xml:space="preserve">F4G </w:t>
            </w:r>
          </w:p>
        </w:tc>
        <w:tc>
          <w:tcPr>
            <w:tcW w:w="3960" w:type="dxa"/>
            <w:shd w:val="clear" w:color="auto" w:fill="C6EFCE"/>
            <w:hideMark/>
          </w:tcPr>
          <w:p w14:paraId="1216C59F" w14:textId="2CA20E31" w:rsidR="00A60DDE" w:rsidRDefault="00095506">
            <w:pPr>
              <w:pStyle w:val="P68B1DB1-Normal87"/>
              <w:spacing w:line="240" w:lineRule="auto"/>
              <w:textAlignment w:val="baseline"/>
              <w:rPr>
                <w:noProof/>
                <w:sz w:val="24"/>
                <w:szCs w:val="24"/>
              </w:rPr>
            </w:pPr>
            <w:r>
              <w:rPr>
                <w:noProof/>
              </w:rPr>
              <w:t xml:space="preserve">F3.1 Îmbunătățirea procesului legislativ </w:t>
            </w:r>
          </w:p>
        </w:tc>
        <w:tc>
          <w:tcPr>
            <w:tcW w:w="1245" w:type="dxa"/>
            <w:shd w:val="clear" w:color="auto" w:fill="C6EFCE"/>
            <w:hideMark/>
          </w:tcPr>
          <w:p w14:paraId="1216C5A0" w14:textId="104EC788" w:rsidR="00A60DDE" w:rsidRDefault="00095506">
            <w:pPr>
              <w:pStyle w:val="P68B1DB1-Normal87"/>
              <w:spacing w:line="240" w:lineRule="auto"/>
              <w:ind w:left="60"/>
              <w:textAlignment w:val="baseline"/>
              <w:rPr>
                <w:noProof/>
                <w:sz w:val="24"/>
                <w:szCs w:val="24"/>
              </w:rPr>
            </w:pPr>
            <w:r>
              <w:rPr>
                <w:noProof/>
              </w:rPr>
              <w:t xml:space="preserve">Etapa de referință </w:t>
            </w:r>
          </w:p>
        </w:tc>
        <w:tc>
          <w:tcPr>
            <w:tcW w:w="3915" w:type="dxa"/>
            <w:shd w:val="clear" w:color="auto" w:fill="C6EFCE"/>
            <w:hideMark/>
          </w:tcPr>
          <w:p w14:paraId="1216C5A1" w14:textId="3DD1F17D" w:rsidR="00A60DDE" w:rsidRDefault="00095506">
            <w:pPr>
              <w:pStyle w:val="P68B1DB1-Normal87"/>
              <w:spacing w:line="240" w:lineRule="auto"/>
              <w:textAlignment w:val="baseline"/>
              <w:rPr>
                <w:noProof/>
                <w:sz w:val="24"/>
                <w:szCs w:val="24"/>
              </w:rPr>
            </w:pPr>
            <w:r>
              <w:rPr>
                <w:noProof/>
              </w:rPr>
              <w:t>Intrarea în vigoare a modificărilor Regulamentului de procedură al Seimului, Senatului și Consiliului de Miniștri</w:t>
            </w:r>
          </w:p>
        </w:tc>
      </w:tr>
      <w:tr w:rsidR="00A60DDE" w14:paraId="1216C5A7" w14:textId="77777777">
        <w:trPr>
          <w:trHeight w:val="300"/>
          <w:jc w:val="center"/>
        </w:trPr>
        <w:tc>
          <w:tcPr>
            <w:tcW w:w="1335" w:type="dxa"/>
            <w:shd w:val="clear" w:color="auto" w:fill="C6EFCE"/>
            <w:hideMark/>
          </w:tcPr>
          <w:p w14:paraId="1216C5A3" w14:textId="0A46ACAD" w:rsidR="00A60DDE" w:rsidRDefault="00095506">
            <w:pPr>
              <w:pStyle w:val="P68B1DB1-Normal87"/>
              <w:spacing w:line="240" w:lineRule="auto"/>
              <w:ind w:right="45"/>
              <w:jc w:val="center"/>
              <w:textAlignment w:val="baseline"/>
              <w:rPr>
                <w:noProof/>
                <w:sz w:val="24"/>
                <w:szCs w:val="24"/>
              </w:rPr>
            </w:pPr>
            <w:r>
              <w:rPr>
                <w:noProof/>
              </w:rPr>
              <w:t xml:space="preserve"> </w:t>
            </w:r>
          </w:p>
        </w:tc>
        <w:tc>
          <w:tcPr>
            <w:tcW w:w="3960" w:type="dxa"/>
            <w:shd w:val="clear" w:color="auto" w:fill="C6EFCE"/>
            <w:hideMark/>
          </w:tcPr>
          <w:p w14:paraId="1216C5A4" w14:textId="48A4D371" w:rsidR="00A60DDE" w:rsidRDefault="00095506">
            <w:pPr>
              <w:pStyle w:val="P68B1DB1-Normal87"/>
              <w:spacing w:line="240" w:lineRule="auto"/>
              <w:textAlignment w:val="baseline"/>
              <w:rPr>
                <w:noProof/>
                <w:sz w:val="24"/>
                <w:szCs w:val="24"/>
              </w:rPr>
            </w:pPr>
            <w:r>
              <w:rPr>
                <w:noProof/>
              </w:rPr>
              <w:t xml:space="preserve"> </w:t>
            </w:r>
          </w:p>
        </w:tc>
        <w:tc>
          <w:tcPr>
            <w:tcW w:w="1245" w:type="dxa"/>
            <w:shd w:val="clear" w:color="auto" w:fill="C6EFCE"/>
            <w:hideMark/>
          </w:tcPr>
          <w:p w14:paraId="1216C5A5" w14:textId="074E8A97" w:rsidR="00A60DDE" w:rsidRDefault="00095506">
            <w:pPr>
              <w:pStyle w:val="P68B1DB1-Normal87"/>
              <w:spacing w:line="240" w:lineRule="auto"/>
              <w:ind w:left="60"/>
              <w:textAlignment w:val="baseline"/>
              <w:rPr>
                <w:noProof/>
                <w:sz w:val="24"/>
                <w:szCs w:val="24"/>
              </w:rPr>
            </w:pPr>
            <w:r>
              <w:rPr>
                <w:noProof/>
              </w:rPr>
              <w:t xml:space="preserve">Valoarea tranșei </w:t>
            </w:r>
          </w:p>
        </w:tc>
        <w:tc>
          <w:tcPr>
            <w:tcW w:w="3915" w:type="dxa"/>
            <w:shd w:val="clear" w:color="auto" w:fill="C6EFCE"/>
            <w:hideMark/>
          </w:tcPr>
          <w:p w14:paraId="1216C5A6" w14:textId="77777777" w:rsidR="00A60DDE" w:rsidRDefault="00095506">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2</w:t>
            </w:r>
            <w:r>
              <w:rPr>
                <w:rFonts w:eastAsia="Times New Roman"/>
                <w:noProof/>
                <w:color w:val="006100"/>
                <w:szCs w:val="24"/>
              </w:rPr>
              <w:t> </w:t>
            </w:r>
            <w:r>
              <w:rPr>
                <w:rFonts w:ascii="Times New Roman" w:eastAsia="Times New Roman" w:hAnsi="Times New Roman" w:cs="Times New Roman"/>
                <w:noProof/>
              </w:rPr>
              <w:t>416</w:t>
            </w:r>
            <w:r>
              <w:rPr>
                <w:rFonts w:eastAsia="Times New Roman"/>
                <w:noProof/>
                <w:color w:val="006100"/>
                <w:szCs w:val="24"/>
              </w:rPr>
              <w:t> </w:t>
            </w:r>
            <w:r>
              <w:rPr>
                <w:rFonts w:ascii="Times New Roman" w:eastAsia="Times New Roman" w:hAnsi="Times New Roman" w:cs="Times New Roman"/>
                <w:noProof/>
              </w:rPr>
              <w:t>163</w:t>
            </w:r>
            <w:r>
              <w:rPr>
                <w:rFonts w:eastAsia="Times New Roman"/>
                <w:noProof/>
                <w:color w:val="006100"/>
                <w:szCs w:val="24"/>
              </w:rPr>
              <w:t> </w:t>
            </w:r>
            <w:r>
              <w:rPr>
                <w:rFonts w:ascii="Times New Roman" w:eastAsia="Times New Roman" w:hAnsi="Times New Roman" w:cs="Times New Roman"/>
                <w:noProof/>
              </w:rPr>
              <w:t>752 EUR</w:t>
            </w:r>
          </w:p>
        </w:tc>
      </w:tr>
    </w:tbl>
    <w:p w14:paraId="1216C5A8" w14:textId="77777777" w:rsidR="00A60DDE" w:rsidRDefault="00095506">
      <w:pPr>
        <w:pStyle w:val="P68B1DB1-Normal87"/>
        <w:spacing w:line="240" w:lineRule="auto"/>
        <w:ind w:left="-15"/>
        <w:textAlignment w:val="baseline"/>
        <w:rPr>
          <w:rFonts w:ascii="Segoe UI" w:hAnsi="Segoe UI" w:cs="Segoe UI"/>
          <w:noProof/>
          <w:sz w:val="18"/>
          <w:szCs w:val="18"/>
        </w:rPr>
      </w:pPr>
      <w:r>
        <w:rPr>
          <w:noProof/>
        </w:rPr>
        <w:t> </w:t>
      </w:r>
    </w:p>
    <w:p w14:paraId="1216C5A9" w14:textId="636972C2" w:rsidR="00A60DDE" w:rsidRDefault="00095506">
      <w:pPr>
        <w:pStyle w:val="P68B1DB1-Normal87"/>
        <w:spacing w:line="240" w:lineRule="auto"/>
        <w:ind w:left="-15"/>
        <w:textAlignment w:val="baseline"/>
        <w:rPr>
          <w:rFonts w:ascii="Segoe UI" w:hAnsi="Segoe UI" w:cs="Segoe UI"/>
          <w:noProof/>
          <w:sz w:val="18"/>
          <w:szCs w:val="18"/>
        </w:rPr>
      </w:pPr>
      <w:r>
        <w:rPr>
          <w:noProof/>
        </w:rPr>
        <w:t xml:space="preserve">2.1.3 A treia tranșă (sprijin nerambursabil): </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3569"/>
        <w:gridCol w:w="1225"/>
        <w:gridCol w:w="3559"/>
      </w:tblGrid>
      <w:tr w:rsidR="00A60DDE" w14:paraId="1216C5AE" w14:textId="77777777">
        <w:trPr>
          <w:trHeight w:val="300"/>
          <w:tblHeader/>
          <w:jc w:val="center"/>
        </w:trPr>
        <w:tc>
          <w:tcPr>
            <w:tcW w:w="1335" w:type="dxa"/>
            <w:shd w:val="clear" w:color="auto" w:fill="BDD6EE"/>
            <w:hideMark/>
          </w:tcPr>
          <w:p w14:paraId="1216C5AA" w14:textId="282AA945" w:rsidR="00A60DDE" w:rsidRDefault="00095506">
            <w:pPr>
              <w:pStyle w:val="P68B1DB1-Normal87"/>
              <w:spacing w:line="240" w:lineRule="auto"/>
              <w:jc w:val="center"/>
              <w:textAlignment w:val="baseline"/>
              <w:rPr>
                <w:noProof/>
                <w:sz w:val="24"/>
                <w:szCs w:val="24"/>
              </w:rPr>
            </w:pPr>
            <w:r>
              <w:rPr>
                <w:b/>
                <w:noProof/>
              </w:rPr>
              <w:t>Număr secvențial</w:t>
            </w:r>
            <w:r>
              <w:rPr>
                <w:noProof/>
              </w:rPr>
              <w:t xml:space="preserve"> </w:t>
            </w:r>
          </w:p>
        </w:tc>
        <w:tc>
          <w:tcPr>
            <w:tcW w:w="3960" w:type="dxa"/>
            <w:shd w:val="clear" w:color="auto" w:fill="BDD6EE"/>
            <w:hideMark/>
          </w:tcPr>
          <w:p w14:paraId="1216C5AB" w14:textId="01FD0299"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45" w:type="dxa"/>
            <w:shd w:val="clear" w:color="auto" w:fill="BDD6EE"/>
            <w:hideMark/>
          </w:tcPr>
          <w:p w14:paraId="1216C5AC" w14:textId="170D36E3" w:rsidR="00A60DDE" w:rsidRDefault="00095506">
            <w:pPr>
              <w:pStyle w:val="P68B1DB1-Normal87"/>
              <w:spacing w:line="240" w:lineRule="auto"/>
              <w:ind w:left="15" w:right="15"/>
              <w:jc w:val="center"/>
              <w:textAlignment w:val="baseline"/>
              <w:rPr>
                <w:noProof/>
                <w:sz w:val="24"/>
                <w:szCs w:val="24"/>
              </w:rPr>
            </w:pPr>
            <w:r>
              <w:rPr>
                <w:b/>
                <w:noProof/>
              </w:rPr>
              <w:t>Etapa/ținta</w:t>
            </w:r>
            <w:r>
              <w:rPr>
                <w:noProof/>
              </w:rPr>
              <w:t xml:space="preserve"> </w:t>
            </w:r>
          </w:p>
        </w:tc>
        <w:tc>
          <w:tcPr>
            <w:tcW w:w="3915" w:type="dxa"/>
            <w:shd w:val="clear" w:color="auto" w:fill="BDD6EE"/>
            <w:hideMark/>
          </w:tcPr>
          <w:p w14:paraId="1216C5AD" w14:textId="11680F82" w:rsidR="00A60DDE" w:rsidRDefault="00095506">
            <w:pPr>
              <w:pStyle w:val="P68B1DB1-Normal87"/>
              <w:spacing w:line="240" w:lineRule="auto"/>
              <w:ind w:right="45"/>
              <w:jc w:val="center"/>
              <w:textAlignment w:val="baseline"/>
              <w:rPr>
                <w:noProof/>
                <w:sz w:val="24"/>
                <w:szCs w:val="24"/>
              </w:rPr>
            </w:pPr>
            <w:r>
              <w:rPr>
                <w:b/>
                <w:noProof/>
              </w:rPr>
              <w:t>Denumire</w:t>
            </w:r>
            <w:r>
              <w:rPr>
                <w:noProof/>
              </w:rPr>
              <w:t xml:space="preserve"> </w:t>
            </w:r>
          </w:p>
        </w:tc>
      </w:tr>
      <w:tr w:rsidR="00A60DDE" w14:paraId="1216C5B3" w14:textId="77777777">
        <w:trPr>
          <w:trHeight w:val="300"/>
          <w:jc w:val="center"/>
        </w:trPr>
        <w:tc>
          <w:tcPr>
            <w:tcW w:w="1335" w:type="dxa"/>
            <w:shd w:val="clear" w:color="auto" w:fill="C6EFCE"/>
            <w:hideMark/>
          </w:tcPr>
          <w:p w14:paraId="1216C5AF" w14:textId="6A5F547A" w:rsidR="00A60DDE" w:rsidRDefault="00095506">
            <w:pPr>
              <w:pStyle w:val="P68B1DB1-Normal87"/>
              <w:spacing w:line="240" w:lineRule="auto"/>
              <w:ind w:right="45"/>
              <w:jc w:val="center"/>
              <w:textAlignment w:val="baseline"/>
              <w:rPr>
                <w:noProof/>
                <w:sz w:val="24"/>
                <w:szCs w:val="24"/>
              </w:rPr>
            </w:pPr>
            <w:r>
              <w:rPr>
                <w:noProof/>
              </w:rPr>
              <w:t xml:space="preserve">A12G </w:t>
            </w:r>
          </w:p>
        </w:tc>
        <w:tc>
          <w:tcPr>
            <w:tcW w:w="3960" w:type="dxa"/>
            <w:shd w:val="clear" w:color="auto" w:fill="C6EFCE"/>
            <w:hideMark/>
          </w:tcPr>
          <w:p w14:paraId="1216C5B0" w14:textId="2805F0A7" w:rsidR="00A60DDE" w:rsidRDefault="00095506">
            <w:pPr>
              <w:pStyle w:val="P68B1DB1-Normal87"/>
              <w:spacing w:line="240" w:lineRule="auto"/>
              <w:textAlignment w:val="baseline"/>
              <w:rPr>
                <w:noProof/>
                <w:sz w:val="24"/>
                <w:szCs w:val="24"/>
              </w:rPr>
            </w:pPr>
            <w:r>
              <w:rPr>
                <w:noProof/>
              </w:rPr>
              <w:t xml:space="preserve">A1.3 Reforma amenajării teritoriului </w:t>
            </w:r>
          </w:p>
        </w:tc>
        <w:tc>
          <w:tcPr>
            <w:tcW w:w="1245" w:type="dxa"/>
            <w:shd w:val="clear" w:color="auto" w:fill="C6EFCE"/>
            <w:hideMark/>
          </w:tcPr>
          <w:p w14:paraId="1216C5B1" w14:textId="74420C32"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B2" w14:textId="7DBB7F8E" w:rsidR="00A60DDE" w:rsidRDefault="00095506">
            <w:pPr>
              <w:pStyle w:val="P68B1DB1-Normal87"/>
              <w:spacing w:line="240" w:lineRule="auto"/>
              <w:textAlignment w:val="baseline"/>
              <w:rPr>
                <w:noProof/>
                <w:sz w:val="24"/>
                <w:szCs w:val="24"/>
              </w:rPr>
            </w:pPr>
            <w:r>
              <w:rPr>
                <w:noProof/>
              </w:rPr>
              <w:t>Intrarea în vigoare a unui nou act privind amenajarea teritoriului</w:t>
            </w:r>
          </w:p>
        </w:tc>
      </w:tr>
      <w:tr w:rsidR="00A60DDE" w14:paraId="1216C5B8" w14:textId="77777777">
        <w:trPr>
          <w:trHeight w:val="300"/>
          <w:jc w:val="center"/>
        </w:trPr>
        <w:tc>
          <w:tcPr>
            <w:tcW w:w="1335" w:type="dxa"/>
            <w:shd w:val="clear" w:color="auto" w:fill="C6EFCE"/>
            <w:hideMark/>
          </w:tcPr>
          <w:p w14:paraId="1216C5B4" w14:textId="7310E5D1" w:rsidR="00A60DDE" w:rsidRDefault="00095506">
            <w:pPr>
              <w:pStyle w:val="P68B1DB1-Normal87"/>
              <w:spacing w:line="240" w:lineRule="auto"/>
              <w:ind w:right="45"/>
              <w:jc w:val="center"/>
              <w:textAlignment w:val="baseline"/>
              <w:rPr>
                <w:noProof/>
                <w:sz w:val="24"/>
                <w:szCs w:val="24"/>
              </w:rPr>
            </w:pPr>
            <w:r>
              <w:rPr>
                <w:noProof/>
              </w:rPr>
              <w:t xml:space="preserve">A33G </w:t>
            </w:r>
          </w:p>
        </w:tc>
        <w:tc>
          <w:tcPr>
            <w:tcW w:w="3960" w:type="dxa"/>
            <w:shd w:val="clear" w:color="auto" w:fill="C6EFCE"/>
            <w:hideMark/>
          </w:tcPr>
          <w:p w14:paraId="1216C5B5" w14:textId="38F48E99" w:rsidR="00A60DDE" w:rsidRDefault="00095506">
            <w:pPr>
              <w:pStyle w:val="P68B1DB1-Normal87"/>
              <w:spacing w:line="240" w:lineRule="auto"/>
              <w:textAlignment w:val="baseline"/>
              <w:rPr>
                <w:noProof/>
                <w:sz w:val="24"/>
                <w:szCs w:val="24"/>
              </w:rPr>
            </w:pPr>
            <w:r>
              <w:rPr>
                <w:noProof/>
              </w:rPr>
              <w:t xml:space="preserve">A2.3 Asigurarea unui temei instituțional și juridic pentru dezvoltarea vehiculelor aeriene fără pilot (UAV) </w:t>
            </w:r>
          </w:p>
        </w:tc>
        <w:tc>
          <w:tcPr>
            <w:tcW w:w="1245" w:type="dxa"/>
            <w:shd w:val="clear" w:color="auto" w:fill="C6EFCE"/>
            <w:hideMark/>
          </w:tcPr>
          <w:p w14:paraId="1216C5B6" w14:textId="1D197249"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B7" w14:textId="3A2A2433" w:rsidR="00A60DDE" w:rsidRDefault="00095506">
            <w:pPr>
              <w:pStyle w:val="P68B1DB1-Normal87"/>
              <w:spacing w:line="240" w:lineRule="auto"/>
              <w:textAlignment w:val="baseline"/>
              <w:rPr>
                <w:noProof/>
                <w:sz w:val="24"/>
                <w:szCs w:val="24"/>
              </w:rPr>
            </w:pPr>
            <w:r>
              <w:rPr>
                <w:noProof/>
              </w:rPr>
              <w:t>Intrarea în vigoare a unui act de modificare a Legii privind Agenția poloneză pentru servicii de navigație aeriană</w:t>
            </w:r>
          </w:p>
        </w:tc>
      </w:tr>
      <w:tr w:rsidR="00A60DDE" w14:paraId="1216C5BD" w14:textId="77777777">
        <w:trPr>
          <w:trHeight w:val="300"/>
          <w:jc w:val="center"/>
        </w:trPr>
        <w:tc>
          <w:tcPr>
            <w:tcW w:w="1335" w:type="dxa"/>
            <w:shd w:val="clear" w:color="auto" w:fill="C6EFCE"/>
            <w:hideMark/>
          </w:tcPr>
          <w:p w14:paraId="1216C5B9" w14:textId="710E4556" w:rsidR="00A60DDE" w:rsidRDefault="00095506">
            <w:pPr>
              <w:pStyle w:val="P68B1DB1-Normal87"/>
              <w:spacing w:line="240" w:lineRule="auto"/>
              <w:ind w:right="45"/>
              <w:jc w:val="center"/>
              <w:textAlignment w:val="baseline"/>
              <w:rPr>
                <w:noProof/>
                <w:sz w:val="24"/>
                <w:szCs w:val="24"/>
              </w:rPr>
            </w:pPr>
            <w:r>
              <w:rPr>
                <w:noProof/>
              </w:rPr>
              <w:t xml:space="preserve">B2G </w:t>
            </w:r>
          </w:p>
        </w:tc>
        <w:tc>
          <w:tcPr>
            <w:tcW w:w="3960" w:type="dxa"/>
            <w:shd w:val="clear" w:color="auto" w:fill="C6EFCE"/>
            <w:hideMark/>
          </w:tcPr>
          <w:p w14:paraId="1216C5BA" w14:textId="0EEA3E61" w:rsidR="00A60DDE" w:rsidRDefault="00095506">
            <w:pPr>
              <w:pStyle w:val="P68B1DB1-Normal87"/>
              <w:spacing w:line="240" w:lineRule="auto"/>
              <w:textAlignment w:val="baseline"/>
              <w:rPr>
                <w:noProof/>
                <w:sz w:val="24"/>
                <w:szCs w:val="24"/>
              </w:rPr>
            </w:pPr>
            <w:r>
              <w:rPr>
                <w:noProof/>
              </w:rPr>
              <w:t xml:space="preserve">B1.1 Aer curat și eficiență energetică </w:t>
            </w:r>
          </w:p>
        </w:tc>
        <w:tc>
          <w:tcPr>
            <w:tcW w:w="1245" w:type="dxa"/>
            <w:shd w:val="clear" w:color="auto" w:fill="C6EFCE"/>
            <w:hideMark/>
          </w:tcPr>
          <w:p w14:paraId="1216C5BB" w14:textId="64F96B6C" w:rsidR="00A60DDE" w:rsidRDefault="00095506">
            <w:pPr>
              <w:pStyle w:val="P68B1DB1-Normal87"/>
              <w:spacing w:line="240" w:lineRule="auto"/>
              <w:ind w:left="60"/>
              <w:textAlignment w:val="baseline"/>
              <w:rPr>
                <w:noProof/>
                <w:sz w:val="24"/>
                <w:szCs w:val="24"/>
              </w:rPr>
            </w:pPr>
            <w:r>
              <w:rPr>
                <w:noProof/>
              </w:rPr>
              <w:t xml:space="preserve">Etapa de referință </w:t>
            </w:r>
          </w:p>
        </w:tc>
        <w:tc>
          <w:tcPr>
            <w:tcW w:w="3915" w:type="dxa"/>
            <w:shd w:val="clear" w:color="auto" w:fill="C6EFCE"/>
            <w:hideMark/>
          </w:tcPr>
          <w:p w14:paraId="1216C5BC" w14:textId="04BD52F7" w:rsidR="00A60DDE" w:rsidRDefault="00095506">
            <w:pPr>
              <w:pStyle w:val="P68B1DB1-Normal87"/>
              <w:spacing w:line="240" w:lineRule="auto"/>
              <w:textAlignment w:val="baseline"/>
              <w:rPr>
                <w:noProof/>
                <w:sz w:val="24"/>
                <w:szCs w:val="24"/>
              </w:rPr>
            </w:pPr>
            <w:r>
              <w:rPr>
                <w:noProof/>
              </w:rPr>
              <w:t xml:space="preserve">Actualizarea programului prioritar „Aer curat” </w:t>
            </w:r>
          </w:p>
        </w:tc>
      </w:tr>
      <w:tr w:rsidR="00A60DDE" w14:paraId="1216C5C2" w14:textId="77777777">
        <w:trPr>
          <w:trHeight w:val="300"/>
          <w:jc w:val="center"/>
        </w:trPr>
        <w:tc>
          <w:tcPr>
            <w:tcW w:w="1335" w:type="dxa"/>
            <w:shd w:val="clear" w:color="auto" w:fill="C6EFCE"/>
            <w:hideMark/>
          </w:tcPr>
          <w:p w14:paraId="1216C5BE" w14:textId="0B46AB5E" w:rsidR="00A60DDE" w:rsidRDefault="00095506">
            <w:pPr>
              <w:pStyle w:val="P68B1DB1-Normal87"/>
              <w:spacing w:line="240" w:lineRule="auto"/>
              <w:ind w:right="45"/>
              <w:jc w:val="center"/>
              <w:textAlignment w:val="baseline"/>
              <w:rPr>
                <w:noProof/>
                <w:sz w:val="24"/>
                <w:szCs w:val="24"/>
              </w:rPr>
            </w:pPr>
            <w:r>
              <w:rPr>
                <w:noProof/>
              </w:rPr>
              <w:t xml:space="preserve">C2G </w:t>
            </w:r>
          </w:p>
        </w:tc>
        <w:tc>
          <w:tcPr>
            <w:tcW w:w="3960" w:type="dxa"/>
            <w:shd w:val="clear" w:color="auto" w:fill="C6EFCE"/>
            <w:hideMark/>
          </w:tcPr>
          <w:p w14:paraId="1216C5BF" w14:textId="08ECD9C0" w:rsidR="00A60DDE" w:rsidRDefault="00095506">
            <w:pPr>
              <w:pStyle w:val="P68B1DB1-Normal87"/>
              <w:spacing w:line="240" w:lineRule="auto"/>
              <w:textAlignment w:val="baseline"/>
              <w:rPr>
                <w:noProof/>
                <w:sz w:val="24"/>
                <w:szCs w:val="24"/>
              </w:rPr>
            </w:pPr>
            <w:r>
              <w:rPr>
                <w:noProof/>
              </w:rPr>
              <w:t xml:space="preserve">C1.1 Facilitarea dezvoltării infrastructurii de rețea pentru a asigura accesul universal la internetul de mare viteză </w:t>
            </w:r>
          </w:p>
        </w:tc>
        <w:tc>
          <w:tcPr>
            <w:tcW w:w="1245" w:type="dxa"/>
            <w:shd w:val="clear" w:color="auto" w:fill="C6EFCE"/>
            <w:hideMark/>
          </w:tcPr>
          <w:p w14:paraId="1216C5C0" w14:textId="24DAC46A"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C1" w14:textId="77ADDFDC" w:rsidR="00A60DDE" w:rsidRDefault="00095506">
            <w:pPr>
              <w:pStyle w:val="P68B1DB1-Normal87"/>
              <w:spacing w:line="240" w:lineRule="auto"/>
              <w:textAlignment w:val="baseline"/>
              <w:rPr>
                <w:noProof/>
                <w:sz w:val="24"/>
                <w:szCs w:val="24"/>
              </w:rPr>
            </w:pPr>
            <w:r>
              <w:rPr>
                <w:noProof/>
              </w:rPr>
              <w:t>Modificarea Regulamentului ministrului digitalizării privind inventarul anual al infrastructurii și amperilor de telecomunicații; servicii</w:t>
            </w:r>
          </w:p>
        </w:tc>
      </w:tr>
      <w:tr w:rsidR="00A60DDE" w14:paraId="1216C5C7" w14:textId="77777777">
        <w:trPr>
          <w:trHeight w:val="300"/>
          <w:jc w:val="center"/>
        </w:trPr>
        <w:tc>
          <w:tcPr>
            <w:tcW w:w="1335" w:type="dxa"/>
            <w:shd w:val="clear" w:color="auto" w:fill="C6EFCE"/>
            <w:hideMark/>
          </w:tcPr>
          <w:p w14:paraId="1216C5C3" w14:textId="5D5BB935" w:rsidR="00A60DDE" w:rsidRDefault="00095506">
            <w:pPr>
              <w:pStyle w:val="P68B1DB1-Normal87"/>
              <w:spacing w:line="240" w:lineRule="auto"/>
              <w:ind w:right="45"/>
              <w:jc w:val="center"/>
              <w:textAlignment w:val="baseline"/>
              <w:rPr>
                <w:noProof/>
                <w:sz w:val="24"/>
                <w:szCs w:val="24"/>
              </w:rPr>
            </w:pPr>
            <w:r>
              <w:rPr>
                <w:noProof/>
              </w:rPr>
              <w:t xml:space="preserve">D7G </w:t>
            </w:r>
          </w:p>
        </w:tc>
        <w:tc>
          <w:tcPr>
            <w:tcW w:w="3960" w:type="dxa"/>
            <w:shd w:val="clear" w:color="auto" w:fill="C6EFCE"/>
            <w:hideMark/>
          </w:tcPr>
          <w:p w14:paraId="1216C5C4" w14:textId="0024487A" w:rsidR="00A60DDE" w:rsidRDefault="00095506">
            <w:pPr>
              <w:pStyle w:val="P68B1DB1-Normal87"/>
              <w:spacing w:line="240" w:lineRule="auto"/>
              <w:textAlignment w:val="baseline"/>
              <w:rPr>
                <w:noProof/>
                <w:sz w:val="24"/>
                <w:szCs w:val="24"/>
              </w:rPr>
            </w:pPr>
            <w:r>
              <w:rPr>
                <w:noProof/>
              </w:rPr>
              <w:t>D1.1 Îmbunătățirea eficacității, accesibilității și calității serviciilor de sănătate</w:t>
            </w:r>
          </w:p>
        </w:tc>
        <w:tc>
          <w:tcPr>
            <w:tcW w:w="1245" w:type="dxa"/>
            <w:shd w:val="clear" w:color="auto" w:fill="C6EFCE"/>
            <w:hideMark/>
          </w:tcPr>
          <w:p w14:paraId="1216C5C5" w14:textId="02BBF7F6"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C6" w14:textId="6471F474" w:rsidR="00A60DDE" w:rsidRDefault="00095506">
            <w:pPr>
              <w:pStyle w:val="P68B1DB1-Normal87"/>
              <w:spacing w:line="240" w:lineRule="auto"/>
              <w:textAlignment w:val="baseline"/>
              <w:rPr>
                <w:noProof/>
                <w:sz w:val="24"/>
                <w:szCs w:val="24"/>
              </w:rPr>
            </w:pPr>
            <w:r>
              <w:rPr>
                <w:noProof/>
              </w:rPr>
              <w:t>Intrarea în vigoare a Regulamentului privind lista centrelor voievodale de monitorizare a rețelei oncologice</w:t>
            </w:r>
          </w:p>
        </w:tc>
      </w:tr>
      <w:tr w:rsidR="00A60DDE" w14:paraId="1216C5CC" w14:textId="77777777">
        <w:trPr>
          <w:trHeight w:val="300"/>
          <w:jc w:val="center"/>
        </w:trPr>
        <w:tc>
          <w:tcPr>
            <w:tcW w:w="1335" w:type="dxa"/>
            <w:shd w:val="clear" w:color="auto" w:fill="C6EFCE"/>
            <w:hideMark/>
          </w:tcPr>
          <w:p w14:paraId="1216C5C8" w14:textId="46919763" w:rsidR="00A60DDE" w:rsidRDefault="00095506">
            <w:pPr>
              <w:pStyle w:val="P68B1DB1-Normal87"/>
              <w:spacing w:line="240" w:lineRule="auto"/>
              <w:ind w:right="45"/>
              <w:jc w:val="center"/>
              <w:textAlignment w:val="baseline"/>
              <w:rPr>
                <w:noProof/>
                <w:sz w:val="24"/>
                <w:szCs w:val="24"/>
              </w:rPr>
            </w:pPr>
            <w:r>
              <w:rPr>
                <w:noProof/>
              </w:rPr>
              <w:t xml:space="preserve">E2G </w:t>
            </w:r>
          </w:p>
        </w:tc>
        <w:tc>
          <w:tcPr>
            <w:tcW w:w="3960" w:type="dxa"/>
            <w:shd w:val="clear" w:color="auto" w:fill="C6EFCE"/>
            <w:hideMark/>
          </w:tcPr>
          <w:p w14:paraId="1216C5C9" w14:textId="55D3D52A" w:rsidR="00A60DDE" w:rsidRDefault="00095506">
            <w:pPr>
              <w:pStyle w:val="P68B1DB1-Normal87"/>
              <w:spacing w:line="240" w:lineRule="auto"/>
              <w:textAlignment w:val="baseline"/>
              <w:rPr>
                <w:noProof/>
                <w:sz w:val="24"/>
                <w:szCs w:val="24"/>
              </w:rPr>
            </w:pPr>
            <w:r>
              <w:rPr>
                <w:noProof/>
              </w:rPr>
              <w:t xml:space="preserve">E1.1 Creșterea utilizării transportului ecologic </w:t>
            </w:r>
          </w:p>
        </w:tc>
        <w:tc>
          <w:tcPr>
            <w:tcW w:w="1245" w:type="dxa"/>
            <w:shd w:val="clear" w:color="auto" w:fill="C6EFCE"/>
            <w:hideMark/>
          </w:tcPr>
          <w:p w14:paraId="1216C5CA" w14:textId="2A1A0B63" w:rsidR="00A60DDE" w:rsidRDefault="00095506">
            <w:pPr>
              <w:pStyle w:val="P68B1DB1-Normal87"/>
              <w:spacing w:line="240" w:lineRule="auto"/>
              <w:ind w:left="60"/>
              <w:textAlignment w:val="baseline"/>
              <w:rPr>
                <w:noProof/>
                <w:sz w:val="24"/>
                <w:szCs w:val="24"/>
              </w:rPr>
            </w:pPr>
            <w:r>
              <w:rPr>
                <w:noProof/>
              </w:rPr>
              <w:t>Etapa de referință</w:t>
            </w:r>
          </w:p>
        </w:tc>
        <w:tc>
          <w:tcPr>
            <w:tcW w:w="3915" w:type="dxa"/>
            <w:shd w:val="clear" w:color="auto" w:fill="C6EFCE"/>
            <w:hideMark/>
          </w:tcPr>
          <w:p w14:paraId="1216C5CB" w14:textId="0B761D20" w:rsidR="00A60DDE" w:rsidRDefault="00095506">
            <w:pPr>
              <w:pStyle w:val="P68B1DB1-Normal87"/>
              <w:spacing w:line="240" w:lineRule="auto"/>
              <w:textAlignment w:val="baseline"/>
              <w:rPr>
                <w:noProof/>
                <w:sz w:val="24"/>
                <w:szCs w:val="24"/>
              </w:rPr>
            </w:pPr>
            <w:r>
              <w:rPr>
                <w:noProof/>
              </w:rPr>
              <w:t>Măsuri de sprijinire a elaborării planurilor de mobilitate urbană durabilă (PMUD) și adoptarea de către Ministerul Infrastructurii a unor stimulente pentru punerea în aplicare a PMUD care să ofere sprijin tehnic și financiar tuturor zonelor urbane funcționale</w:t>
            </w:r>
          </w:p>
        </w:tc>
      </w:tr>
      <w:tr w:rsidR="00A60DDE" w14:paraId="1216C5D1" w14:textId="77777777">
        <w:trPr>
          <w:trHeight w:val="300"/>
          <w:jc w:val="center"/>
        </w:trPr>
        <w:tc>
          <w:tcPr>
            <w:tcW w:w="1335" w:type="dxa"/>
            <w:shd w:val="clear" w:color="auto" w:fill="C6EFCE"/>
            <w:hideMark/>
          </w:tcPr>
          <w:p w14:paraId="1216C5CD" w14:textId="2A1F75FF" w:rsidR="00A60DDE" w:rsidRDefault="00095506">
            <w:pPr>
              <w:pStyle w:val="P68B1DB1-Normal87"/>
              <w:spacing w:line="240" w:lineRule="auto"/>
              <w:textAlignment w:val="baseline"/>
              <w:rPr>
                <w:noProof/>
                <w:sz w:val="24"/>
                <w:szCs w:val="24"/>
              </w:rPr>
            </w:pPr>
            <w:r>
              <w:rPr>
                <w:noProof/>
              </w:rPr>
              <w:t xml:space="preserve"> </w:t>
            </w:r>
          </w:p>
        </w:tc>
        <w:tc>
          <w:tcPr>
            <w:tcW w:w="3960" w:type="dxa"/>
            <w:shd w:val="clear" w:color="auto" w:fill="C6EFCE"/>
            <w:hideMark/>
          </w:tcPr>
          <w:p w14:paraId="1216C5CE" w14:textId="22EA0300" w:rsidR="00A60DDE" w:rsidRDefault="00095506">
            <w:pPr>
              <w:pStyle w:val="P68B1DB1-Normal87"/>
              <w:spacing w:line="240" w:lineRule="auto"/>
              <w:textAlignment w:val="baseline"/>
              <w:rPr>
                <w:noProof/>
                <w:sz w:val="24"/>
                <w:szCs w:val="24"/>
              </w:rPr>
            </w:pPr>
            <w:r>
              <w:rPr>
                <w:noProof/>
              </w:rPr>
              <w:t xml:space="preserve"> </w:t>
            </w:r>
          </w:p>
        </w:tc>
        <w:tc>
          <w:tcPr>
            <w:tcW w:w="1245" w:type="dxa"/>
            <w:shd w:val="clear" w:color="auto" w:fill="C6EFCE"/>
            <w:hideMark/>
          </w:tcPr>
          <w:p w14:paraId="1216C5CF" w14:textId="410A04E6" w:rsidR="00A60DDE" w:rsidRDefault="00095506">
            <w:pPr>
              <w:pStyle w:val="P68B1DB1-Normal87"/>
              <w:spacing w:line="240" w:lineRule="auto"/>
              <w:textAlignment w:val="baseline"/>
              <w:rPr>
                <w:noProof/>
                <w:sz w:val="24"/>
                <w:szCs w:val="24"/>
              </w:rPr>
            </w:pPr>
            <w:r>
              <w:rPr>
                <w:noProof/>
              </w:rPr>
              <w:t xml:space="preserve">Valoarea tranșei </w:t>
            </w:r>
          </w:p>
        </w:tc>
        <w:tc>
          <w:tcPr>
            <w:tcW w:w="3915" w:type="dxa"/>
            <w:shd w:val="clear" w:color="auto" w:fill="C6EFCE"/>
            <w:hideMark/>
          </w:tcPr>
          <w:p w14:paraId="1216C5D0" w14:textId="4A473252" w:rsidR="00A60DDE" w:rsidRDefault="00095506">
            <w:pPr>
              <w:pStyle w:val="P68B1DB1-Normal87"/>
              <w:spacing w:line="240" w:lineRule="auto"/>
              <w:textAlignment w:val="baseline"/>
              <w:rPr>
                <w:noProof/>
                <w:sz w:val="24"/>
                <w:szCs w:val="24"/>
              </w:rPr>
            </w:pPr>
            <w:r>
              <w:rPr>
                <w:noProof/>
              </w:rPr>
              <w:t>1 725 649 300 EUR</w:t>
            </w:r>
          </w:p>
        </w:tc>
      </w:tr>
    </w:tbl>
    <w:p w14:paraId="1216C5D2" w14:textId="77777777" w:rsidR="00A60DDE" w:rsidRDefault="00A60DDE">
      <w:pPr>
        <w:spacing w:line="240" w:lineRule="auto"/>
        <w:textAlignment w:val="baseline"/>
        <w:rPr>
          <w:rFonts w:ascii="Segoe UI" w:eastAsia="Times New Roman" w:hAnsi="Segoe UI" w:cs="Segoe UI"/>
          <w:noProof/>
          <w:sz w:val="18"/>
          <w:szCs w:val="18"/>
        </w:rPr>
      </w:pPr>
    </w:p>
    <w:p w14:paraId="1216C5D3" w14:textId="77777777" w:rsidR="00A60DDE" w:rsidRDefault="00095506">
      <w:pPr>
        <w:pStyle w:val="P68B1DB1-Normal87"/>
        <w:spacing w:line="240" w:lineRule="auto"/>
        <w:ind w:left="-15"/>
        <w:textAlignment w:val="baseline"/>
        <w:rPr>
          <w:rFonts w:ascii="Segoe UI" w:hAnsi="Segoe UI" w:cs="Segoe UI"/>
          <w:noProof/>
          <w:sz w:val="18"/>
          <w:szCs w:val="18"/>
        </w:rPr>
      </w:pPr>
      <w:r>
        <w:rPr>
          <w:noProof/>
        </w:rPr>
        <w:t>2.1.4 A patra tranșă (sprijin nerambursabil):</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3544"/>
        <w:gridCol w:w="1276"/>
        <w:gridCol w:w="3535"/>
      </w:tblGrid>
      <w:tr w:rsidR="00A60DDE" w14:paraId="1216C5D8" w14:textId="77777777">
        <w:trPr>
          <w:trHeight w:val="300"/>
          <w:tblHeader/>
        </w:trPr>
        <w:tc>
          <w:tcPr>
            <w:tcW w:w="1268" w:type="dxa"/>
            <w:shd w:val="clear" w:color="auto" w:fill="BDD6EE"/>
            <w:hideMark/>
          </w:tcPr>
          <w:p w14:paraId="1216C5D4" w14:textId="77777777" w:rsidR="00A60DDE" w:rsidRDefault="00095506">
            <w:pPr>
              <w:pStyle w:val="P68B1DB1-Normal100"/>
              <w:spacing w:line="240" w:lineRule="auto"/>
              <w:jc w:val="center"/>
              <w:textAlignment w:val="baseline"/>
              <w:rPr>
                <w:noProof/>
                <w:sz w:val="24"/>
                <w:szCs w:val="24"/>
              </w:rPr>
            </w:pPr>
            <w:r>
              <w:rPr>
                <w:noProof/>
              </w:rPr>
              <w:t>Număr secvențial</w:t>
            </w:r>
          </w:p>
        </w:tc>
        <w:tc>
          <w:tcPr>
            <w:tcW w:w="3544" w:type="dxa"/>
            <w:shd w:val="clear" w:color="auto" w:fill="BDD6EE"/>
            <w:hideMark/>
          </w:tcPr>
          <w:p w14:paraId="1216C5D5" w14:textId="7470F65C"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76" w:type="dxa"/>
            <w:shd w:val="clear" w:color="auto" w:fill="BDD6EE"/>
            <w:hideMark/>
          </w:tcPr>
          <w:p w14:paraId="1216C5D6" w14:textId="474D562B" w:rsidR="00A60DDE" w:rsidRDefault="00095506">
            <w:pPr>
              <w:pStyle w:val="P68B1DB1-Normal87"/>
              <w:spacing w:line="240" w:lineRule="auto"/>
              <w:ind w:left="15" w:right="15"/>
              <w:jc w:val="center"/>
              <w:textAlignment w:val="baseline"/>
              <w:rPr>
                <w:noProof/>
                <w:sz w:val="24"/>
                <w:szCs w:val="24"/>
              </w:rPr>
            </w:pPr>
            <w:r>
              <w:rPr>
                <w:b/>
                <w:noProof/>
              </w:rPr>
              <w:t>Etapa/ținta</w:t>
            </w:r>
            <w:r>
              <w:rPr>
                <w:noProof/>
              </w:rPr>
              <w:t xml:space="preserve"> </w:t>
            </w:r>
          </w:p>
        </w:tc>
        <w:tc>
          <w:tcPr>
            <w:tcW w:w="3535" w:type="dxa"/>
            <w:shd w:val="clear" w:color="auto" w:fill="BDD6EE"/>
            <w:hideMark/>
          </w:tcPr>
          <w:p w14:paraId="1216C5D7" w14:textId="0D6D9A8D" w:rsidR="00A60DDE" w:rsidRDefault="00095506">
            <w:pPr>
              <w:pStyle w:val="P68B1DB1-Normal87"/>
              <w:spacing w:line="240" w:lineRule="auto"/>
              <w:ind w:right="45"/>
              <w:jc w:val="center"/>
              <w:textAlignment w:val="baseline"/>
              <w:rPr>
                <w:noProof/>
                <w:sz w:val="24"/>
                <w:szCs w:val="24"/>
              </w:rPr>
            </w:pPr>
            <w:r>
              <w:rPr>
                <w:b/>
                <w:noProof/>
              </w:rPr>
              <w:t>Denumire</w:t>
            </w:r>
            <w:r>
              <w:rPr>
                <w:noProof/>
              </w:rPr>
              <w:t xml:space="preserve"> </w:t>
            </w:r>
          </w:p>
        </w:tc>
      </w:tr>
      <w:tr w:rsidR="00A60DDE" w14:paraId="1216C5DD" w14:textId="77777777">
        <w:trPr>
          <w:trHeight w:val="300"/>
        </w:trPr>
        <w:tc>
          <w:tcPr>
            <w:tcW w:w="1268" w:type="dxa"/>
            <w:shd w:val="clear" w:color="auto" w:fill="C6EFCE"/>
            <w:hideMark/>
          </w:tcPr>
          <w:p w14:paraId="1216C5D9" w14:textId="56DA9C02" w:rsidR="00A60DDE" w:rsidRDefault="00095506">
            <w:pPr>
              <w:pStyle w:val="P68B1DB1-Normal87"/>
              <w:spacing w:line="240" w:lineRule="auto"/>
              <w:ind w:right="45"/>
              <w:jc w:val="center"/>
              <w:textAlignment w:val="baseline"/>
              <w:rPr>
                <w:noProof/>
                <w:sz w:val="24"/>
                <w:szCs w:val="24"/>
              </w:rPr>
            </w:pPr>
            <w:r>
              <w:rPr>
                <w:noProof/>
              </w:rPr>
              <w:t xml:space="preserve">A25G </w:t>
            </w:r>
          </w:p>
        </w:tc>
        <w:tc>
          <w:tcPr>
            <w:tcW w:w="3544" w:type="dxa"/>
            <w:shd w:val="clear" w:color="auto" w:fill="C6EFCE"/>
            <w:hideMark/>
          </w:tcPr>
          <w:p w14:paraId="1216C5DA" w14:textId="77777777" w:rsidR="00A60DDE" w:rsidRDefault="00095506">
            <w:pPr>
              <w:pStyle w:val="P68B1DB1-Normal87"/>
              <w:spacing w:line="240" w:lineRule="auto"/>
              <w:textAlignment w:val="baseline"/>
              <w:rPr>
                <w:noProof/>
              </w:rPr>
            </w:pPr>
            <w:r>
              <w:rPr>
                <w:noProof/>
              </w:rPr>
              <w:t xml:space="preserve">A1.4.1 Modernizarea infrastructurii sau a echipamentelor din sectorul agricol </w:t>
            </w:r>
          </w:p>
        </w:tc>
        <w:tc>
          <w:tcPr>
            <w:tcW w:w="1276" w:type="dxa"/>
            <w:shd w:val="clear" w:color="auto" w:fill="C6EFCE"/>
            <w:hideMark/>
          </w:tcPr>
          <w:p w14:paraId="1216C5DB" w14:textId="4D481E5B" w:rsidR="00A60DDE" w:rsidRDefault="00095506">
            <w:pPr>
              <w:pStyle w:val="P68B1DB1-Normal87"/>
              <w:spacing w:line="240" w:lineRule="auto"/>
              <w:ind w:right="45"/>
              <w:jc w:val="center"/>
              <w:textAlignment w:val="baseline"/>
              <w:rPr>
                <w:noProof/>
                <w:sz w:val="24"/>
                <w:szCs w:val="24"/>
              </w:rPr>
            </w:pPr>
            <w:r>
              <w:rPr>
                <w:noProof/>
              </w:rPr>
              <w:t>Țintă</w:t>
            </w:r>
          </w:p>
        </w:tc>
        <w:tc>
          <w:tcPr>
            <w:tcW w:w="3535" w:type="dxa"/>
            <w:shd w:val="clear" w:color="auto" w:fill="C6EFCE"/>
            <w:hideMark/>
          </w:tcPr>
          <w:p w14:paraId="1216C5DC" w14:textId="77777777" w:rsidR="00A60DDE" w:rsidRDefault="00095506">
            <w:pPr>
              <w:pStyle w:val="P68B1DB1-Normal87"/>
              <w:spacing w:line="240" w:lineRule="auto"/>
              <w:textAlignment w:val="baseline"/>
              <w:rPr>
                <w:noProof/>
                <w:sz w:val="24"/>
                <w:szCs w:val="24"/>
              </w:rPr>
            </w:pPr>
            <w:r>
              <w:rPr>
                <w:noProof/>
              </w:rPr>
              <w:t>Fermierii care au primit finanțare pentru finalizarea proiectelor de înlocuire a materialelor dăunătoare mediului și sănătății în clădirile utilizate pentru producția agricolă</w:t>
            </w:r>
          </w:p>
        </w:tc>
      </w:tr>
      <w:tr w:rsidR="00A60DDE" w14:paraId="1216C5E2" w14:textId="77777777">
        <w:trPr>
          <w:trHeight w:val="300"/>
        </w:trPr>
        <w:tc>
          <w:tcPr>
            <w:tcW w:w="1268" w:type="dxa"/>
            <w:shd w:val="clear" w:color="auto" w:fill="C6EFCE"/>
            <w:hideMark/>
          </w:tcPr>
          <w:p w14:paraId="1216C5DE" w14:textId="5A9C8B74" w:rsidR="00A60DDE" w:rsidRDefault="00095506">
            <w:pPr>
              <w:pStyle w:val="P68B1DB1-Normal87"/>
              <w:spacing w:line="240" w:lineRule="auto"/>
              <w:ind w:right="45"/>
              <w:jc w:val="center"/>
              <w:textAlignment w:val="baseline"/>
              <w:rPr>
                <w:noProof/>
                <w:sz w:val="24"/>
                <w:szCs w:val="24"/>
              </w:rPr>
            </w:pPr>
            <w:r>
              <w:rPr>
                <w:noProof/>
              </w:rPr>
              <w:t xml:space="preserve">A41G </w:t>
            </w:r>
          </w:p>
        </w:tc>
        <w:tc>
          <w:tcPr>
            <w:tcW w:w="3544" w:type="dxa"/>
            <w:shd w:val="clear" w:color="auto" w:fill="C6EFCE"/>
            <w:hideMark/>
          </w:tcPr>
          <w:p w14:paraId="1216C5DF" w14:textId="624F14A0" w:rsidR="00A60DDE" w:rsidRDefault="00095506">
            <w:pPr>
              <w:pStyle w:val="P68B1DB1-Normal87"/>
              <w:spacing w:line="240" w:lineRule="auto"/>
              <w:textAlignment w:val="baseline"/>
              <w:rPr>
                <w:noProof/>
                <w:sz w:val="24"/>
                <w:szCs w:val="24"/>
              </w:rPr>
            </w:pPr>
            <w:r>
              <w:rPr>
                <w:noProof/>
              </w:rPr>
              <w:t xml:space="preserve">A3.1 Forța de muncă pentru economia modernă: îmbunătățirea corelării competențelor și calificărilor cu piața forței de muncă </w:t>
            </w:r>
          </w:p>
        </w:tc>
        <w:tc>
          <w:tcPr>
            <w:tcW w:w="1276" w:type="dxa"/>
            <w:shd w:val="clear" w:color="auto" w:fill="C6EFCE"/>
            <w:hideMark/>
          </w:tcPr>
          <w:p w14:paraId="1216C5E0" w14:textId="62C158B5"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5E1" w14:textId="2E74F4D1" w:rsidR="00A60DDE" w:rsidRDefault="00095506">
            <w:pPr>
              <w:pStyle w:val="P68B1DB1-Normal87"/>
              <w:spacing w:line="240" w:lineRule="auto"/>
              <w:textAlignment w:val="baseline"/>
              <w:rPr>
                <w:noProof/>
                <w:sz w:val="24"/>
                <w:szCs w:val="24"/>
              </w:rPr>
            </w:pPr>
            <w:r>
              <w:rPr>
                <w:noProof/>
              </w:rPr>
              <w:t>Intrarea în vigoare a actelor juridice (inclusiv a actului de modificare a Legii educației) de instituire a cadrului juridic pentru rețeaua de centre sectoriale de competențe</w:t>
            </w:r>
          </w:p>
        </w:tc>
      </w:tr>
      <w:tr w:rsidR="00A60DDE" w14:paraId="1216C5E7" w14:textId="77777777">
        <w:trPr>
          <w:trHeight w:val="300"/>
        </w:trPr>
        <w:tc>
          <w:tcPr>
            <w:tcW w:w="1268" w:type="dxa"/>
            <w:shd w:val="clear" w:color="auto" w:fill="C6EFCE"/>
            <w:hideMark/>
          </w:tcPr>
          <w:p w14:paraId="1216C5E3" w14:textId="25D6C575" w:rsidR="00A60DDE" w:rsidRDefault="00095506">
            <w:pPr>
              <w:pStyle w:val="P68B1DB1-Normal87"/>
              <w:spacing w:line="240" w:lineRule="auto"/>
              <w:ind w:right="45"/>
              <w:jc w:val="center"/>
              <w:textAlignment w:val="baseline"/>
              <w:rPr>
                <w:noProof/>
                <w:sz w:val="24"/>
                <w:szCs w:val="24"/>
              </w:rPr>
            </w:pPr>
            <w:r>
              <w:rPr>
                <w:noProof/>
              </w:rPr>
              <w:t xml:space="preserve">A42G </w:t>
            </w:r>
          </w:p>
        </w:tc>
        <w:tc>
          <w:tcPr>
            <w:tcW w:w="3544" w:type="dxa"/>
            <w:shd w:val="clear" w:color="auto" w:fill="C6EFCE"/>
            <w:hideMark/>
          </w:tcPr>
          <w:p w14:paraId="1216C5E4" w14:textId="32606697" w:rsidR="00A60DDE" w:rsidRDefault="00095506">
            <w:pPr>
              <w:pStyle w:val="P68B1DB1-Normal87"/>
              <w:spacing w:line="240" w:lineRule="auto"/>
              <w:textAlignment w:val="baseline"/>
              <w:rPr>
                <w:noProof/>
              </w:rPr>
            </w:pPr>
            <w:r>
              <w:rPr>
                <w:noProof/>
              </w:rPr>
              <w:t>A3.1 Forța de muncă pentru economia modernă: îmbunătățirea corelării competențelor și calificărilor cu piața forței de muncă</w:t>
            </w:r>
          </w:p>
        </w:tc>
        <w:tc>
          <w:tcPr>
            <w:tcW w:w="1276" w:type="dxa"/>
            <w:shd w:val="clear" w:color="auto" w:fill="C6EFCE"/>
            <w:hideMark/>
          </w:tcPr>
          <w:p w14:paraId="1216C5E5" w14:textId="694E2C49"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5E6" w14:textId="57E0C054" w:rsidR="00A60DDE" w:rsidRDefault="00095506">
            <w:pPr>
              <w:pStyle w:val="P68B1DB1-Normal87"/>
              <w:spacing w:line="240" w:lineRule="auto"/>
              <w:textAlignment w:val="baseline"/>
              <w:rPr>
                <w:noProof/>
                <w:sz w:val="24"/>
                <w:szCs w:val="24"/>
              </w:rPr>
            </w:pPr>
            <w:r>
              <w:rPr>
                <w:noProof/>
              </w:rPr>
              <w:t>Intrarea în vigoare a actelor juridice (inclusiv actul de modificare a Legii privind cadrele didactice) care permit punerea în aplicare a formării profesionale a cadrelor didactice în centrele sectoriale de competențe</w:t>
            </w:r>
          </w:p>
        </w:tc>
      </w:tr>
      <w:tr w:rsidR="00A60DDE" w14:paraId="1216C5EC" w14:textId="77777777">
        <w:trPr>
          <w:trHeight w:val="300"/>
        </w:trPr>
        <w:tc>
          <w:tcPr>
            <w:tcW w:w="1268" w:type="dxa"/>
            <w:shd w:val="clear" w:color="auto" w:fill="C6EFCE"/>
            <w:hideMark/>
          </w:tcPr>
          <w:p w14:paraId="1216C5E8" w14:textId="44BF9D54" w:rsidR="00A60DDE" w:rsidRDefault="00095506">
            <w:pPr>
              <w:pStyle w:val="P68B1DB1-Normal87"/>
              <w:spacing w:line="240" w:lineRule="auto"/>
              <w:ind w:right="45"/>
              <w:jc w:val="center"/>
              <w:textAlignment w:val="baseline"/>
              <w:rPr>
                <w:noProof/>
                <w:sz w:val="24"/>
                <w:szCs w:val="24"/>
              </w:rPr>
            </w:pPr>
            <w:r>
              <w:rPr>
                <w:noProof/>
              </w:rPr>
              <w:t xml:space="preserve">A50G </w:t>
            </w:r>
          </w:p>
        </w:tc>
        <w:tc>
          <w:tcPr>
            <w:tcW w:w="3544" w:type="dxa"/>
            <w:shd w:val="clear" w:color="auto" w:fill="C6EFCE"/>
            <w:hideMark/>
          </w:tcPr>
          <w:p w14:paraId="1216C5E9" w14:textId="7FBAD26F" w:rsidR="00A60DDE" w:rsidRDefault="00095506">
            <w:pPr>
              <w:pStyle w:val="P68B1DB1-Normal87"/>
              <w:spacing w:line="240" w:lineRule="auto"/>
              <w:textAlignment w:val="baseline"/>
              <w:rPr>
                <w:noProof/>
                <w:sz w:val="24"/>
                <w:szCs w:val="24"/>
              </w:rPr>
            </w:pPr>
            <w:r>
              <w:rPr>
                <w:noProof/>
              </w:rPr>
              <w:t>A3.1.1 Investiții în formarea profesională modernă, învățământul superior și învățarea pe tot parcursul vieții</w:t>
            </w:r>
          </w:p>
        </w:tc>
        <w:tc>
          <w:tcPr>
            <w:tcW w:w="1276" w:type="dxa"/>
            <w:shd w:val="clear" w:color="auto" w:fill="C6EFCE"/>
            <w:hideMark/>
          </w:tcPr>
          <w:p w14:paraId="1216C5EA" w14:textId="7705E0A8" w:rsidR="00A60DDE" w:rsidRDefault="00095506">
            <w:pPr>
              <w:pStyle w:val="P68B1DB1-Normal87"/>
              <w:spacing w:line="240" w:lineRule="auto"/>
              <w:ind w:right="45"/>
              <w:jc w:val="center"/>
              <w:textAlignment w:val="baseline"/>
              <w:rPr>
                <w:noProof/>
                <w:sz w:val="24"/>
                <w:szCs w:val="24"/>
              </w:rPr>
            </w:pPr>
            <w:r>
              <w:rPr>
                <w:noProof/>
              </w:rPr>
              <w:t>Țintă</w:t>
            </w:r>
          </w:p>
        </w:tc>
        <w:tc>
          <w:tcPr>
            <w:tcW w:w="3535" w:type="dxa"/>
            <w:shd w:val="clear" w:color="auto" w:fill="C6EFCE"/>
            <w:hideMark/>
          </w:tcPr>
          <w:p w14:paraId="1216C5EB" w14:textId="643F3E84" w:rsidR="00A60DDE" w:rsidRDefault="00095506">
            <w:pPr>
              <w:pStyle w:val="P68B1DB1-Normal87"/>
              <w:spacing w:line="240" w:lineRule="auto"/>
              <w:textAlignment w:val="baseline"/>
              <w:rPr>
                <w:noProof/>
                <w:sz w:val="24"/>
                <w:szCs w:val="24"/>
              </w:rPr>
            </w:pPr>
            <w:r>
              <w:rPr>
                <w:noProof/>
              </w:rPr>
              <w:t>Elaborarea de programe operaționalizate de punere în aplicare a Strategiei integrate privind competențele la nivel regional de către echipele regionale de coordonare instituite pentru educația și formarea profesională și învățarea pe tot parcursul vieții</w:t>
            </w:r>
          </w:p>
        </w:tc>
      </w:tr>
      <w:tr w:rsidR="00A60DDE" w14:paraId="1216C5F1" w14:textId="77777777">
        <w:trPr>
          <w:trHeight w:val="300"/>
        </w:trPr>
        <w:tc>
          <w:tcPr>
            <w:tcW w:w="1268" w:type="dxa"/>
            <w:shd w:val="clear" w:color="auto" w:fill="C6EFCE"/>
            <w:hideMark/>
          </w:tcPr>
          <w:p w14:paraId="1216C5ED" w14:textId="36319A91" w:rsidR="00A60DDE" w:rsidRDefault="00095506">
            <w:pPr>
              <w:pStyle w:val="P68B1DB1-Normal87"/>
              <w:spacing w:line="240" w:lineRule="auto"/>
              <w:ind w:right="45"/>
              <w:jc w:val="center"/>
              <w:textAlignment w:val="baseline"/>
              <w:rPr>
                <w:noProof/>
                <w:sz w:val="24"/>
                <w:szCs w:val="24"/>
              </w:rPr>
            </w:pPr>
            <w:r>
              <w:rPr>
                <w:noProof/>
              </w:rPr>
              <w:t xml:space="preserve">A69G </w:t>
            </w:r>
          </w:p>
        </w:tc>
        <w:tc>
          <w:tcPr>
            <w:tcW w:w="3544" w:type="dxa"/>
            <w:shd w:val="clear" w:color="auto" w:fill="C6EFCE"/>
            <w:hideMark/>
          </w:tcPr>
          <w:p w14:paraId="1216C5EE" w14:textId="3D27F837" w:rsidR="00A60DDE" w:rsidRDefault="00095506">
            <w:pPr>
              <w:pStyle w:val="P68B1DB1-Normal87"/>
              <w:spacing w:line="240" w:lineRule="auto"/>
              <w:textAlignment w:val="baseline"/>
              <w:rPr>
                <w:noProof/>
                <w:sz w:val="24"/>
                <w:szCs w:val="24"/>
              </w:rPr>
            </w:pPr>
            <w:r>
              <w:rPr>
                <w:noProof/>
              </w:rPr>
              <w:t>A4.6 Creșterea participării pe piața muncii a anumitor grupuri prin dezvoltarea îngrijirii pe termen lung</w:t>
            </w:r>
          </w:p>
        </w:tc>
        <w:tc>
          <w:tcPr>
            <w:tcW w:w="1276" w:type="dxa"/>
            <w:shd w:val="clear" w:color="auto" w:fill="C6EFCE"/>
            <w:hideMark/>
          </w:tcPr>
          <w:p w14:paraId="1216C5EF" w14:textId="37887BB4"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5F0" w14:textId="09FE66CF" w:rsidR="00A60DDE" w:rsidRDefault="00095506">
            <w:pPr>
              <w:pStyle w:val="P68B1DB1-Normal87"/>
              <w:spacing w:line="240" w:lineRule="auto"/>
              <w:textAlignment w:val="baseline"/>
              <w:rPr>
                <w:noProof/>
                <w:sz w:val="24"/>
                <w:szCs w:val="24"/>
              </w:rPr>
            </w:pPr>
            <w:r>
              <w:rPr>
                <w:noProof/>
              </w:rPr>
              <w:t>Revizuirea strategică a îngrijirii pe termen lung în Polonia în vederea identificării priorităților de reformă</w:t>
            </w:r>
          </w:p>
        </w:tc>
      </w:tr>
      <w:tr w:rsidR="00A60DDE" w14:paraId="1216C5F6" w14:textId="77777777">
        <w:trPr>
          <w:trHeight w:val="300"/>
        </w:trPr>
        <w:tc>
          <w:tcPr>
            <w:tcW w:w="1268" w:type="dxa"/>
            <w:shd w:val="clear" w:color="auto" w:fill="C6EFCE"/>
            <w:hideMark/>
          </w:tcPr>
          <w:p w14:paraId="1216C5F2" w14:textId="7292D112" w:rsidR="00A60DDE" w:rsidRDefault="00095506">
            <w:pPr>
              <w:pStyle w:val="P68B1DB1-Normal87"/>
              <w:spacing w:line="240" w:lineRule="auto"/>
              <w:ind w:right="45"/>
              <w:jc w:val="center"/>
              <w:textAlignment w:val="baseline"/>
              <w:rPr>
                <w:noProof/>
                <w:sz w:val="24"/>
                <w:szCs w:val="24"/>
              </w:rPr>
            </w:pPr>
            <w:r>
              <w:rPr>
                <w:noProof/>
              </w:rPr>
              <w:t xml:space="preserve">B5G </w:t>
            </w:r>
          </w:p>
        </w:tc>
        <w:tc>
          <w:tcPr>
            <w:tcW w:w="3544" w:type="dxa"/>
            <w:shd w:val="clear" w:color="auto" w:fill="C6EFCE"/>
            <w:hideMark/>
          </w:tcPr>
          <w:p w14:paraId="1216C5F3" w14:textId="416A349D" w:rsidR="00A60DDE" w:rsidRDefault="00095506">
            <w:pPr>
              <w:pStyle w:val="P68B1DB1-Normal87"/>
              <w:spacing w:line="240" w:lineRule="auto"/>
              <w:textAlignment w:val="baseline"/>
              <w:rPr>
                <w:noProof/>
                <w:sz w:val="24"/>
                <w:szCs w:val="24"/>
              </w:rPr>
            </w:pPr>
            <w:r>
              <w:rPr>
                <w:noProof/>
              </w:rPr>
              <w:t>B1.1 Aer curat și eficiență energetică</w:t>
            </w:r>
          </w:p>
        </w:tc>
        <w:tc>
          <w:tcPr>
            <w:tcW w:w="1276" w:type="dxa"/>
            <w:shd w:val="clear" w:color="auto" w:fill="C6EFCE"/>
            <w:hideMark/>
          </w:tcPr>
          <w:p w14:paraId="1216C5F4" w14:textId="227154B0"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5F5" w14:textId="70CA9BC2" w:rsidR="00A60DDE" w:rsidRDefault="00095506">
            <w:pPr>
              <w:pStyle w:val="P68B1DB1-Normal87"/>
              <w:spacing w:line="240" w:lineRule="auto"/>
              <w:textAlignment w:val="baseline"/>
              <w:rPr>
                <w:noProof/>
                <w:sz w:val="24"/>
                <w:szCs w:val="24"/>
              </w:rPr>
            </w:pPr>
            <w:r>
              <w:rPr>
                <w:noProof/>
              </w:rPr>
              <w:t>Intrarea în vigoare a regulamentului de stabilire a standardelor de calitate pentru combustibilii solizi din biomasă</w:t>
            </w:r>
          </w:p>
        </w:tc>
      </w:tr>
      <w:tr w:rsidR="00A60DDE" w14:paraId="1216C5FB" w14:textId="77777777">
        <w:trPr>
          <w:trHeight w:val="300"/>
        </w:trPr>
        <w:tc>
          <w:tcPr>
            <w:tcW w:w="1268" w:type="dxa"/>
            <w:shd w:val="clear" w:color="auto" w:fill="C6EFCE"/>
            <w:hideMark/>
          </w:tcPr>
          <w:p w14:paraId="1216C5F7" w14:textId="398AD281" w:rsidR="00A60DDE" w:rsidRDefault="00095506">
            <w:pPr>
              <w:pStyle w:val="P68B1DB1-Normal87"/>
              <w:spacing w:line="240" w:lineRule="auto"/>
              <w:ind w:right="45"/>
              <w:jc w:val="center"/>
              <w:textAlignment w:val="baseline"/>
              <w:rPr>
                <w:noProof/>
                <w:sz w:val="24"/>
                <w:szCs w:val="24"/>
              </w:rPr>
            </w:pPr>
            <w:r>
              <w:rPr>
                <w:noProof/>
              </w:rPr>
              <w:t xml:space="preserve">B8G </w:t>
            </w:r>
          </w:p>
        </w:tc>
        <w:tc>
          <w:tcPr>
            <w:tcW w:w="3544" w:type="dxa"/>
            <w:shd w:val="clear" w:color="auto" w:fill="C6EFCE"/>
            <w:hideMark/>
          </w:tcPr>
          <w:p w14:paraId="1216C5F8" w14:textId="7CB8AEC1" w:rsidR="00A60DDE" w:rsidRDefault="00095506">
            <w:pPr>
              <w:pStyle w:val="P68B1DB1-Normal87"/>
              <w:spacing w:line="240" w:lineRule="auto"/>
              <w:textAlignment w:val="baseline"/>
              <w:rPr>
                <w:noProof/>
                <w:sz w:val="24"/>
                <w:szCs w:val="24"/>
              </w:rPr>
            </w:pPr>
            <w:r>
              <w:rPr>
                <w:noProof/>
              </w:rPr>
              <w:t>B1.1.2 Înlocuirea surselor de căldură și îmbunătățirea eficienței energetice în clădirile rezidențiale unifamiliale</w:t>
            </w:r>
          </w:p>
        </w:tc>
        <w:tc>
          <w:tcPr>
            <w:tcW w:w="1276" w:type="dxa"/>
            <w:shd w:val="clear" w:color="auto" w:fill="C6EFCE"/>
            <w:hideMark/>
          </w:tcPr>
          <w:p w14:paraId="1216C5F9" w14:textId="54152C6E" w:rsidR="00A60DDE" w:rsidRDefault="00095506">
            <w:pPr>
              <w:pStyle w:val="P68B1DB1-Normal87"/>
              <w:spacing w:line="240" w:lineRule="auto"/>
              <w:ind w:left="60"/>
              <w:textAlignment w:val="baseline"/>
              <w:rPr>
                <w:noProof/>
                <w:sz w:val="24"/>
                <w:szCs w:val="24"/>
              </w:rPr>
            </w:pPr>
            <w:r>
              <w:rPr>
                <w:noProof/>
              </w:rPr>
              <w:t>Țintă</w:t>
            </w:r>
          </w:p>
        </w:tc>
        <w:tc>
          <w:tcPr>
            <w:tcW w:w="3535" w:type="dxa"/>
            <w:shd w:val="clear" w:color="auto" w:fill="C6EFCE"/>
            <w:hideMark/>
          </w:tcPr>
          <w:p w14:paraId="1216C5FA" w14:textId="27C647AE" w:rsidR="00A60DDE" w:rsidRDefault="00095506">
            <w:pPr>
              <w:pStyle w:val="P68B1DB1-Normal87"/>
              <w:spacing w:line="240" w:lineRule="auto"/>
              <w:textAlignment w:val="baseline"/>
              <w:rPr>
                <w:noProof/>
                <w:sz w:val="24"/>
                <w:szCs w:val="24"/>
              </w:rPr>
            </w:pPr>
            <w:r>
              <w:rPr>
                <w:noProof/>
              </w:rPr>
              <w:t>T1 - Înlocuirea sursei de căldură în clădirile unifamiliale</w:t>
            </w:r>
          </w:p>
        </w:tc>
      </w:tr>
      <w:tr w:rsidR="00A60DDE" w14:paraId="1216C600" w14:textId="77777777">
        <w:trPr>
          <w:trHeight w:val="300"/>
        </w:trPr>
        <w:tc>
          <w:tcPr>
            <w:tcW w:w="1268" w:type="dxa"/>
            <w:shd w:val="clear" w:color="auto" w:fill="C6EFCE"/>
            <w:hideMark/>
          </w:tcPr>
          <w:p w14:paraId="1216C5FC" w14:textId="27F8702A" w:rsidR="00A60DDE" w:rsidRDefault="00095506">
            <w:pPr>
              <w:pStyle w:val="P68B1DB1-Normal87"/>
              <w:spacing w:line="240" w:lineRule="auto"/>
              <w:ind w:right="45"/>
              <w:jc w:val="center"/>
              <w:textAlignment w:val="baseline"/>
              <w:rPr>
                <w:noProof/>
                <w:sz w:val="24"/>
                <w:szCs w:val="24"/>
              </w:rPr>
            </w:pPr>
            <w:r>
              <w:rPr>
                <w:noProof/>
              </w:rPr>
              <w:t xml:space="preserve">B10G </w:t>
            </w:r>
          </w:p>
        </w:tc>
        <w:tc>
          <w:tcPr>
            <w:tcW w:w="3544" w:type="dxa"/>
            <w:shd w:val="clear" w:color="auto" w:fill="C6EFCE"/>
            <w:hideMark/>
          </w:tcPr>
          <w:p w14:paraId="1216C5FD" w14:textId="6D6CBB63" w:rsidR="00A60DDE" w:rsidRDefault="00095506">
            <w:pPr>
              <w:pStyle w:val="P68B1DB1-Normal87"/>
              <w:spacing w:line="240" w:lineRule="auto"/>
              <w:textAlignment w:val="baseline"/>
              <w:rPr>
                <w:noProof/>
                <w:sz w:val="24"/>
                <w:szCs w:val="24"/>
              </w:rPr>
            </w:pPr>
            <w:r>
              <w:rPr>
                <w:noProof/>
              </w:rPr>
              <w:t>B1.1.2 Înlocuirea sursei de căldură și îmbunătățirea eficienței energetice în clădirile rezidențiale unifamiliale</w:t>
            </w:r>
          </w:p>
        </w:tc>
        <w:tc>
          <w:tcPr>
            <w:tcW w:w="1276" w:type="dxa"/>
            <w:shd w:val="clear" w:color="auto" w:fill="C6EFCE"/>
            <w:hideMark/>
          </w:tcPr>
          <w:p w14:paraId="1216C5FE" w14:textId="4B565DCA" w:rsidR="00A60DDE" w:rsidRDefault="00095506">
            <w:pPr>
              <w:pStyle w:val="P68B1DB1-Normal87"/>
              <w:spacing w:line="240" w:lineRule="auto"/>
              <w:ind w:left="60"/>
              <w:textAlignment w:val="baseline"/>
              <w:rPr>
                <w:noProof/>
                <w:sz w:val="24"/>
                <w:szCs w:val="24"/>
              </w:rPr>
            </w:pPr>
            <w:r>
              <w:rPr>
                <w:noProof/>
              </w:rPr>
              <w:t>Țintă</w:t>
            </w:r>
          </w:p>
        </w:tc>
        <w:tc>
          <w:tcPr>
            <w:tcW w:w="3535" w:type="dxa"/>
            <w:shd w:val="clear" w:color="auto" w:fill="C6EFCE"/>
            <w:hideMark/>
          </w:tcPr>
          <w:p w14:paraId="1216C5FF" w14:textId="2377BAE9" w:rsidR="00A60DDE" w:rsidRDefault="00095506">
            <w:pPr>
              <w:pStyle w:val="P68B1DB1-Normal87"/>
              <w:spacing w:line="240" w:lineRule="auto"/>
              <w:textAlignment w:val="baseline"/>
              <w:rPr>
                <w:noProof/>
                <w:sz w:val="24"/>
                <w:szCs w:val="24"/>
              </w:rPr>
            </w:pPr>
            <w:r>
              <w:rPr>
                <w:noProof/>
              </w:rPr>
              <w:t xml:space="preserve">T1 </w:t>
            </w:r>
            <w:r w:rsidR="005631E2">
              <w:rPr>
                <w:noProof/>
              </w:rPr>
              <w:t>–</w:t>
            </w:r>
            <w:r>
              <w:rPr>
                <w:noProof/>
              </w:rPr>
              <w:t xml:space="preserve"> Termo</w:t>
            </w:r>
            <w:r w:rsidR="005631E2">
              <w:rPr>
                <w:noProof/>
              </w:rPr>
              <w:t>-</w:t>
            </w:r>
            <w:r>
              <w:rPr>
                <w:noProof/>
              </w:rPr>
              <w:t>modernizarea și instalarea surselor regenerabile de energie în clădiri rezidențiale unifamiliale</w:t>
            </w:r>
          </w:p>
        </w:tc>
      </w:tr>
      <w:tr w:rsidR="00A60DDE" w14:paraId="1216C605" w14:textId="77777777">
        <w:trPr>
          <w:trHeight w:val="300"/>
        </w:trPr>
        <w:tc>
          <w:tcPr>
            <w:tcW w:w="1268" w:type="dxa"/>
            <w:shd w:val="clear" w:color="auto" w:fill="C6EFCE"/>
            <w:hideMark/>
          </w:tcPr>
          <w:p w14:paraId="1216C601" w14:textId="77749AF9" w:rsidR="00A60DDE" w:rsidRDefault="00095506">
            <w:pPr>
              <w:pStyle w:val="P68B1DB1-Normal87"/>
              <w:spacing w:line="240" w:lineRule="auto"/>
              <w:ind w:right="45"/>
              <w:jc w:val="center"/>
              <w:textAlignment w:val="baseline"/>
              <w:rPr>
                <w:noProof/>
                <w:sz w:val="24"/>
                <w:szCs w:val="24"/>
              </w:rPr>
            </w:pPr>
            <w:r>
              <w:rPr>
                <w:noProof/>
              </w:rPr>
              <w:t xml:space="preserve">B17G </w:t>
            </w:r>
          </w:p>
        </w:tc>
        <w:tc>
          <w:tcPr>
            <w:tcW w:w="3544" w:type="dxa"/>
            <w:shd w:val="clear" w:color="auto" w:fill="C6EFCE"/>
            <w:hideMark/>
          </w:tcPr>
          <w:p w14:paraId="1216C602" w14:textId="397DEB4C" w:rsidR="00A60DDE" w:rsidRDefault="00095506">
            <w:pPr>
              <w:pStyle w:val="P68B1DB1-Normal87"/>
              <w:spacing w:line="240" w:lineRule="auto"/>
              <w:textAlignment w:val="baseline"/>
              <w:rPr>
                <w:noProof/>
                <w:sz w:val="24"/>
                <w:szCs w:val="24"/>
              </w:rPr>
            </w:pPr>
            <w:r>
              <w:rPr>
                <w:noProof/>
              </w:rPr>
              <w:t xml:space="preserve">B2.1 Îmbunătățirea condițiilor pentru dezvoltarea tehnologiilor pe bază de hidrogen și a altor gaze decarbonizate </w:t>
            </w:r>
          </w:p>
        </w:tc>
        <w:tc>
          <w:tcPr>
            <w:tcW w:w="1276" w:type="dxa"/>
            <w:shd w:val="clear" w:color="auto" w:fill="C6EFCE"/>
            <w:hideMark/>
          </w:tcPr>
          <w:p w14:paraId="1216C603" w14:textId="4B58E274"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604" w14:textId="2BF44E57" w:rsidR="00A60DDE" w:rsidRDefault="00095506">
            <w:pPr>
              <w:pStyle w:val="P68B1DB1-Normal87"/>
              <w:spacing w:line="240" w:lineRule="auto"/>
              <w:textAlignment w:val="baseline"/>
              <w:rPr>
                <w:noProof/>
                <w:sz w:val="24"/>
                <w:szCs w:val="24"/>
              </w:rPr>
            </w:pPr>
            <w:r>
              <w:rPr>
                <w:noProof/>
              </w:rPr>
              <w:t>Intrarea în vigoare a legii de stabilire a normelor privind hidrogenul</w:t>
            </w:r>
          </w:p>
        </w:tc>
      </w:tr>
      <w:tr w:rsidR="00A60DDE" w14:paraId="1216C60A" w14:textId="77777777">
        <w:trPr>
          <w:trHeight w:val="300"/>
        </w:trPr>
        <w:tc>
          <w:tcPr>
            <w:tcW w:w="1268" w:type="dxa"/>
            <w:shd w:val="clear" w:color="auto" w:fill="C6EFCE"/>
            <w:hideMark/>
          </w:tcPr>
          <w:p w14:paraId="1216C606" w14:textId="77777777" w:rsidR="00A60DDE" w:rsidRDefault="00095506">
            <w:pPr>
              <w:pStyle w:val="P68B1DB1-Normal87"/>
              <w:spacing w:line="240" w:lineRule="auto"/>
              <w:ind w:right="45"/>
              <w:jc w:val="center"/>
              <w:textAlignment w:val="baseline"/>
              <w:rPr>
                <w:noProof/>
                <w:sz w:val="24"/>
                <w:szCs w:val="24"/>
              </w:rPr>
            </w:pPr>
            <w:r>
              <w:rPr>
                <w:noProof/>
              </w:rPr>
              <w:t>B42G </w:t>
            </w:r>
          </w:p>
        </w:tc>
        <w:tc>
          <w:tcPr>
            <w:tcW w:w="3544" w:type="dxa"/>
            <w:shd w:val="clear" w:color="auto" w:fill="C6EFCE"/>
            <w:hideMark/>
          </w:tcPr>
          <w:p w14:paraId="1216C607" w14:textId="7230ADFA" w:rsidR="00A60DDE" w:rsidRDefault="00095506">
            <w:pPr>
              <w:pStyle w:val="P68B1DB1-Normal87"/>
              <w:spacing w:line="240" w:lineRule="auto"/>
              <w:textAlignment w:val="baseline"/>
              <w:rPr>
                <w:noProof/>
                <w:sz w:val="24"/>
                <w:szCs w:val="24"/>
              </w:rPr>
            </w:pPr>
            <w:r>
              <w:rPr>
                <w:noProof/>
              </w:rPr>
              <w:t>B1.1.5 Îmbunătățirea eficienței energetice a clădirilor rezidențiale cu mai multe apartamente</w:t>
            </w:r>
          </w:p>
        </w:tc>
        <w:tc>
          <w:tcPr>
            <w:tcW w:w="1276" w:type="dxa"/>
            <w:shd w:val="clear" w:color="auto" w:fill="C6EFCE"/>
            <w:hideMark/>
          </w:tcPr>
          <w:p w14:paraId="1216C608" w14:textId="566E1D0C" w:rsidR="00A60DDE" w:rsidRDefault="00095506">
            <w:pPr>
              <w:pStyle w:val="P68B1DB1-Normal87"/>
              <w:spacing w:line="240" w:lineRule="auto"/>
              <w:ind w:left="60"/>
              <w:textAlignment w:val="baseline"/>
              <w:rPr>
                <w:noProof/>
                <w:sz w:val="24"/>
                <w:szCs w:val="24"/>
              </w:rPr>
            </w:pPr>
            <w:r>
              <w:rPr>
                <w:noProof/>
              </w:rPr>
              <w:t>Țintă</w:t>
            </w:r>
          </w:p>
        </w:tc>
        <w:tc>
          <w:tcPr>
            <w:tcW w:w="3535" w:type="dxa"/>
            <w:shd w:val="clear" w:color="auto" w:fill="C6EFCE"/>
            <w:hideMark/>
          </w:tcPr>
          <w:p w14:paraId="1216C609" w14:textId="434A5429" w:rsidR="00A60DDE" w:rsidRDefault="00095506">
            <w:pPr>
              <w:pStyle w:val="P68B1DB1-Normal87"/>
              <w:spacing w:line="240" w:lineRule="auto"/>
              <w:textAlignment w:val="baseline"/>
              <w:rPr>
                <w:noProof/>
                <w:sz w:val="24"/>
                <w:szCs w:val="24"/>
              </w:rPr>
            </w:pPr>
            <w:r>
              <w:rPr>
                <w:noProof/>
              </w:rPr>
              <w:t>T1 – Instalații de energie din surse regenerabile și termo</w:t>
            </w:r>
            <w:r w:rsidR="005631E2">
              <w:rPr>
                <w:noProof/>
              </w:rPr>
              <w:t>-</w:t>
            </w:r>
            <w:r>
              <w:rPr>
                <w:noProof/>
              </w:rPr>
              <w:t>modernizări în clădirile cu mai multe apartamente</w:t>
            </w:r>
          </w:p>
        </w:tc>
      </w:tr>
      <w:tr w:rsidR="00A60DDE" w14:paraId="1216C60F" w14:textId="77777777">
        <w:trPr>
          <w:trHeight w:val="300"/>
        </w:trPr>
        <w:tc>
          <w:tcPr>
            <w:tcW w:w="1268" w:type="dxa"/>
            <w:shd w:val="clear" w:color="auto" w:fill="C6EFCE"/>
            <w:hideMark/>
          </w:tcPr>
          <w:p w14:paraId="1216C60B" w14:textId="5599E16F" w:rsidR="00A60DDE" w:rsidRDefault="00095506">
            <w:pPr>
              <w:pStyle w:val="P68B1DB1-Normal87"/>
              <w:spacing w:line="240" w:lineRule="auto"/>
              <w:ind w:right="45"/>
              <w:jc w:val="center"/>
              <w:textAlignment w:val="baseline"/>
              <w:rPr>
                <w:noProof/>
                <w:sz w:val="24"/>
                <w:szCs w:val="24"/>
              </w:rPr>
            </w:pPr>
            <w:r>
              <w:rPr>
                <w:noProof/>
              </w:rPr>
              <w:t xml:space="preserve">C27G </w:t>
            </w:r>
          </w:p>
        </w:tc>
        <w:tc>
          <w:tcPr>
            <w:tcW w:w="3544" w:type="dxa"/>
            <w:shd w:val="clear" w:color="auto" w:fill="C6EFCE"/>
            <w:hideMark/>
          </w:tcPr>
          <w:p w14:paraId="1216C60C" w14:textId="21ADCE01" w:rsidR="00A60DDE" w:rsidRDefault="00095506">
            <w:pPr>
              <w:pStyle w:val="P68B1DB1-Normal87"/>
              <w:spacing w:line="240" w:lineRule="auto"/>
              <w:textAlignment w:val="baseline"/>
              <w:rPr>
                <w:noProof/>
                <w:sz w:val="24"/>
                <w:szCs w:val="24"/>
              </w:rPr>
            </w:pPr>
            <w:r>
              <w:rPr>
                <w:noProof/>
              </w:rPr>
              <w:t>C3.1.1 Securitate cibernetică – CyberPL, infrastructura de prelucrare a datelor și optimizarea infrastructurii serviciilor de aplicare a legii</w:t>
            </w:r>
          </w:p>
        </w:tc>
        <w:tc>
          <w:tcPr>
            <w:tcW w:w="1276" w:type="dxa"/>
            <w:shd w:val="clear" w:color="auto" w:fill="C6EFCE"/>
            <w:hideMark/>
          </w:tcPr>
          <w:p w14:paraId="1216C60D" w14:textId="6C21EE44" w:rsidR="00A60DDE" w:rsidRDefault="00095506">
            <w:pPr>
              <w:pStyle w:val="P68B1DB1-Normal87"/>
              <w:spacing w:line="240" w:lineRule="auto"/>
              <w:ind w:left="60"/>
              <w:textAlignment w:val="baseline"/>
              <w:rPr>
                <w:noProof/>
                <w:sz w:val="24"/>
                <w:szCs w:val="24"/>
              </w:rPr>
            </w:pPr>
            <w:r>
              <w:rPr>
                <w:noProof/>
              </w:rPr>
              <w:t xml:space="preserve">Etapa de referință </w:t>
            </w:r>
          </w:p>
        </w:tc>
        <w:tc>
          <w:tcPr>
            <w:tcW w:w="3535" w:type="dxa"/>
            <w:shd w:val="clear" w:color="auto" w:fill="C6EFCE"/>
            <w:hideMark/>
          </w:tcPr>
          <w:p w14:paraId="1216C60E" w14:textId="508F39EB" w:rsidR="00A60DDE" w:rsidRDefault="00095506">
            <w:pPr>
              <w:pStyle w:val="P68B1DB1-Normal87"/>
              <w:spacing w:line="240" w:lineRule="auto"/>
              <w:textAlignment w:val="baseline"/>
              <w:rPr>
                <w:noProof/>
                <w:sz w:val="24"/>
                <w:szCs w:val="24"/>
              </w:rPr>
            </w:pPr>
            <w:r>
              <w:rPr>
                <w:noProof/>
              </w:rPr>
              <w:t>Proiect important de interes european comun (PIIEC): Selectarea proiectelor de cloud de nouă generație și semnarea contractelor</w:t>
            </w:r>
          </w:p>
        </w:tc>
      </w:tr>
      <w:tr w:rsidR="00A60DDE" w14:paraId="1216C614" w14:textId="77777777">
        <w:trPr>
          <w:trHeight w:val="300"/>
        </w:trPr>
        <w:tc>
          <w:tcPr>
            <w:tcW w:w="1268" w:type="dxa"/>
            <w:shd w:val="clear" w:color="auto" w:fill="C6EFCE"/>
            <w:hideMark/>
          </w:tcPr>
          <w:p w14:paraId="1216C610" w14:textId="77777777" w:rsidR="00A60DDE" w:rsidRDefault="00095506">
            <w:pPr>
              <w:pStyle w:val="P68B1DB1-Normal87"/>
              <w:spacing w:line="240" w:lineRule="auto"/>
              <w:ind w:right="45"/>
              <w:jc w:val="center"/>
              <w:textAlignment w:val="baseline"/>
              <w:rPr>
                <w:noProof/>
                <w:sz w:val="24"/>
                <w:szCs w:val="24"/>
              </w:rPr>
            </w:pPr>
            <w:r>
              <w:rPr>
                <w:noProof/>
              </w:rPr>
              <w:t>D10aG </w:t>
            </w:r>
          </w:p>
        </w:tc>
        <w:tc>
          <w:tcPr>
            <w:tcW w:w="3544" w:type="dxa"/>
            <w:shd w:val="clear" w:color="auto" w:fill="C6EFCE"/>
            <w:hideMark/>
          </w:tcPr>
          <w:p w14:paraId="1216C611" w14:textId="23C4C9D7" w:rsidR="00A60DDE" w:rsidRDefault="00095506">
            <w:pPr>
              <w:pStyle w:val="P68B1DB1-Normal87"/>
              <w:spacing w:line="240" w:lineRule="auto"/>
              <w:textAlignment w:val="baseline"/>
              <w:rPr>
                <w:noProof/>
                <w:sz w:val="24"/>
                <w:szCs w:val="24"/>
              </w:rPr>
            </w:pPr>
            <w:r>
              <w:rPr>
                <w:noProof/>
              </w:rPr>
              <w:t>D1.1.1 Modernizarea centrelor de îngrijire foarte specializate și a altor furnizori de servicii medicale</w:t>
            </w:r>
          </w:p>
        </w:tc>
        <w:tc>
          <w:tcPr>
            <w:tcW w:w="1276" w:type="dxa"/>
            <w:shd w:val="clear" w:color="auto" w:fill="C6EFCE"/>
            <w:hideMark/>
          </w:tcPr>
          <w:p w14:paraId="1216C612" w14:textId="4F800FE7"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613" w14:textId="7EEEDFBD" w:rsidR="00A60DDE" w:rsidRDefault="00095506">
            <w:pPr>
              <w:pStyle w:val="P68B1DB1-Normal87"/>
              <w:spacing w:line="240" w:lineRule="auto"/>
              <w:textAlignment w:val="baseline"/>
              <w:rPr>
                <w:noProof/>
                <w:sz w:val="24"/>
                <w:szCs w:val="24"/>
              </w:rPr>
            </w:pPr>
            <w:r>
              <w:rPr>
                <w:noProof/>
              </w:rPr>
              <w:t>Prima cerere de propuneri pentru spitale (în cadrul Rețelei oncologice naționale) și centre specializate de asistență medicală ambulatorie (AOS) care cooperează cu acestea</w:t>
            </w:r>
          </w:p>
        </w:tc>
      </w:tr>
      <w:tr w:rsidR="00A60DDE" w14:paraId="1216C619" w14:textId="77777777">
        <w:trPr>
          <w:trHeight w:val="300"/>
        </w:trPr>
        <w:tc>
          <w:tcPr>
            <w:tcW w:w="1268" w:type="dxa"/>
            <w:shd w:val="clear" w:color="auto" w:fill="C6EFCE"/>
            <w:hideMark/>
          </w:tcPr>
          <w:p w14:paraId="1216C615" w14:textId="1F55AA84" w:rsidR="00A60DDE" w:rsidRDefault="00095506">
            <w:pPr>
              <w:pStyle w:val="P68B1DB1-Normal87"/>
              <w:spacing w:line="240" w:lineRule="auto"/>
              <w:ind w:right="45"/>
              <w:jc w:val="center"/>
              <w:textAlignment w:val="baseline"/>
              <w:rPr>
                <w:noProof/>
                <w:sz w:val="24"/>
                <w:szCs w:val="24"/>
              </w:rPr>
            </w:pPr>
            <w:r>
              <w:rPr>
                <w:noProof/>
              </w:rPr>
              <w:t xml:space="preserve">E24G </w:t>
            </w:r>
          </w:p>
        </w:tc>
        <w:tc>
          <w:tcPr>
            <w:tcW w:w="3544" w:type="dxa"/>
            <w:shd w:val="clear" w:color="auto" w:fill="C6EFCE"/>
            <w:hideMark/>
          </w:tcPr>
          <w:p w14:paraId="1216C616" w14:textId="7AAACBB1" w:rsidR="00A60DDE" w:rsidRDefault="00095506">
            <w:pPr>
              <w:pStyle w:val="P68B1DB1-Normal87"/>
              <w:spacing w:line="240" w:lineRule="auto"/>
              <w:textAlignment w:val="baseline"/>
              <w:rPr>
                <w:noProof/>
                <w:sz w:val="24"/>
                <w:szCs w:val="24"/>
              </w:rPr>
            </w:pPr>
            <w:r>
              <w:rPr>
                <w:noProof/>
              </w:rPr>
              <w:t xml:space="preserve">E2.2.1 Investiții în siguranța transporturilor </w:t>
            </w:r>
          </w:p>
        </w:tc>
        <w:tc>
          <w:tcPr>
            <w:tcW w:w="1276" w:type="dxa"/>
            <w:shd w:val="clear" w:color="auto" w:fill="C6EFCE"/>
            <w:hideMark/>
          </w:tcPr>
          <w:p w14:paraId="1216C617" w14:textId="35356225" w:rsidR="00A60DDE" w:rsidRDefault="00095506">
            <w:pPr>
              <w:pStyle w:val="P68B1DB1-Normal87"/>
              <w:spacing w:line="240" w:lineRule="auto"/>
              <w:ind w:left="60"/>
              <w:textAlignment w:val="baseline"/>
              <w:rPr>
                <w:noProof/>
                <w:sz w:val="24"/>
                <w:szCs w:val="24"/>
              </w:rPr>
            </w:pPr>
            <w:r>
              <w:rPr>
                <w:noProof/>
              </w:rPr>
              <w:t xml:space="preserve">Țintă </w:t>
            </w:r>
          </w:p>
        </w:tc>
        <w:tc>
          <w:tcPr>
            <w:tcW w:w="3535" w:type="dxa"/>
            <w:shd w:val="clear" w:color="auto" w:fill="C6EFCE"/>
            <w:hideMark/>
          </w:tcPr>
          <w:p w14:paraId="1216C618" w14:textId="2D0A5929" w:rsidR="00A60DDE" w:rsidRDefault="00095506">
            <w:pPr>
              <w:pStyle w:val="P68B1DB1-Normal87"/>
              <w:spacing w:line="240" w:lineRule="auto"/>
              <w:textAlignment w:val="baseline"/>
              <w:rPr>
                <w:noProof/>
                <w:sz w:val="24"/>
                <w:szCs w:val="24"/>
              </w:rPr>
            </w:pPr>
            <w:r>
              <w:rPr>
                <w:noProof/>
              </w:rPr>
              <w:t>Construirea de șosele ocolitoare și îmbunătățirea punctelor de acces în materie de siguranță rutieră</w:t>
            </w:r>
          </w:p>
        </w:tc>
      </w:tr>
      <w:tr w:rsidR="00A60DDE" w14:paraId="1216C61E" w14:textId="77777777">
        <w:trPr>
          <w:trHeight w:val="300"/>
        </w:trPr>
        <w:tc>
          <w:tcPr>
            <w:tcW w:w="1268" w:type="dxa"/>
            <w:shd w:val="clear" w:color="auto" w:fill="C6EFCE"/>
            <w:hideMark/>
          </w:tcPr>
          <w:p w14:paraId="1216C61A" w14:textId="63F6436B" w:rsidR="00A60DDE" w:rsidRDefault="00095506">
            <w:pPr>
              <w:pStyle w:val="P68B1DB1-Normal87"/>
              <w:spacing w:line="240" w:lineRule="auto"/>
              <w:ind w:right="45"/>
              <w:jc w:val="center"/>
              <w:textAlignment w:val="baseline"/>
              <w:rPr>
                <w:noProof/>
                <w:sz w:val="24"/>
                <w:szCs w:val="24"/>
              </w:rPr>
            </w:pPr>
            <w:r>
              <w:rPr>
                <w:noProof/>
              </w:rPr>
              <w:t xml:space="preserve">F3G </w:t>
            </w:r>
          </w:p>
        </w:tc>
        <w:tc>
          <w:tcPr>
            <w:tcW w:w="3544" w:type="dxa"/>
            <w:shd w:val="clear" w:color="auto" w:fill="C6EFCE"/>
            <w:hideMark/>
          </w:tcPr>
          <w:p w14:paraId="1216C61B" w14:textId="1761B311" w:rsidR="00A60DDE" w:rsidRDefault="00095506">
            <w:pPr>
              <w:pStyle w:val="P68B1DB1-Normal87"/>
              <w:spacing w:line="240" w:lineRule="auto"/>
              <w:textAlignment w:val="baseline"/>
              <w:rPr>
                <w:noProof/>
                <w:sz w:val="24"/>
                <w:szCs w:val="24"/>
              </w:rPr>
            </w:pPr>
            <w:r>
              <w:rPr>
                <w:noProof/>
              </w:rPr>
              <w:t>F2.1 Remedierea situației judecătorilor afectați de deciziile Camerei disciplinare în cauzele disciplinare și în cauzele privind imunitatea judiciară</w:t>
            </w:r>
          </w:p>
        </w:tc>
        <w:tc>
          <w:tcPr>
            <w:tcW w:w="1276" w:type="dxa"/>
            <w:shd w:val="clear" w:color="auto" w:fill="C6EFCE"/>
            <w:hideMark/>
          </w:tcPr>
          <w:p w14:paraId="1216C61C" w14:textId="2678E7FE" w:rsidR="00A60DDE" w:rsidRDefault="00095506">
            <w:pPr>
              <w:pStyle w:val="P68B1DB1-Normal87"/>
              <w:spacing w:line="240" w:lineRule="auto"/>
              <w:ind w:left="60"/>
              <w:textAlignment w:val="baseline"/>
              <w:rPr>
                <w:noProof/>
                <w:sz w:val="24"/>
                <w:szCs w:val="24"/>
              </w:rPr>
            </w:pPr>
            <w:r>
              <w:rPr>
                <w:noProof/>
              </w:rPr>
              <w:t xml:space="preserve">Etapa de referință </w:t>
            </w:r>
          </w:p>
        </w:tc>
        <w:tc>
          <w:tcPr>
            <w:tcW w:w="3535" w:type="dxa"/>
            <w:shd w:val="clear" w:color="auto" w:fill="C6EFCE"/>
            <w:hideMark/>
          </w:tcPr>
          <w:p w14:paraId="1216C61D" w14:textId="010B4B59" w:rsidR="00A60DDE" w:rsidRDefault="00095506">
            <w:pPr>
              <w:pStyle w:val="P68B1DB1-Normal87"/>
              <w:spacing w:line="240" w:lineRule="auto"/>
              <w:textAlignment w:val="baseline"/>
              <w:rPr>
                <w:noProof/>
                <w:sz w:val="24"/>
                <w:szCs w:val="24"/>
              </w:rPr>
            </w:pPr>
            <w:r>
              <w:rPr>
                <w:noProof/>
              </w:rPr>
              <w:t>Reforma pentru remedierea situației judecătorilor afectați de deciziile Camerei Disciplinare a Curții Supreme în cauzele disciplinare și în cauzele privind imunitatea judiciară</w:t>
            </w:r>
          </w:p>
        </w:tc>
      </w:tr>
      <w:tr w:rsidR="00A60DDE" w14:paraId="1216C623" w14:textId="77777777">
        <w:trPr>
          <w:trHeight w:val="300"/>
        </w:trPr>
        <w:tc>
          <w:tcPr>
            <w:tcW w:w="1268" w:type="dxa"/>
            <w:shd w:val="clear" w:color="auto" w:fill="C6EFCE"/>
            <w:hideMark/>
          </w:tcPr>
          <w:p w14:paraId="1216C61F" w14:textId="04B030B6" w:rsidR="00A60DDE" w:rsidRDefault="00095506">
            <w:pPr>
              <w:pStyle w:val="P68B1DB1-Normal87"/>
              <w:spacing w:line="240" w:lineRule="auto"/>
              <w:ind w:right="45"/>
              <w:jc w:val="center"/>
              <w:textAlignment w:val="baseline"/>
              <w:rPr>
                <w:noProof/>
                <w:sz w:val="24"/>
                <w:szCs w:val="24"/>
              </w:rPr>
            </w:pPr>
            <w:r>
              <w:rPr>
                <w:noProof/>
              </w:rPr>
              <w:t xml:space="preserve">G2G </w:t>
            </w:r>
          </w:p>
        </w:tc>
        <w:tc>
          <w:tcPr>
            <w:tcW w:w="3544" w:type="dxa"/>
            <w:shd w:val="clear" w:color="auto" w:fill="C6EFCE"/>
            <w:hideMark/>
          </w:tcPr>
          <w:p w14:paraId="1216C620" w14:textId="6B00C3BA" w:rsidR="00A60DDE" w:rsidRDefault="00095506">
            <w:pPr>
              <w:pStyle w:val="P68B1DB1-Normal87"/>
              <w:spacing w:line="240" w:lineRule="auto"/>
              <w:textAlignment w:val="baseline"/>
              <w:rPr>
                <w:noProof/>
                <w:sz w:val="24"/>
                <w:szCs w:val="24"/>
              </w:rPr>
            </w:pPr>
            <w:r>
              <w:rPr>
                <w:noProof/>
              </w:rPr>
              <w:t>G1.1.2 Instalații de energie din surse regenerabile puse în aplicare de comunitățile de energie</w:t>
            </w:r>
          </w:p>
        </w:tc>
        <w:tc>
          <w:tcPr>
            <w:tcW w:w="1276" w:type="dxa"/>
            <w:shd w:val="clear" w:color="auto" w:fill="C6EFCE"/>
            <w:hideMark/>
          </w:tcPr>
          <w:p w14:paraId="1216C621" w14:textId="1A1F520B"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622" w14:textId="29563374" w:rsidR="00A60DDE" w:rsidRDefault="00095506">
            <w:pPr>
              <w:pStyle w:val="P68B1DB1-Normal87"/>
              <w:spacing w:line="240" w:lineRule="auto"/>
              <w:textAlignment w:val="baseline"/>
              <w:rPr>
                <w:noProof/>
                <w:sz w:val="24"/>
                <w:szCs w:val="24"/>
              </w:rPr>
            </w:pPr>
            <w:r>
              <w:rPr>
                <w:noProof/>
              </w:rPr>
              <w:t>Cerere de propuneri pentru programul de sprijinire a investițiilor</w:t>
            </w:r>
          </w:p>
        </w:tc>
      </w:tr>
      <w:tr w:rsidR="00A60DDE" w14:paraId="1216C628" w14:textId="77777777">
        <w:trPr>
          <w:trHeight w:val="300"/>
        </w:trPr>
        <w:tc>
          <w:tcPr>
            <w:tcW w:w="1268" w:type="dxa"/>
            <w:shd w:val="clear" w:color="auto" w:fill="C6EFCE"/>
            <w:hideMark/>
          </w:tcPr>
          <w:p w14:paraId="1216C624" w14:textId="350D7C0D" w:rsidR="00A60DDE" w:rsidRDefault="00095506">
            <w:pPr>
              <w:pStyle w:val="P68B1DB1-Normal87"/>
              <w:spacing w:line="240" w:lineRule="auto"/>
              <w:ind w:right="45"/>
              <w:jc w:val="center"/>
              <w:textAlignment w:val="baseline"/>
              <w:rPr>
                <w:noProof/>
                <w:sz w:val="24"/>
                <w:szCs w:val="24"/>
              </w:rPr>
            </w:pPr>
            <w:r>
              <w:rPr>
                <w:noProof/>
              </w:rPr>
              <w:t xml:space="preserve">G13G </w:t>
            </w:r>
          </w:p>
        </w:tc>
        <w:tc>
          <w:tcPr>
            <w:tcW w:w="3544" w:type="dxa"/>
            <w:shd w:val="clear" w:color="auto" w:fill="C6EFCE"/>
            <w:hideMark/>
          </w:tcPr>
          <w:p w14:paraId="1216C625" w14:textId="62F43060" w:rsidR="00A60DDE" w:rsidRDefault="00095506">
            <w:pPr>
              <w:pStyle w:val="P68B1DB1-Normal87"/>
              <w:spacing w:line="240" w:lineRule="auto"/>
              <w:textAlignment w:val="baseline"/>
              <w:rPr>
                <w:noProof/>
                <w:sz w:val="24"/>
                <w:szCs w:val="24"/>
              </w:rPr>
            </w:pPr>
            <w:r>
              <w:rPr>
                <w:noProof/>
              </w:rPr>
              <w:t>G1.2.2 Eliminarea barierelor din calea integrării surselor regenerabile de energie în rețelele de energie electrică</w:t>
            </w:r>
          </w:p>
        </w:tc>
        <w:tc>
          <w:tcPr>
            <w:tcW w:w="1276" w:type="dxa"/>
            <w:shd w:val="clear" w:color="auto" w:fill="C6EFCE"/>
            <w:hideMark/>
          </w:tcPr>
          <w:p w14:paraId="1216C626" w14:textId="3E9B32AF" w:rsidR="00A60DDE" w:rsidRDefault="00095506">
            <w:pPr>
              <w:pStyle w:val="P68B1DB1-Normal87"/>
              <w:spacing w:line="240" w:lineRule="auto"/>
              <w:ind w:left="60"/>
              <w:textAlignment w:val="baseline"/>
              <w:rPr>
                <w:noProof/>
                <w:sz w:val="24"/>
                <w:szCs w:val="24"/>
              </w:rPr>
            </w:pPr>
            <w:r>
              <w:rPr>
                <w:noProof/>
              </w:rPr>
              <w:t>Etapa de referință</w:t>
            </w:r>
          </w:p>
        </w:tc>
        <w:tc>
          <w:tcPr>
            <w:tcW w:w="3535" w:type="dxa"/>
            <w:shd w:val="clear" w:color="auto" w:fill="C6EFCE"/>
            <w:hideMark/>
          </w:tcPr>
          <w:p w14:paraId="1216C627" w14:textId="4CF0B3AF" w:rsidR="00A60DDE" w:rsidRDefault="00095506">
            <w:pPr>
              <w:pStyle w:val="P68B1DB1-Normal87"/>
              <w:spacing w:line="240" w:lineRule="auto"/>
              <w:textAlignment w:val="baseline"/>
              <w:rPr>
                <w:noProof/>
                <w:sz w:val="24"/>
                <w:szCs w:val="24"/>
              </w:rPr>
            </w:pPr>
            <w:r>
              <w:rPr>
                <w:noProof/>
              </w:rPr>
              <w:t>Intrarea în vigoare a cadrului juridic care permite punerea în comun a cablurilor</w:t>
            </w:r>
          </w:p>
        </w:tc>
      </w:tr>
      <w:tr w:rsidR="00A60DDE" w14:paraId="1216C62D" w14:textId="77777777">
        <w:trPr>
          <w:trHeight w:val="300"/>
        </w:trPr>
        <w:tc>
          <w:tcPr>
            <w:tcW w:w="1268" w:type="dxa"/>
            <w:shd w:val="clear" w:color="auto" w:fill="C6EFCE"/>
            <w:hideMark/>
          </w:tcPr>
          <w:p w14:paraId="1216C629" w14:textId="29522813" w:rsidR="00A60DDE" w:rsidRDefault="00095506">
            <w:pPr>
              <w:pStyle w:val="P68B1DB1-Normal87"/>
              <w:spacing w:line="240" w:lineRule="auto"/>
              <w:ind w:right="45"/>
              <w:jc w:val="center"/>
              <w:textAlignment w:val="baseline"/>
              <w:rPr>
                <w:noProof/>
                <w:sz w:val="24"/>
                <w:szCs w:val="24"/>
              </w:rPr>
            </w:pPr>
            <w:r>
              <w:rPr>
                <w:noProof/>
              </w:rPr>
              <w:t xml:space="preserve"> </w:t>
            </w:r>
          </w:p>
        </w:tc>
        <w:tc>
          <w:tcPr>
            <w:tcW w:w="3544" w:type="dxa"/>
            <w:shd w:val="clear" w:color="auto" w:fill="C6EFCE"/>
            <w:hideMark/>
          </w:tcPr>
          <w:p w14:paraId="1216C62A" w14:textId="32AEDB17" w:rsidR="00A60DDE" w:rsidRDefault="00095506">
            <w:pPr>
              <w:pStyle w:val="P68B1DB1-Normal87"/>
              <w:spacing w:line="240" w:lineRule="auto"/>
              <w:textAlignment w:val="baseline"/>
              <w:rPr>
                <w:noProof/>
                <w:sz w:val="24"/>
                <w:szCs w:val="24"/>
              </w:rPr>
            </w:pPr>
            <w:r>
              <w:rPr>
                <w:noProof/>
              </w:rPr>
              <w:t xml:space="preserve"> </w:t>
            </w:r>
          </w:p>
        </w:tc>
        <w:tc>
          <w:tcPr>
            <w:tcW w:w="1276" w:type="dxa"/>
            <w:shd w:val="clear" w:color="auto" w:fill="C6EFCE"/>
            <w:hideMark/>
          </w:tcPr>
          <w:p w14:paraId="1216C62B" w14:textId="1ED731AA" w:rsidR="00A60DDE" w:rsidRDefault="00095506">
            <w:pPr>
              <w:pStyle w:val="P68B1DB1-Normal87"/>
              <w:spacing w:line="240" w:lineRule="auto"/>
              <w:ind w:left="60"/>
              <w:textAlignment w:val="baseline"/>
              <w:rPr>
                <w:noProof/>
                <w:sz w:val="24"/>
                <w:szCs w:val="24"/>
              </w:rPr>
            </w:pPr>
            <w:r>
              <w:rPr>
                <w:noProof/>
              </w:rPr>
              <w:t xml:space="preserve">Valoarea tranșei </w:t>
            </w:r>
          </w:p>
        </w:tc>
        <w:tc>
          <w:tcPr>
            <w:tcW w:w="3535" w:type="dxa"/>
            <w:shd w:val="clear" w:color="auto" w:fill="C6EFCE"/>
            <w:hideMark/>
          </w:tcPr>
          <w:p w14:paraId="1216C62C" w14:textId="77777777" w:rsidR="00A60DDE" w:rsidRDefault="00095506">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124</w:t>
            </w:r>
            <w:r>
              <w:rPr>
                <w:rFonts w:eastAsia="Times New Roman"/>
                <w:noProof/>
                <w:color w:val="006100"/>
                <w:szCs w:val="24"/>
              </w:rPr>
              <w:t> </w:t>
            </w:r>
            <w:r>
              <w:rPr>
                <w:rFonts w:ascii="Times New Roman" w:eastAsia="Times New Roman" w:hAnsi="Times New Roman" w:cs="Times New Roman"/>
                <w:noProof/>
              </w:rPr>
              <w:t>575</w:t>
            </w:r>
            <w:r>
              <w:rPr>
                <w:rFonts w:eastAsia="Times New Roman"/>
                <w:noProof/>
                <w:color w:val="006100"/>
                <w:szCs w:val="24"/>
              </w:rPr>
              <w:t> </w:t>
            </w:r>
            <w:r>
              <w:rPr>
                <w:rFonts w:ascii="Times New Roman" w:eastAsia="Times New Roman" w:hAnsi="Times New Roman" w:cs="Times New Roman"/>
                <w:noProof/>
              </w:rPr>
              <w:t>104 EUR</w:t>
            </w:r>
          </w:p>
        </w:tc>
      </w:tr>
    </w:tbl>
    <w:p w14:paraId="1216C62E" w14:textId="56EDEE95" w:rsidR="00A60DDE" w:rsidRDefault="00095506">
      <w:pPr>
        <w:pStyle w:val="P68B1DB1-Normal87"/>
        <w:spacing w:line="240" w:lineRule="auto"/>
        <w:ind w:left="-1140" w:right="10770"/>
        <w:textAlignment w:val="baseline"/>
        <w:rPr>
          <w:noProof/>
        </w:rPr>
      </w:pPr>
      <w:r>
        <w:rPr>
          <w:noProof/>
        </w:rPr>
        <w:t> </w:t>
      </w:r>
    </w:p>
    <w:p w14:paraId="00E6AE3D" w14:textId="77777777" w:rsidR="00A60DDE" w:rsidRDefault="00095506">
      <w:pPr>
        <w:pStyle w:val="P68B1DB1-Normal87"/>
        <w:rPr>
          <w:noProof/>
        </w:rPr>
      </w:pPr>
      <w:r>
        <w:rPr>
          <w:noProof/>
        </w:rPr>
        <w:br w:type="page"/>
      </w:r>
    </w:p>
    <w:p w14:paraId="3C9C657B" w14:textId="77777777" w:rsidR="00A60DDE" w:rsidRDefault="00A60DDE">
      <w:pPr>
        <w:spacing w:line="240" w:lineRule="auto"/>
        <w:ind w:left="-1140" w:right="10770"/>
        <w:textAlignment w:val="baseline"/>
        <w:rPr>
          <w:rFonts w:ascii="Segoe UI" w:eastAsia="Times New Roman" w:hAnsi="Segoe UI" w:cs="Segoe UI"/>
          <w:noProof/>
          <w:sz w:val="18"/>
          <w:szCs w:val="18"/>
        </w:rPr>
      </w:pPr>
    </w:p>
    <w:p w14:paraId="1216C630" w14:textId="075CD5BC" w:rsidR="00A60DDE" w:rsidRDefault="00095506">
      <w:pPr>
        <w:pStyle w:val="P68B1DB1-Normal87"/>
        <w:spacing w:line="240" w:lineRule="auto"/>
        <w:textAlignment w:val="baseline"/>
        <w:rPr>
          <w:rFonts w:ascii="Segoe UI" w:hAnsi="Segoe UI" w:cs="Segoe UI"/>
          <w:noProof/>
          <w:sz w:val="18"/>
          <w:szCs w:val="18"/>
        </w:rPr>
      </w:pPr>
      <w:r>
        <w:rPr>
          <w:noProof/>
        </w:rPr>
        <w:t>2.1.5 A cincea tranșă (sprijin nerambursabil):</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2"/>
        <w:gridCol w:w="3399"/>
        <w:gridCol w:w="1208"/>
        <w:gridCol w:w="3754"/>
      </w:tblGrid>
      <w:tr w:rsidR="00A60DDE" w14:paraId="1216C635" w14:textId="77777777">
        <w:trPr>
          <w:trHeight w:val="300"/>
          <w:tblHeader/>
        </w:trPr>
        <w:tc>
          <w:tcPr>
            <w:tcW w:w="1262" w:type="dxa"/>
            <w:shd w:val="clear" w:color="auto" w:fill="BDD6EE"/>
            <w:hideMark/>
          </w:tcPr>
          <w:p w14:paraId="1216C631" w14:textId="09B63445" w:rsidR="00A60DDE" w:rsidRDefault="00095506">
            <w:pPr>
              <w:pStyle w:val="P68B1DB1-Normal87"/>
              <w:spacing w:line="240" w:lineRule="auto"/>
              <w:jc w:val="center"/>
              <w:textAlignment w:val="baseline"/>
              <w:rPr>
                <w:noProof/>
                <w:sz w:val="24"/>
                <w:szCs w:val="24"/>
              </w:rPr>
            </w:pPr>
            <w:r>
              <w:rPr>
                <w:b/>
                <w:noProof/>
              </w:rPr>
              <w:t>Număr secvențial</w:t>
            </w:r>
            <w:r>
              <w:rPr>
                <w:noProof/>
              </w:rPr>
              <w:t xml:space="preserve"> </w:t>
            </w:r>
          </w:p>
        </w:tc>
        <w:tc>
          <w:tcPr>
            <w:tcW w:w="3399" w:type="dxa"/>
            <w:shd w:val="clear" w:color="auto" w:fill="BDD6EE"/>
            <w:hideMark/>
          </w:tcPr>
          <w:p w14:paraId="1216C632" w14:textId="4DDF62A2"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08" w:type="dxa"/>
            <w:shd w:val="clear" w:color="auto" w:fill="BDD6EE"/>
            <w:hideMark/>
          </w:tcPr>
          <w:p w14:paraId="1216C633" w14:textId="2A32D22E" w:rsidR="00A60DDE" w:rsidRDefault="00095506">
            <w:pPr>
              <w:pStyle w:val="P68B1DB1-Normal87"/>
              <w:spacing w:line="240" w:lineRule="auto"/>
              <w:ind w:left="15"/>
              <w:jc w:val="center"/>
              <w:textAlignment w:val="baseline"/>
              <w:rPr>
                <w:noProof/>
                <w:sz w:val="24"/>
                <w:szCs w:val="24"/>
              </w:rPr>
            </w:pPr>
            <w:r>
              <w:rPr>
                <w:b/>
                <w:noProof/>
              </w:rPr>
              <w:t>Etapa/ținta</w:t>
            </w:r>
            <w:r>
              <w:rPr>
                <w:noProof/>
              </w:rPr>
              <w:t xml:space="preserve"> </w:t>
            </w:r>
          </w:p>
        </w:tc>
        <w:tc>
          <w:tcPr>
            <w:tcW w:w="3754" w:type="dxa"/>
            <w:shd w:val="clear" w:color="auto" w:fill="BDD6EE"/>
            <w:hideMark/>
          </w:tcPr>
          <w:p w14:paraId="1216C634" w14:textId="2FFACE5E" w:rsidR="00A60DDE" w:rsidRDefault="00095506">
            <w:pPr>
              <w:pStyle w:val="P68B1DB1-Normal87"/>
              <w:spacing w:line="240" w:lineRule="auto"/>
              <w:jc w:val="center"/>
              <w:textAlignment w:val="baseline"/>
              <w:rPr>
                <w:noProof/>
                <w:sz w:val="24"/>
                <w:szCs w:val="24"/>
              </w:rPr>
            </w:pPr>
            <w:r>
              <w:rPr>
                <w:b/>
                <w:noProof/>
              </w:rPr>
              <w:t>Denumire</w:t>
            </w:r>
            <w:r>
              <w:rPr>
                <w:noProof/>
              </w:rPr>
              <w:t xml:space="preserve"> </w:t>
            </w:r>
          </w:p>
        </w:tc>
      </w:tr>
      <w:tr w:rsidR="00A60DDE" w14:paraId="1216C63A" w14:textId="77777777">
        <w:trPr>
          <w:trHeight w:val="300"/>
        </w:trPr>
        <w:tc>
          <w:tcPr>
            <w:tcW w:w="1262" w:type="dxa"/>
            <w:shd w:val="clear" w:color="auto" w:fill="C6EFCE"/>
            <w:hideMark/>
          </w:tcPr>
          <w:p w14:paraId="1216C636" w14:textId="79FBDDA6" w:rsidR="00A60DDE" w:rsidRDefault="00095506">
            <w:pPr>
              <w:pStyle w:val="P68B1DB1-Normal87"/>
              <w:spacing w:line="240" w:lineRule="auto"/>
              <w:jc w:val="center"/>
              <w:textAlignment w:val="baseline"/>
              <w:rPr>
                <w:noProof/>
                <w:sz w:val="24"/>
                <w:szCs w:val="24"/>
              </w:rPr>
            </w:pPr>
            <w:r>
              <w:rPr>
                <w:noProof/>
              </w:rPr>
              <w:t xml:space="preserve">A14G </w:t>
            </w:r>
          </w:p>
        </w:tc>
        <w:tc>
          <w:tcPr>
            <w:tcW w:w="3399" w:type="dxa"/>
            <w:shd w:val="clear" w:color="auto" w:fill="C6EFCE"/>
            <w:hideMark/>
          </w:tcPr>
          <w:p w14:paraId="1216C637" w14:textId="4264918E" w:rsidR="00A60DDE" w:rsidRDefault="00095506">
            <w:pPr>
              <w:pStyle w:val="P68B1DB1-Normal87"/>
              <w:spacing w:line="240" w:lineRule="auto"/>
              <w:textAlignment w:val="baseline"/>
              <w:rPr>
                <w:noProof/>
                <w:sz w:val="24"/>
                <w:szCs w:val="24"/>
              </w:rPr>
            </w:pPr>
            <w:r>
              <w:rPr>
                <w:noProof/>
              </w:rPr>
              <w:t>A1.3.1 Punerea în aplicare a reformei amenajării teritoriului</w:t>
            </w:r>
          </w:p>
        </w:tc>
        <w:tc>
          <w:tcPr>
            <w:tcW w:w="1208" w:type="dxa"/>
            <w:shd w:val="clear" w:color="auto" w:fill="C6EFCE"/>
            <w:hideMark/>
          </w:tcPr>
          <w:p w14:paraId="1216C638" w14:textId="27D4D07F" w:rsidR="00A60DDE" w:rsidRDefault="00095506">
            <w:pPr>
              <w:pStyle w:val="P68B1DB1-Normal87"/>
              <w:spacing w:line="240" w:lineRule="auto"/>
              <w:jc w:val="center"/>
              <w:textAlignment w:val="baseline"/>
              <w:rPr>
                <w:noProof/>
                <w:sz w:val="24"/>
                <w:szCs w:val="24"/>
              </w:rPr>
            </w:pPr>
            <w:r>
              <w:rPr>
                <w:noProof/>
              </w:rPr>
              <w:t>Țintă</w:t>
            </w:r>
          </w:p>
        </w:tc>
        <w:tc>
          <w:tcPr>
            <w:tcW w:w="3754" w:type="dxa"/>
            <w:shd w:val="clear" w:color="auto" w:fill="C6EFCE"/>
            <w:hideMark/>
          </w:tcPr>
          <w:p w14:paraId="1216C639" w14:textId="0F804785" w:rsidR="00A60DDE" w:rsidRDefault="00095506">
            <w:pPr>
              <w:pStyle w:val="P68B1DB1-Normal87"/>
              <w:spacing w:line="240" w:lineRule="auto"/>
              <w:textAlignment w:val="baseline"/>
              <w:rPr>
                <w:noProof/>
                <w:sz w:val="24"/>
                <w:szCs w:val="24"/>
              </w:rPr>
            </w:pPr>
            <w:r>
              <w:rPr>
                <w:noProof/>
              </w:rPr>
              <w:t>Personal din cadrul autorităților locale și al urbaniștilor care au absolvit un curs privind noua lege a amenajării teritoriului</w:t>
            </w:r>
          </w:p>
        </w:tc>
      </w:tr>
      <w:tr w:rsidR="00A60DDE" w14:paraId="1216C63F" w14:textId="77777777">
        <w:trPr>
          <w:trHeight w:val="300"/>
        </w:trPr>
        <w:tc>
          <w:tcPr>
            <w:tcW w:w="1262" w:type="dxa"/>
            <w:shd w:val="clear" w:color="auto" w:fill="C6EFCE"/>
            <w:hideMark/>
          </w:tcPr>
          <w:p w14:paraId="1216C63B" w14:textId="37C478C4" w:rsidR="00A60DDE" w:rsidRDefault="00095506">
            <w:pPr>
              <w:pStyle w:val="P68B1DB1-Normal87"/>
              <w:spacing w:line="240" w:lineRule="auto"/>
              <w:jc w:val="center"/>
              <w:textAlignment w:val="baseline"/>
              <w:rPr>
                <w:noProof/>
              </w:rPr>
            </w:pPr>
            <w:r>
              <w:rPr>
                <w:noProof/>
              </w:rPr>
              <w:t xml:space="preserve">A16G </w:t>
            </w:r>
          </w:p>
        </w:tc>
        <w:tc>
          <w:tcPr>
            <w:tcW w:w="3399" w:type="dxa"/>
            <w:shd w:val="clear" w:color="auto" w:fill="C6EFCE"/>
            <w:hideMark/>
          </w:tcPr>
          <w:p w14:paraId="1216C63C" w14:textId="2730D9E4" w:rsidR="00A60DDE" w:rsidRDefault="00095506">
            <w:pPr>
              <w:pStyle w:val="P68B1DB1-Normal87"/>
              <w:spacing w:line="240" w:lineRule="auto"/>
              <w:textAlignment w:val="baseline"/>
              <w:rPr>
                <w:noProof/>
              </w:rPr>
            </w:pPr>
            <w:r>
              <w:rPr>
                <w:noProof/>
              </w:rPr>
              <w:t>A1.3.1 Punerea în aplicare a reformei amenajării teritoriului</w:t>
            </w:r>
          </w:p>
        </w:tc>
        <w:tc>
          <w:tcPr>
            <w:tcW w:w="1208" w:type="dxa"/>
            <w:shd w:val="clear" w:color="auto" w:fill="C6EFCE"/>
            <w:hideMark/>
          </w:tcPr>
          <w:p w14:paraId="1216C63D" w14:textId="2A4F61B8" w:rsidR="00A60DDE" w:rsidRDefault="00095506">
            <w:pPr>
              <w:pStyle w:val="P68B1DB1-Normal87"/>
              <w:spacing w:line="240" w:lineRule="auto"/>
              <w:jc w:val="center"/>
              <w:textAlignment w:val="baseline"/>
              <w:rPr>
                <w:noProof/>
              </w:rPr>
            </w:pPr>
            <w:r>
              <w:rPr>
                <w:noProof/>
              </w:rPr>
              <w:t>Țintă</w:t>
            </w:r>
          </w:p>
        </w:tc>
        <w:tc>
          <w:tcPr>
            <w:tcW w:w="3754" w:type="dxa"/>
            <w:shd w:val="clear" w:color="auto" w:fill="C6EFCE"/>
            <w:hideMark/>
          </w:tcPr>
          <w:p w14:paraId="1216C63E" w14:textId="474471F6" w:rsidR="00A60DDE" w:rsidRDefault="00095506">
            <w:pPr>
              <w:pStyle w:val="P68B1DB1-Normal87"/>
              <w:spacing w:line="240" w:lineRule="auto"/>
              <w:textAlignment w:val="baseline"/>
              <w:rPr>
                <w:noProof/>
              </w:rPr>
            </w:pPr>
            <w:r>
              <w:rPr>
                <w:noProof/>
              </w:rPr>
              <w:t>Ponderea municipalităților care au adoptat planuri generale de amenajare a teritoriului</w:t>
            </w:r>
          </w:p>
        </w:tc>
      </w:tr>
      <w:tr w:rsidR="00A60DDE" w14:paraId="1216C644" w14:textId="77777777">
        <w:trPr>
          <w:trHeight w:val="300"/>
        </w:trPr>
        <w:tc>
          <w:tcPr>
            <w:tcW w:w="1262" w:type="dxa"/>
            <w:shd w:val="clear" w:color="auto" w:fill="C6EFCE"/>
            <w:hideMark/>
          </w:tcPr>
          <w:p w14:paraId="1216C640" w14:textId="5F211A26" w:rsidR="00A60DDE" w:rsidRDefault="00095506">
            <w:pPr>
              <w:pStyle w:val="P68B1DB1-Normal87"/>
              <w:spacing w:line="240" w:lineRule="auto"/>
              <w:jc w:val="center"/>
              <w:textAlignment w:val="baseline"/>
              <w:rPr>
                <w:noProof/>
                <w:sz w:val="24"/>
                <w:szCs w:val="24"/>
              </w:rPr>
            </w:pPr>
            <w:r>
              <w:rPr>
                <w:noProof/>
              </w:rPr>
              <w:t xml:space="preserve">A30G </w:t>
            </w:r>
          </w:p>
        </w:tc>
        <w:tc>
          <w:tcPr>
            <w:tcW w:w="3399" w:type="dxa"/>
            <w:shd w:val="clear" w:color="auto" w:fill="C6EFCE"/>
            <w:hideMark/>
          </w:tcPr>
          <w:p w14:paraId="1216C641" w14:textId="1823C97C" w:rsidR="00A60DDE" w:rsidRDefault="00095506">
            <w:pPr>
              <w:pStyle w:val="P68B1DB1-Normal87"/>
              <w:spacing w:line="240" w:lineRule="auto"/>
              <w:textAlignment w:val="baseline"/>
              <w:rPr>
                <w:noProof/>
                <w:sz w:val="24"/>
                <w:szCs w:val="24"/>
              </w:rPr>
            </w:pPr>
            <w:r>
              <w:rPr>
                <w:noProof/>
              </w:rPr>
              <w:t>A2.2 Crearea condițiilor pentru tranziția către un model de economie circulară</w:t>
            </w:r>
          </w:p>
        </w:tc>
        <w:tc>
          <w:tcPr>
            <w:tcW w:w="1208" w:type="dxa"/>
            <w:shd w:val="clear" w:color="auto" w:fill="C6EFCE"/>
            <w:hideMark/>
          </w:tcPr>
          <w:p w14:paraId="1216C642" w14:textId="2FF562BB" w:rsidR="00A60DDE" w:rsidRDefault="00095506">
            <w:pPr>
              <w:pStyle w:val="P68B1DB1-Normal87"/>
              <w:spacing w:line="240" w:lineRule="auto"/>
              <w:ind w:left="60"/>
              <w:textAlignment w:val="baseline"/>
              <w:rPr>
                <w:noProof/>
                <w:sz w:val="24"/>
                <w:szCs w:val="24"/>
              </w:rPr>
            </w:pPr>
            <w:r>
              <w:rPr>
                <w:noProof/>
              </w:rPr>
              <w:t>Etapa de referință</w:t>
            </w:r>
          </w:p>
        </w:tc>
        <w:tc>
          <w:tcPr>
            <w:tcW w:w="3754" w:type="dxa"/>
            <w:shd w:val="clear" w:color="auto" w:fill="C6EFCE"/>
            <w:hideMark/>
          </w:tcPr>
          <w:p w14:paraId="1216C643" w14:textId="3D57189A" w:rsidR="00A60DDE" w:rsidRDefault="00095506">
            <w:pPr>
              <w:pStyle w:val="P68B1DB1-Normal87"/>
              <w:spacing w:line="240" w:lineRule="auto"/>
              <w:textAlignment w:val="baseline"/>
              <w:rPr>
                <w:noProof/>
                <w:sz w:val="24"/>
                <w:szCs w:val="24"/>
              </w:rPr>
            </w:pPr>
            <w:r>
              <w:rPr>
                <w:noProof/>
              </w:rPr>
              <w:t>Intrarea în vigoare a unei noi legislații care introduce modificări ale cadrului legislativ pentru a permite comerțul cu materii prime secundare</w:t>
            </w:r>
          </w:p>
        </w:tc>
      </w:tr>
      <w:tr w:rsidR="00A60DDE" w14:paraId="1216C649" w14:textId="77777777">
        <w:trPr>
          <w:trHeight w:val="300"/>
        </w:trPr>
        <w:tc>
          <w:tcPr>
            <w:tcW w:w="1262" w:type="dxa"/>
            <w:shd w:val="clear" w:color="auto" w:fill="C6EFCE"/>
            <w:hideMark/>
          </w:tcPr>
          <w:p w14:paraId="1216C645" w14:textId="4322D5D4" w:rsidR="00A60DDE" w:rsidRDefault="00095506">
            <w:pPr>
              <w:pStyle w:val="P68B1DB1-Normal87"/>
              <w:spacing w:line="240" w:lineRule="auto"/>
              <w:jc w:val="center"/>
              <w:textAlignment w:val="baseline"/>
              <w:rPr>
                <w:noProof/>
                <w:sz w:val="24"/>
                <w:szCs w:val="24"/>
              </w:rPr>
            </w:pPr>
            <w:r>
              <w:rPr>
                <w:noProof/>
              </w:rPr>
              <w:t xml:space="preserve">A44G </w:t>
            </w:r>
          </w:p>
        </w:tc>
        <w:tc>
          <w:tcPr>
            <w:tcW w:w="3399" w:type="dxa"/>
            <w:shd w:val="clear" w:color="auto" w:fill="C6EFCE"/>
            <w:hideMark/>
          </w:tcPr>
          <w:p w14:paraId="1216C646" w14:textId="2885F874" w:rsidR="00A60DDE" w:rsidRDefault="00095506">
            <w:pPr>
              <w:pStyle w:val="P68B1DB1-Normal87"/>
              <w:spacing w:line="240" w:lineRule="auto"/>
              <w:textAlignment w:val="baseline"/>
              <w:rPr>
                <w:noProof/>
                <w:sz w:val="24"/>
                <w:szCs w:val="24"/>
              </w:rPr>
            </w:pPr>
            <w:r>
              <w:rPr>
                <w:noProof/>
              </w:rPr>
              <w:t>A3.1.1 Investiții în formarea profesională modernă, învățământul superior și învățarea pe tot parcursul vieții</w:t>
            </w:r>
          </w:p>
        </w:tc>
        <w:tc>
          <w:tcPr>
            <w:tcW w:w="1208" w:type="dxa"/>
            <w:shd w:val="clear" w:color="auto" w:fill="C6EFCE"/>
            <w:hideMark/>
          </w:tcPr>
          <w:p w14:paraId="1216C647" w14:textId="7A900C8D" w:rsidR="00A60DDE" w:rsidRDefault="00095506">
            <w:pPr>
              <w:pStyle w:val="P68B1DB1-Normal87"/>
              <w:spacing w:line="240" w:lineRule="auto"/>
              <w:jc w:val="center"/>
              <w:textAlignment w:val="baseline"/>
              <w:rPr>
                <w:noProof/>
                <w:sz w:val="24"/>
                <w:szCs w:val="24"/>
              </w:rPr>
            </w:pPr>
            <w:r>
              <w:rPr>
                <w:noProof/>
              </w:rPr>
              <w:t>Țintă</w:t>
            </w:r>
          </w:p>
        </w:tc>
        <w:tc>
          <w:tcPr>
            <w:tcW w:w="3754" w:type="dxa"/>
            <w:shd w:val="clear" w:color="auto" w:fill="C6EFCE"/>
            <w:hideMark/>
          </w:tcPr>
          <w:p w14:paraId="1216C648" w14:textId="51579899" w:rsidR="00A60DDE" w:rsidRDefault="00095506">
            <w:pPr>
              <w:pStyle w:val="P68B1DB1-Normal87"/>
              <w:spacing w:line="240" w:lineRule="auto"/>
              <w:textAlignment w:val="baseline"/>
              <w:rPr>
                <w:noProof/>
                <w:sz w:val="24"/>
                <w:szCs w:val="24"/>
              </w:rPr>
            </w:pPr>
            <w:r>
              <w:rPr>
                <w:noProof/>
              </w:rPr>
              <w:t>T1 – Instituirea unei rețele de centre sectoriale de competențe care să asigure perfecționarea și recalificarea</w:t>
            </w:r>
          </w:p>
        </w:tc>
      </w:tr>
      <w:tr w:rsidR="00A60DDE" w14:paraId="1216C651" w14:textId="77777777">
        <w:trPr>
          <w:trHeight w:val="300"/>
        </w:trPr>
        <w:tc>
          <w:tcPr>
            <w:tcW w:w="1262" w:type="dxa"/>
            <w:shd w:val="clear" w:color="auto" w:fill="C6EFCE"/>
            <w:hideMark/>
          </w:tcPr>
          <w:p w14:paraId="1216C64A" w14:textId="6894B4FD" w:rsidR="00A60DDE" w:rsidRDefault="00095506">
            <w:pPr>
              <w:pStyle w:val="P68B1DB1-Normal87"/>
              <w:spacing w:line="240" w:lineRule="auto"/>
              <w:jc w:val="center"/>
              <w:textAlignment w:val="baseline"/>
              <w:rPr>
                <w:noProof/>
                <w:sz w:val="24"/>
                <w:szCs w:val="24"/>
              </w:rPr>
            </w:pPr>
            <w:r>
              <w:rPr>
                <w:noProof/>
              </w:rPr>
              <w:t xml:space="preserve">A51G </w:t>
            </w:r>
          </w:p>
        </w:tc>
        <w:tc>
          <w:tcPr>
            <w:tcW w:w="3399" w:type="dxa"/>
            <w:shd w:val="clear" w:color="auto" w:fill="C6EFCE"/>
            <w:hideMark/>
          </w:tcPr>
          <w:p w14:paraId="1216C64B" w14:textId="36994FEF" w:rsidR="00A60DDE" w:rsidRDefault="00095506">
            <w:pPr>
              <w:pStyle w:val="P68B1DB1-Normal87"/>
              <w:spacing w:line="240" w:lineRule="auto"/>
              <w:textAlignment w:val="baseline"/>
              <w:rPr>
                <w:noProof/>
                <w:sz w:val="24"/>
                <w:szCs w:val="24"/>
              </w:rPr>
            </w:pPr>
            <w:r>
              <w:rPr>
                <w:noProof/>
              </w:rPr>
              <w:t>A4.1 Reformele structurale ale instituțiilor pieței forței de muncă</w:t>
            </w:r>
          </w:p>
        </w:tc>
        <w:tc>
          <w:tcPr>
            <w:tcW w:w="1208" w:type="dxa"/>
            <w:shd w:val="clear" w:color="auto" w:fill="C6EFCE"/>
            <w:hideMark/>
          </w:tcPr>
          <w:p w14:paraId="1216C64C" w14:textId="33A275DA" w:rsidR="00A60DDE" w:rsidRDefault="00095506">
            <w:pPr>
              <w:pStyle w:val="P68B1DB1-Normal87"/>
              <w:spacing w:line="240" w:lineRule="auto"/>
              <w:ind w:left="60"/>
              <w:textAlignment w:val="baseline"/>
              <w:rPr>
                <w:noProof/>
                <w:sz w:val="24"/>
                <w:szCs w:val="24"/>
              </w:rPr>
            </w:pPr>
            <w:r>
              <w:rPr>
                <w:noProof/>
              </w:rPr>
              <w:t>Etapa de referință</w:t>
            </w:r>
          </w:p>
        </w:tc>
        <w:tc>
          <w:tcPr>
            <w:tcW w:w="3754" w:type="dxa"/>
            <w:shd w:val="clear" w:color="auto" w:fill="C6EFCE"/>
            <w:hideMark/>
          </w:tcPr>
          <w:p w14:paraId="1216C64D" w14:textId="329C5CD7" w:rsidR="00A60DDE" w:rsidRDefault="00095506">
            <w:pPr>
              <w:pStyle w:val="P68B1DB1-Normal87"/>
              <w:spacing w:line="240" w:lineRule="auto"/>
              <w:textAlignment w:val="baseline"/>
              <w:rPr>
                <w:noProof/>
              </w:rPr>
            </w:pPr>
            <w:r>
              <w:rPr>
                <w:noProof/>
              </w:rPr>
              <w:t>Intrarea în vigoare a noilor legi privind serviciile publice de ocupare a forței de muncă, angajarea resortisanților țărilor terțe și încheierea electronică a anumitor contracte de muncă:</w:t>
            </w:r>
          </w:p>
          <w:p w14:paraId="1216C64E" w14:textId="57C2A67D" w:rsidR="00A60DDE" w:rsidRDefault="00095506">
            <w:pPr>
              <w:pStyle w:val="P68B1DB1-Normal87"/>
              <w:numPr>
                <w:ilvl w:val="0"/>
                <w:numId w:val="37"/>
              </w:numPr>
              <w:spacing w:after="160" w:line="240" w:lineRule="auto"/>
              <w:contextualSpacing/>
              <w:textAlignment w:val="baseline"/>
              <w:rPr>
                <w:noProof/>
              </w:rPr>
            </w:pPr>
            <w:r>
              <w:rPr>
                <w:noProof/>
              </w:rPr>
              <w:t xml:space="preserve">introducerea unor modificări ale serviciilor publice de ocupare a forței de muncă și ale politicilor active în domeniul pieței forței de muncă pentru a spori participarea forței de muncă </w:t>
            </w:r>
          </w:p>
          <w:p w14:paraId="1216C64F" w14:textId="1CF2F5B5" w:rsidR="00A60DDE" w:rsidRDefault="00095506">
            <w:pPr>
              <w:pStyle w:val="P68B1DB1-Normal87"/>
              <w:numPr>
                <w:ilvl w:val="0"/>
                <w:numId w:val="37"/>
              </w:numPr>
              <w:spacing w:after="160" w:line="240" w:lineRule="auto"/>
              <w:contextualSpacing/>
              <w:textAlignment w:val="baseline"/>
              <w:rPr>
                <w:noProof/>
              </w:rPr>
            </w:pPr>
            <w:r>
              <w:rPr>
                <w:noProof/>
              </w:rPr>
              <w:t xml:space="preserve">reducerea barierelor administrative în calea încadrării în muncă a străinilor </w:t>
            </w:r>
          </w:p>
          <w:p w14:paraId="1216C650" w14:textId="033E6DB2" w:rsidR="00A60DDE" w:rsidRDefault="00095506">
            <w:pPr>
              <w:pStyle w:val="P68B1DB1-Normal87"/>
              <w:numPr>
                <w:ilvl w:val="0"/>
                <w:numId w:val="37"/>
              </w:numPr>
              <w:spacing w:after="160" w:line="240" w:lineRule="auto"/>
              <w:contextualSpacing/>
              <w:textAlignment w:val="baseline"/>
              <w:rPr>
                <w:noProof/>
              </w:rPr>
            </w:pPr>
            <w:r>
              <w:rPr>
                <w:noProof/>
              </w:rPr>
              <w:t>simplificarea procesului de încheiere a anumitor contracte</w:t>
            </w:r>
          </w:p>
        </w:tc>
      </w:tr>
      <w:tr w:rsidR="00A60DDE" w14:paraId="1216C656" w14:textId="77777777">
        <w:trPr>
          <w:trHeight w:val="300"/>
        </w:trPr>
        <w:tc>
          <w:tcPr>
            <w:tcW w:w="1262" w:type="dxa"/>
            <w:shd w:val="clear" w:color="auto" w:fill="C6EFCE"/>
            <w:hideMark/>
          </w:tcPr>
          <w:p w14:paraId="1216C652" w14:textId="2B24FCDD" w:rsidR="00A60DDE" w:rsidRDefault="00095506">
            <w:pPr>
              <w:pStyle w:val="P68B1DB1-Normal87"/>
              <w:spacing w:line="240" w:lineRule="auto"/>
              <w:jc w:val="center"/>
              <w:textAlignment w:val="baseline"/>
              <w:rPr>
                <w:noProof/>
                <w:sz w:val="24"/>
                <w:szCs w:val="24"/>
              </w:rPr>
            </w:pPr>
            <w:r>
              <w:rPr>
                <w:noProof/>
              </w:rPr>
              <w:t xml:space="preserve">A57G </w:t>
            </w:r>
          </w:p>
        </w:tc>
        <w:tc>
          <w:tcPr>
            <w:tcW w:w="3399" w:type="dxa"/>
            <w:shd w:val="clear" w:color="auto" w:fill="C6EFCE"/>
            <w:hideMark/>
          </w:tcPr>
          <w:p w14:paraId="1216C653" w14:textId="6EE68D08" w:rsidR="00A60DDE" w:rsidRDefault="00095506">
            <w:pPr>
              <w:pStyle w:val="P68B1DB1-Normal87"/>
              <w:spacing w:line="240" w:lineRule="auto"/>
              <w:textAlignment w:val="baseline"/>
              <w:rPr>
                <w:noProof/>
                <w:sz w:val="24"/>
                <w:szCs w:val="24"/>
              </w:rPr>
            </w:pPr>
            <w:r>
              <w:rPr>
                <w:noProof/>
              </w:rPr>
              <w:t>A4.2 Reforma menită să îmbunătățească situația părinților pe piața forței de muncă prin creșterea accesului la servicii de îngrijire a copiilor de înaltă calitate pentru copiii cu vârsta de până la trei ani</w:t>
            </w:r>
          </w:p>
        </w:tc>
        <w:tc>
          <w:tcPr>
            <w:tcW w:w="1208" w:type="dxa"/>
            <w:shd w:val="clear" w:color="auto" w:fill="C6EFCE"/>
            <w:hideMark/>
          </w:tcPr>
          <w:p w14:paraId="1216C654" w14:textId="4411834A" w:rsidR="00A60DDE" w:rsidRDefault="00095506">
            <w:pPr>
              <w:pStyle w:val="P68B1DB1-Normal87"/>
              <w:spacing w:line="240" w:lineRule="auto"/>
              <w:ind w:left="60"/>
              <w:textAlignment w:val="baseline"/>
              <w:rPr>
                <w:noProof/>
                <w:sz w:val="24"/>
                <w:szCs w:val="24"/>
              </w:rPr>
            </w:pPr>
            <w:r>
              <w:rPr>
                <w:noProof/>
              </w:rPr>
              <w:t>Etapa de referință</w:t>
            </w:r>
          </w:p>
        </w:tc>
        <w:tc>
          <w:tcPr>
            <w:tcW w:w="3754" w:type="dxa"/>
            <w:shd w:val="clear" w:color="auto" w:fill="C6EFCE"/>
            <w:hideMark/>
          </w:tcPr>
          <w:p w14:paraId="1216C655" w14:textId="0D02EB82" w:rsidR="00A60DDE" w:rsidRDefault="00095506">
            <w:pPr>
              <w:pStyle w:val="P68B1DB1-Normal87"/>
              <w:spacing w:line="240" w:lineRule="auto"/>
              <w:textAlignment w:val="baseline"/>
              <w:rPr>
                <w:noProof/>
                <w:sz w:val="24"/>
                <w:szCs w:val="24"/>
              </w:rPr>
            </w:pPr>
            <w:r>
              <w:rPr>
                <w:noProof/>
              </w:rPr>
              <w:t>Adoptarea unor standarde de calitate pentru îngrijirea copiilor, inclusiv</w:t>
            </w:r>
            <w:r>
              <w:rPr>
                <w:noProof/>
                <w:u w:val="single"/>
              </w:rPr>
              <w:t xml:space="preserve"> </w:t>
            </w:r>
            <w:r>
              <w:rPr>
                <w:noProof/>
              </w:rPr>
              <w:t>a unor standarde educaționale și de îngrijire a serviciilor pentru copiii cu vârsta de până la</w:t>
            </w:r>
            <w:r>
              <w:rPr>
                <w:noProof/>
                <w:u w:val="single"/>
              </w:rPr>
              <w:t xml:space="preserve"> </w:t>
            </w:r>
            <w:r>
              <w:rPr>
                <w:noProof/>
              </w:rPr>
              <w:t>trei ani</w:t>
            </w:r>
          </w:p>
        </w:tc>
      </w:tr>
      <w:tr w:rsidR="00A60DDE" w14:paraId="1216C65B" w14:textId="77777777">
        <w:trPr>
          <w:trHeight w:val="300"/>
        </w:trPr>
        <w:tc>
          <w:tcPr>
            <w:tcW w:w="1262" w:type="dxa"/>
            <w:shd w:val="clear" w:color="auto" w:fill="C6EFCE"/>
            <w:hideMark/>
          </w:tcPr>
          <w:p w14:paraId="1216C657" w14:textId="1CB4C228" w:rsidR="00A60DDE" w:rsidRDefault="00095506">
            <w:pPr>
              <w:pStyle w:val="P68B1DB1-Normal87"/>
              <w:spacing w:line="240" w:lineRule="auto"/>
              <w:jc w:val="center"/>
              <w:textAlignment w:val="baseline"/>
              <w:rPr>
                <w:noProof/>
                <w:sz w:val="24"/>
                <w:szCs w:val="24"/>
              </w:rPr>
            </w:pPr>
            <w:r>
              <w:rPr>
                <w:noProof/>
              </w:rPr>
              <w:t xml:space="preserve">A58G </w:t>
            </w:r>
          </w:p>
        </w:tc>
        <w:tc>
          <w:tcPr>
            <w:tcW w:w="3399" w:type="dxa"/>
            <w:shd w:val="clear" w:color="auto" w:fill="C6EFCE"/>
            <w:hideMark/>
          </w:tcPr>
          <w:p w14:paraId="1216C658" w14:textId="149A96C0" w:rsidR="00A60DDE" w:rsidRDefault="00095506">
            <w:pPr>
              <w:pStyle w:val="P68B1DB1-Normal87"/>
              <w:spacing w:line="240" w:lineRule="auto"/>
              <w:textAlignment w:val="baseline"/>
              <w:rPr>
                <w:noProof/>
                <w:sz w:val="24"/>
                <w:szCs w:val="24"/>
              </w:rPr>
            </w:pPr>
            <w:r>
              <w:rPr>
                <w:noProof/>
              </w:rPr>
              <w:t>A4.2 Reforma menită să îmbunătățească situația părinților pe piața forței de muncă prin creșterea accesului la servicii de îngrijire a copiilor de înaltă calitate pentru copiii cu vârsta de până la trei ani</w:t>
            </w:r>
          </w:p>
        </w:tc>
        <w:tc>
          <w:tcPr>
            <w:tcW w:w="1208" w:type="dxa"/>
            <w:shd w:val="clear" w:color="auto" w:fill="C6EFCE"/>
            <w:hideMark/>
          </w:tcPr>
          <w:p w14:paraId="1216C659" w14:textId="1DBD50B0" w:rsidR="00A60DDE" w:rsidRDefault="00095506">
            <w:pPr>
              <w:pStyle w:val="P68B1DB1-Normal87"/>
              <w:spacing w:line="240" w:lineRule="auto"/>
              <w:ind w:left="60"/>
              <w:textAlignment w:val="baseline"/>
              <w:rPr>
                <w:noProof/>
                <w:sz w:val="24"/>
                <w:szCs w:val="24"/>
              </w:rPr>
            </w:pPr>
            <w:r>
              <w:rPr>
                <w:noProof/>
              </w:rPr>
              <w:t>Etapa de referință</w:t>
            </w:r>
          </w:p>
        </w:tc>
        <w:tc>
          <w:tcPr>
            <w:tcW w:w="3754" w:type="dxa"/>
            <w:shd w:val="clear" w:color="auto" w:fill="C6EFCE"/>
            <w:hideMark/>
          </w:tcPr>
          <w:p w14:paraId="1216C65A" w14:textId="02CD2F42" w:rsidR="00A60DDE" w:rsidRDefault="00095506">
            <w:pPr>
              <w:pStyle w:val="P68B1DB1-Normal87"/>
              <w:spacing w:line="240" w:lineRule="auto"/>
              <w:textAlignment w:val="baseline"/>
              <w:rPr>
                <w:noProof/>
                <w:sz w:val="24"/>
                <w:szCs w:val="24"/>
              </w:rPr>
            </w:pPr>
            <w:r>
              <w:rPr>
                <w:noProof/>
              </w:rPr>
              <w:t>Intrarea în vigoare a unui act de modificare a Legii privind îngrijirea copiilor cu vârsta de până la trei ani, care asigură finanțarea pe termen lung la nivel național a serviciilor de îngrijire a copiilor cu vârsta de până la trei ani</w:t>
            </w:r>
          </w:p>
        </w:tc>
      </w:tr>
      <w:tr w:rsidR="00A60DDE" w14:paraId="1216C660" w14:textId="77777777">
        <w:trPr>
          <w:trHeight w:val="300"/>
        </w:trPr>
        <w:tc>
          <w:tcPr>
            <w:tcW w:w="1262" w:type="dxa"/>
            <w:shd w:val="clear" w:color="auto" w:fill="C6EFCE"/>
            <w:hideMark/>
          </w:tcPr>
          <w:p w14:paraId="1216C65C" w14:textId="147F55C4" w:rsidR="00A60DDE" w:rsidRDefault="00095506">
            <w:pPr>
              <w:pStyle w:val="P68B1DB1-Normal87"/>
              <w:spacing w:line="240" w:lineRule="auto"/>
              <w:ind w:right="45"/>
              <w:jc w:val="center"/>
              <w:textAlignment w:val="baseline"/>
              <w:rPr>
                <w:noProof/>
                <w:sz w:val="24"/>
                <w:szCs w:val="24"/>
              </w:rPr>
            </w:pPr>
            <w:r>
              <w:rPr>
                <w:noProof/>
              </w:rPr>
              <w:t xml:space="preserve">A68G </w:t>
            </w:r>
          </w:p>
        </w:tc>
        <w:tc>
          <w:tcPr>
            <w:tcW w:w="3399" w:type="dxa"/>
            <w:shd w:val="clear" w:color="auto" w:fill="C6EFCE"/>
            <w:hideMark/>
          </w:tcPr>
          <w:p w14:paraId="1216C65D" w14:textId="0995F7D5" w:rsidR="00A60DDE" w:rsidRDefault="00095506">
            <w:pPr>
              <w:pStyle w:val="P68B1DB1-Normal87"/>
              <w:spacing w:line="240" w:lineRule="auto"/>
              <w:textAlignment w:val="baseline"/>
              <w:rPr>
                <w:noProof/>
                <w:sz w:val="24"/>
                <w:szCs w:val="24"/>
              </w:rPr>
            </w:pPr>
            <w:r>
              <w:rPr>
                <w:noProof/>
              </w:rPr>
              <w:t>A4.5 Extinderea carierelor și promovarea muncii dincolo de vârsta legală de pensionare</w:t>
            </w:r>
          </w:p>
        </w:tc>
        <w:tc>
          <w:tcPr>
            <w:tcW w:w="1208" w:type="dxa"/>
            <w:shd w:val="clear" w:color="auto" w:fill="C6EFCE"/>
            <w:hideMark/>
          </w:tcPr>
          <w:p w14:paraId="1216C65E" w14:textId="595153B6" w:rsidR="00A60DDE" w:rsidRDefault="00095506">
            <w:pPr>
              <w:pStyle w:val="P68B1DB1-Normal87"/>
              <w:spacing w:line="240" w:lineRule="auto"/>
              <w:ind w:right="45"/>
              <w:jc w:val="center"/>
              <w:textAlignment w:val="baseline"/>
              <w:rPr>
                <w:noProof/>
                <w:sz w:val="24"/>
                <w:szCs w:val="24"/>
              </w:rPr>
            </w:pPr>
            <w:r>
              <w:rPr>
                <w:noProof/>
              </w:rPr>
              <w:t>Etapa de referință</w:t>
            </w:r>
          </w:p>
        </w:tc>
        <w:tc>
          <w:tcPr>
            <w:tcW w:w="3754" w:type="dxa"/>
            <w:shd w:val="clear" w:color="auto" w:fill="C6EFCE"/>
            <w:hideMark/>
          </w:tcPr>
          <w:p w14:paraId="1216C65F" w14:textId="200542D6" w:rsidR="00A60DDE" w:rsidRDefault="00095506">
            <w:pPr>
              <w:pStyle w:val="P68B1DB1-Normal87"/>
              <w:spacing w:line="240" w:lineRule="auto"/>
              <w:textAlignment w:val="baseline"/>
              <w:rPr>
                <w:noProof/>
                <w:sz w:val="24"/>
                <w:szCs w:val="24"/>
              </w:rPr>
            </w:pPr>
            <w:r>
              <w:rPr>
                <w:noProof/>
              </w:rPr>
              <w:t>Raport de evaluare a impactului măsurilor luate pentru creșterea vârstei efective de pensionare</w:t>
            </w:r>
          </w:p>
        </w:tc>
      </w:tr>
      <w:tr w:rsidR="00A60DDE" w14:paraId="1216C665" w14:textId="77777777">
        <w:trPr>
          <w:trHeight w:val="300"/>
        </w:trPr>
        <w:tc>
          <w:tcPr>
            <w:tcW w:w="1262" w:type="dxa"/>
            <w:shd w:val="clear" w:color="auto" w:fill="C6EFCE"/>
            <w:hideMark/>
          </w:tcPr>
          <w:p w14:paraId="1216C661" w14:textId="45E7CB49" w:rsidR="00A60DDE" w:rsidRDefault="00095506">
            <w:pPr>
              <w:pStyle w:val="P68B1DB1-Normal87"/>
              <w:spacing w:line="240" w:lineRule="auto"/>
              <w:jc w:val="center"/>
              <w:textAlignment w:val="baseline"/>
              <w:rPr>
                <w:noProof/>
                <w:sz w:val="24"/>
                <w:szCs w:val="24"/>
              </w:rPr>
            </w:pPr>
            <w:r>
              <w:rPr>
                <w:noProof/>
              </w:rPr>
              <w:t xml:space="preserve">B21aG </w:t>
            </w:r>
          </w:p>
        </w:tc>
        <w:tc>
          <w:tcPr>
            <w:tcW w:w="3399" w:type="dxa"/>
            <w:shd w:val="clear" w:color="auto" w:fill="C6EFCE"/>
            <w:hideMark/>
          </w:tcPr>
          <w:p w14:paraId="1216C662" w14:textId="48C18A6C" w:rsidR="00A60DDE" w:rsidRDefault="00095506">
            <w:pPr>
              <w:pStyle w:val="P68B1DB1-Normal87"/>
              <w:spacing w:line="240" w:lineRule="auto"/>
              <w:textAlignment w:val="baseline"/>
              <w:rPr>
                <w:noProof/>
                <w:sz w:val="24"/>
                <w:szCs w:val="24"/>
              </w:rPr>
            </w:pPr>
            <w:r>
              <w:rPr>
                <w:noProof/>
              </w:rPr>
              <w:t>B2.1.1 Investiții în hidrogen, producția, stocarea și transportul hidrogenului</w:t>
            </w:r>
          </w:p>
        </w:tc>
        <w:tc>
          <w:tcPr>
            <w:tcW w:w="1208" w:type="dxa"/>
            <w:shd w:val="clear" w:color="auto" w:fill="C6EFCE"/>
            <w:hideMark/>
          </w:tcPr>
          <w:p w14:paraId="1216C663" w14:textId="77777777" w:rsidR="00A60DDE" w:rsidRDefault="00095506">
            <w:pPr>
              <w:pStyle w:val="P68B1DB1-Normal87"/>
              <w:spacing w:line="240" w:lineRule="auto"/>
              <w:ind w:left="15"/>
              <w:textAlignment w:val="baseline"/>
              <w:rPr>
                <w:noProof/>
                <w:sz w:val="24"/>
                <w:szCs w:val="24"/>
              </w:rPr>
            </w:pPr>
            <w:r>
              <w:rPr>
                <w:noProof/>
              </w:rPr>
              <w:t>Etapa de referință</w:t>
            </w:r>
          </w:p>
        </w:tc>
        <w:tc>
          <w:tcPr>
            <w:tcW w:w="3754" w:type="dxa"/>
            <w:shd w:val="clear" w:color="auto" w:fill="C6EFCE"/>
            <w:hideMark/>
          </w:tcPr>
          <w:p w14:paraId="1216C664" w14:textId="68066440" w:rsidR="00A60DDE" w:rsidRDefault="00095506">
            <w:pPr>
              <w:pStyle w:val="P68B1DB1-Normal87"/>
              <w:spacing w:line="240" w:lineRule="auto"/>
              <w:textAlignment w:val="baseline"/>
              <w:rPr>
                <w:noProof/>
                <w:sz w:val="24"/>
                <w:szCs w:val="24"/>
              </w:rPr>
            </w:pPr>
            <w:r>
              <w:rPr>
                <w:noProof/>
              </w:rPr>
              <w:t>Acord de punere în aplicare</w:t>
            </w:r>
          </w:p>
        </w:tc>
      </w:tr>
      <w:tr w:rsidR="00A60DDE" w14:paraId="1216C66A" w14:textId="77777777">
        <w:trPr>
          <w:trHeight w:val="300"/>
        </w:trPr>
        <w:tc>
          <w:tcPr>
            <w:tcW w:w="1262" w:type="dxa"/>
            <w:shd w:val="clear" w:color="auto" w:fill="C6EFCE"/>
            <w:hideMark/>
          </w:tcPr>
          <w:p w14:paraId="1216C666" w14:textId="522DA4E9" w:rsidR="00A60DDE" w:rsidRDefault="00095506">
            <w:pPr>
              <w:pStyle w:val="P68B1DB1-Normal87"/>
              <w:spacing w:line="240" w:lineRule="auto"/>
              <w:ind w:right="30"/>
              <w:jc w:val="center"/>
              <w:textAlignment w:val="baseline"/>
              <w:rPr>
                <w:noProof/>
                <w:sz w:val="24"/>
                <w:szCs w:val="24"/>
              </w:rPr>
            </w:pPr>
            <w:r>
              <w:rPr>
                <w:noProof/>
              </w:rPr>
              <w:t xml:space="preserve">D38G </w:t>
            </w:r>
          </w:p>
        </w:tc>
        <w:tc>
          <w:tcPr>
            <w:tcW w:w="3399" w:type="dxa"/>
            <w:shd w:val="clear" w:color="auto" w:fill="C6EFCE"/>
            <w:hideMark/>
          </w:tcPr>
          <w:p w14:paraId="1216C667" w14:textId="43E831F8" w:rsidR="00A60DDE" w:rsidRDefault="00095506">
            <w:pPr>
              <w:pStyle w:val="P68B1DB1-Normal87"/>
              <w:spacing w:line="240" w:lineRule="auto"/>
              <w:textAlignment w:val="baseline"/>
              <w:rPr>
                <w:noProof/>
                <w:sz w:val="24"/>
                <w:szCs w:val="24"/>
              </w:rPr>
            </w:pPr>
            <w:r>
              <w:rPr>
                <w:noProof/>
              </w:rPr>
              <w:t>D4.1.1 Creșterea dispozițiilor privind îngrijirea pe termen lung prin modernizarea entităților medicale la nivel districtual</w:t>
            </w:r>
          </w:p>
        </w:tc>
        <w:tc>
          <w:tcPr>
            <w:tcW w:w="1208" w:type="dxa"/>
            <w:shd w:val="clear" w:color="auto" w:fill="C6EFCE"/>
            <w:hideMark/>
          </w:tcPr>
          <w:p w14:paraId="1216C668" w14:textId="326673BC" w:rsidR="00A60DDE" w:rsidRDefault="00095506">
            <w:pPr>
              <w:pStyle w:val="P68B1DB1-Normal87"/>
              <w:spacing w:line="240" w:lineRule="auto"/>
              <w:ind w:left="75"/>
              <w:textAlignment w:val="baseline"/>
              <w:rPr>
                <w:noProof/>
                <w:sz w:val="24"/>
                <w:szCs w:val="24"/>
              </w:rPr>
            </w:pPr>
            <w:r>
              <w:rPr>
                <w:noProof/>
              </w:rPr>
              <w:t>Etapa de referință</w:t>
            </w:r>
          </w:p>
        </w:tc>
        <w:tc>
          <w:tcPr>
            <w:tcW w:w="3754" w:type="dxa"/>
            <w:shd w:val="clear" w:color="auto" w:fill="C6EFCE"/>
            <w:hideMark/>
          </w:tcPr>
          <w:p w14:paraId="1216C669" w14:textId="3DD1BDAD" w:rsidR="00A60DDE" w:rsidRDefault="00095506">
            <w:pPr>
              <w:pStyle w:val="P68B1DB1-Normal87"/>
              <w:spacing w:line="240" w:lineRule="auto"/>
              <w:textAlignment w:val="baseline"/>
              <w:rPr>
                <w:noProof/>
                <w:sz w:val="24"/>
                <w:szCs w:val="24"/>
              </w:rPr>
            </w:pPr>
            <w:r>
              <w:rPr>
                <w:noProof/>
              </w:rPr>
              <w:t>Lista spitalelor raionale selectate pentru sprijin în vederea creării de paturi pe termen lung și de geriatrie, pe baza unor criterii de selecție specifice</w:t>
            </w:r>
          </w:p>
        </w:tc>
      </w:tr>
      <w:tr w:rsidR="00A60DDE" w14:paraId="1216C66F" w14:textId="77777777">
        <w:trPr>
          <w:trHeight w:val="300"/>
        </w:trPr>
        <w:tc>
          <w:tcPr>
            <w:tcW w:w="1262" w:type="dxa"/>
            <w:shd w:val="clear" w:color="auto" w:fill="C6EFCE"/>
            <w:hideMark/>
          </w:tcPr>
          <w:p w14:paraId="1216C66B" w14:textId="42A1DEA9" w:rsidR="00A60DDE" w:rsidRDefault="00095506">
            <w:pPr>
              <w:pStyle w:val="P68B1DB1-Normal87"/>
              <w:spacing w:line="240" w:lineRule="auto"/>
              <w:ind w:right="45"/>
              <w:jc w:val="center"/>
              <w:textAlignment w:val="baseline"/>
              <w:rPr>
                <w:noProof/>
                <w:sz w:val="24"/>
                <w:szCs w:val="24"/>
              </w:rPr>
            </w:pPr>
            <w:r>
              <w:rPr>
                <w:noProof/>
              </w:rPr>
              <w:t xml:space="preserve">E16G </w:t>
            </w:r>
          </w:p>
        </w:tc>
        <w:tc>
          <w:tcPr>
            <w:tcW w:w="3399" w:type="dxa"/>
            <w:shd w:val="clear" w:color="auto" w:fill="C6EFCE"/>
            <w:hideMark/>
          </w:tcPr>
          <w:p w14:paraId="1216C66C" w14:textId="0FE18429" w:rsidR="00A60DDE" w:rsidRDefault="00095506">
            <w:pPr>
              <w:pStyle w:val="P68B1DB1-Normal87"/>
              <w:spacing w:line="240" w:lineRule="auto"/>
              <w:textAlignment w:val="baseline"/>
              <w:rPr>
                <w:noProof/>
                <w:sz w:val="24"/>
                <w:szCs w:val="24"/>
              </w:rPr>
            </w:pPr>
            <w:r>
              <w:rPr>
                <w:noProof/>
              </w:rPr>
              <w:t>E2.1 Creșterea competitivității sectorului feroviar</w:t>
            </w:r>
          </w:p>
        </w:tc>
        <w:tc>
          <w:tcPr>
            <w:tcW w:w="1208" w:type="dxa"/>
            <w:shd w:val="clear" w:color="auto" w:fill="C6EFCE"/>
            <w:hideMark/>
          </w:tcPr>
          <w:p w14:paraId="1216C66D" w14:textId="1F72BDA1" w:rsidR="00A60DDE" w:rsidRDefault="00095506">
            <w:pPr>
              <w:pStyle w:val="P68B1DB1-Normal87"/>
              <w:spacing w:line="240" w:lineRule="auto"/>
              <w:ind w:right="45"/>
              <w:jc w:val="center"/>
              <w:textAlignment w:val="baseline"/>
              <w:rPr>
                <w:noProof/>
                <w:sz w:val="24"/>
                <w:szCs w:val="24"/>
              </w:rPr>
            </w:pPr>
            <w:r>
              <w:rPr>
                <w:noProof/>
              </w:rPr>
              <w:t>Țintă</w:t>
            </w:r>
          </w:p>
        </w:tc>
        <w:tc>
          <w:tcPr>
            <w:tcW w:w="3754" w:type="dxa"/>
            <w:shd w:val="clear" w:color="auto" w:fill="C6EFCE"/>
            <w:hideMark/>
          </w:tcPr>
          <w:p w14:paraId="1216C66E" w14:textId="5997D4FC" w:rsidR="00A60DDE" w:rsidRDefault="00095506">
            <w:pPr>
              <w:pStyle w:val="P68B1DB1-Normal87"/>
              <w:spacing w:line="240" w:lineRule="auto"/>
              <w:textAlignment w:val="baseline"/>
              <w:rPr>
                <w:noProof/>
                <w:sz w:val="24"/>
                <w:szCs w:val="24"/>
              </w:rPr>
            </w:pPr>
            <w:r>
              <w:rPr>
                <w:noProof/>
              </w:rPr>
              <w:t>Instituirea unui sistem de taxare rutieră pe drumuri noi</w:t>
            </w:r>
          </w:p>
        </w:tc>
      </w:tr>
      <w:tr w:rsidR="00A60DDE" w14:paraId="1216C674" w14:textId="77777777">
        <w:trPr>
          <w:trHeight w:val="300"/>
        </w:trPr>
        <w:tc>
          <w:tcPr>
            <w:tcW w:w="1262" w:type="dxa"/>
            <w:shd w:val="clear" w:color="auto" w:fill="C6EFCE"/>
            <w:hideMark/>
          </w:tcPr>
          <w:p w14:paraId="1216C670" w14:textId="30DB21A4" w:rsidR="00A60DDE" w:rsidRDefault="00095506">
            <w:pPr>
              <w:pStyle w:val="P68B1DB1-Normal87"/>
              <w:spacing w:line="240" w:lineRule="auto"/>
              <w:ind w:right="15"/>
              <w:jc w:val="center"/>
              <w:textAlignment w:val="baseline"/>
              <w:rPr>
                <w:noProof/>
                <w:sz w:val="24"/>
                <w:szCs w:val="24"/>
              </w:rPr>
            </w:pPr>
            <w:r>
              <w:rPr>
                <w:noProof/>
              </w:rPr>
              <w:t xml:space="preserve">F8G </w:t>
            </w:r>
          </w:p>
        </w:tc>
        <w:tc>
          <w:tcPr>
            <w:tcW w:w="3399" w:type="dxa"/>
            <w:shd w:val="clear" w:color="auto" w:fill="C6EFCE"/>
            <w:hideMark/>
          </w:tcPr>
          <w:p w14:paraId="1216C671" w14:textId="30D2BB50" w:rsidR="00A60DDE" w:rsidRDefault="00095506">
            <w:pPr>
              <w:pStyle w:val="P68B1DB1-Normal87"/>
              <w:spacing w:line="240" w:lineRule="auto"/>
              <w:textAlignment w:val="baseline"/>
              <w:rPr>
                <w:noProof/>
                <w:sz w:val="24"/>
                <w:szCs w:val="24"/>
              </w:rPr>
            </w:pPr>
            <w:r>
              <w:rPr>
                <w:noProof/>
              </w:rPr>
              <w:t>F3.1 Îmbunătățirea condițiilor de punere în aplicare a planului de redresare și reziliență</w:t>
            </w:r>
          </w:p>
        </w:tc>
        <w:tc>
          <w:tcPr>
            <w:tcW w:w="1208" w:type="dxa"/>
            <w:shd w:val="clear" w:color="auto" w:fill="C6EFCE"/>
            <w:hideMark/>
          </w:tcPr>
          <w:p w14:paraId="1216C672" w14:textId="1F68B7E4" w:rsidR="00A60DDE" w:rsidRDefault="00095506">
            <w:pPr>
              <w:pStyle w:val="P68B1DB1-Normal87"/>
              <w:spacing w:line="240" w:lineRule="auto"/>
              <w:ind w:left="75"/>
              <w:textAlignment w:val="baseline"/>
              <w:rPr>
                <w:noProof/>
                <w:sz w:val="24"/>
                <w:szCs w:val="24"/>
              </w:rPr>
            </w:pPr>
            <w:r>
              <w:rPr>
                <w:noProof/>
              </w:rPr>
              <w:t>Etapa de referință</w:t>
            </w:r>
          </w:p>
        </w:tc>
        <w:tc>
          <w:tcPr>
            <w:tcW w:w="3754" w:type="dxa"/>
            <w:shd w:val="clear" w:color="auto" w:fill="C6EFCE"/>
            <w:hideMark/>
          </w:tcPr>
          <w:p w14:paraId="1216C673" w14:textId="77777777" w:rsidR="00A60DDE" w:rsidRDefault="00095506">
            <w:pPr>
              <w:pStyle w:val="P68B1DB1-Normal87"/>
              <w:spacing w:line="240" w:lineRule="auto"/>
              <w:textAlignment w:val="baseline"/>
              <w:rPr>
                <w:noProof/>
                <w:sz w:val="24"/>
                <w:szCs w:val="24"/>
              </w:rPr>
            </w:pPr>
            <w:r>
              <w:rPr>
                <w:noProof/>
              </w:rPr>
              <w:t>O analiză a volumului de muncă elaborată de Ministerul Fondurilor de Dezvoltare și Politicii Regionale</w:t>
            </w:r>
          </w:p>
        </w:tc>
      </w:tr>
      <w:tr w:rsidR="00A60DDE" w14:paraId="1216C679" w14:textId="77777777">
        <w:trPr>
          <w:trHeight w:val="300"/>
        </w:trPr>
        <w:tc>
          <w:tcPr>
            <w:tcW w:w="1262" w:type="dxa"/>
            <w:shd w:val="clear" w:color="auto" w:fill="C6EFCE"/>
            <w:hideMark/>
          </w:tcPr>
          <w:p w14:paraId="1216C675" w14:textId="1911F3BC" w:rsidR="00A60DDE" w:rsidRDefault="00095506">
            <w:pPr>
              <w:pStyle w:val="P68B1DB1-Normal87"/>
              <w:spacing w:line="240" w:lineRule="auto"/>
              <w:ind w:right="45"/>
              <w:jc w:val="center"/>
              <w:textAlignment w:val="baseline"/>
              <w:rPr>
                <w:noProof/>
                <w:sz w:val="24"/>
                <w:szCs w:val="24"/>
              </w:rPr>
            </w:pPr>
            <w:r>
              <w:rPr>
                <w:noProof/>
              </w:rPr>
              <w:t xml:space="preserve">G23G </w:t>
            </w:r>
          </w:p>
        </w:tc>
        <w:tc>
          <w:tcPr>
            <w:tcW w:w="3399" w:type="dxa"/>
            <w:shd w:val="clear" w:color="auto" w:fill="C6EFCE"/>
            <w:hideMark/>
          </w:tcPr>
          <w:p w14:paraId="1216C676" w14:textId="761D20B0" w:rsidR="00A60DDE" w:rsidRDefault="00095506">
            <w:pPr>
              <w:pStyle w:val="P68B1DB1-Normal87"/>
              <w:spacing w:line="240" w:lineRule="auto"/>
              <w:textAlignment w:val="baseline"/>
              <w:rPr>
                <w:noProof/>
                <w:sz w:val="24"/>
                <w:szCs w:val="24"/>
              </w:rPr>
            </w:pPr>
            <w:r>
              <w:rPr>
                <w:noProof/>
              </w:rPr>
              <w:t>G1.2.4 Construirea sau modernizarea rețelelor de distribuție a energiei electrice care deservesc în principal zonele</w:t>
            </w:r>
            <w:r>
              <w:rPr>
                <w:noProof/>
                <w:u w:val="single"/>
              </w:rPr>
              <w:t xml:space="preserve"> </w:t>
            </w:r>
            <w:r>
              <w:rPr>
                <w:noProof/>
              </w:rPr>
              <w:t>rurale pentru a permite conectarea noilor surse regenerabile de energie</w:t>
            </w:r>
          </w:p>
        </w:tc>
        <w:tc>
          <w:tcPr>
            <w:tcW w:w="1208" w:type="dxa"/>
            <w:shd w:val="clear" w:color="auto" w:fill="C6EFCE"/>
            <w:hideMark/>
          </w:tcPr>
          <w:p w14:paraId="1216C677" w14:textId="0F6378C7" w:rsidR="00A60DDE" w:rsidRDefault="00095506">
            <w:pPr>
              <w:pStyle w:val="P68B1DB1-Normal87"/>
              <w:spacing w:line="240" w:lineRule="auto"/>
              <w:ind w:right="45"/>
              <w:jc w:val="center"/>
              <w:textAlignment w:val="baseline"/>
              <w:rPr>
                <w:noProof/>
                <w:sz w:val="24"/>
                <w:szCs w:val="24"/>
              </w:rPr>
            </w:pPr>
            <w:r>
              <w:rPr>
                <w:noProof/>
              </w:rPr>
              <w:t>Etapa de referință</w:t>
            </w:r>
          </w:p>
        </w:tc>
        <w:tc>
          <w:tcPr>
            <w:tcW w:w="3754" w:type="dxa"/>
            <w:shd w:val="clear" w:color="auto" w:fill="C6EFCE"/>
            <w:hideMark/>
          </w:tcPr>
          <w:p w14:paraId="1216C678" w14:textId="77777777" w:rsidR="00A60DDE" w:rsidRDefault="00095506">
            <w:pPr>
              <w:pStyle w:val="P68B1DB1-Normal87"/>
              <w:spacing w:line="240" w:lineRule="auto"/>
              <w:textAlignment w:val="baseline"/>
              <w:rPr>
                <w:noProof/>
                <w:sz w:val="24"/>
                <w:szCs w:val="24"/>
              </w:rPr>
            </w:pPr>
            <w:r>
              <w:rPr>
                <w:noProof/>
              </w:rPr>
              <w:t>Identificarea și definirea proiectelor</w:t>
            </w:r>
          </w:p>
        </w:tc>
      </w:tr>
      <w:tr w:rsidR="00A60DDE" w14:paraId="1216C67E" w14:textId="77777777">
        <w:trPr>
          <w:trHeight w:val="300"/>
        </w:trPr>
        <w:tc>
          <w:tcPr>
            <w:tcW w:w="1262" w:type="dxa"/>
            <w:shd w:val="clear" w:color="auto" w:fill="C6EFCE"/>
            <w:hideMark/>
          </w:tcPr>
          <w:p w14:paraId="1216C67A" w14:textId="5D595A05" w:rsidR="00A60DDE" w:rsidRDefault="00095506">
            <w:pPr>
              <w:pStyle w:val="P68B1DB1-Normal87"/>
              <w:spacing w:line="240" w:lineRule="auto"/>
              <w:ind w:right="30"/>
              <w:jc w:val="center"/>
              <w:textAlignment w:val="baseline"/>
              <w:rPr>
                <w:noProof/>
                <w:sz w:val="24"/>
                <w:szCs w:val="24"/>
              </w:rPr>
            </w:pPr>
            <w:r>
              <w:rPr>
                <w:noProof/>
              </w:rPr>
              <w:t xml:space="preserve"> </w:t>
            </w:r>
          </w:p>
        </w:tc>
        <w:tc>
          <w:tcPr>
            <w:tcW w:w="3399" w:type="dxa"/>
            <w:shd w:val="clear" w:color="auto" w:fill="C6EFCE"/>
            <w:hideMark/>
          </w:tcPr>
          <w:p w14:paraId="1216C67B" w14:textId="5D82D0E6" w:rsidR="00A60DDE" w:rsidRDefault="00095506">
            <w:pPr>
              <w:pStyle w:val="P68B1DB1-Normal87"/>
              <w:spacing w:line="240" w:lineRule="auto"/>
              <w:textAlignment w:val="baseline"/>
              <w:rPr>
                <w:noProof/>
                <w:sz w:val="24"/>
                <w:szCs w:val="24"/>
              </w:rPr>
            </w:pPr>
            <w:r>
              <w:rPr>
                <w:noProof/>
              </w:rPr>
              <w:t xml:space="preserve"> </w:t>
            </w:r>
          </w:p>
        </w:tc>
        <w:tc>
          <w:tcPr>
            <w:tcW w:w="1208" w:type="dxa"/>
            <w:shd w:val="clear" w:color="auto" w:fill="C6EFCE"/>
            <w:hideMark/>
          </w:tcPr>
          <w:p w14:paraId="1216C67C" w14:textId="567BFB32" w:rsidR="00A60DDE" w:rsidRDefault="00095506">
            <w:pPr>
              <w:pStyle w:val="P68B1DB1-Normal87"/>
              <w:spacing w:line="240" w:lineRule="auto"/>
              <w:ind w:left="75"/>
              <w:textAlignment w:val="baseline"/>
              <w:rPr>
                <w:noProof/>
                <w:sz w:val="24"/>
                <w:szCs w:val="24"/>
              </w:rPr>
            </w:pPr>
            <w:r>
              <w:rPr>
                <w:noProof/>
              </w:rPr>
              <w:t>Valoarea tranșei</w:t>
            </w:r>
          </w:p>
        </w:tc>
        <w:tc>
          <w:tcPr>
            <w:tcW w:w="3754" w:type="dxa"/>
            <w:shd w:val="clear" w:color="auto" w:fill="C6EFCE"/>
            <w:hideMark/>
          </w:tcPr>
          <w:p w14:paraId="1216C67D" w14:textId="77777777" w:rsidR="00A60DDE" w:rsidRDefault="00095506">
            <w:pPr>
              <w:pStyle w:val="P68B1DB1-Normal87"/>
              <w:spacing w:line="240" w:lineRule="auto"/>
              <w:ind w:left="75"/>
              <w:textAlignment w:val="baseline"/>
              <w:rPr>
                <w:noProof/>
                <w:sz w:val="24"/>
                <w:szCs w:val="24"/>
              </w:rPr>
            </w:pPr>
            <w:r>
              <w:rPr>
                <w:noProof/>
              </w:rPr>
              <w:t>1 141 074 881 EUR</w:t>
            </w:r>
          </w:p>
        </w:tc>
      </w:tr>
    </w:tbl>
    <w:p w14:paraId="1216C67F" w14:textId="76631F24" w:rsidR="00A60DDE" w:rsidRDefault="00095506">
      <w:pPr>
        <w:pStyle w:val="P68B1DB1-Normal87"/>
        <w:spacing w:line="240" w:lineRule="auto"/>
        <w:textAlignment w:val="baseline"/>
        <w:rPr>
          <w:noProof/>
        </w:rPr>
      </w:pPr>
      <w:r>
        <w:rPr>
          <w:noProof/>
        </w:rPr>
        <w:t xml:space="preserve"> </w:t>
      </w:r>
    </w:p>
    <w:p w14:paraId="1216C680" w14:textId="77777777" w:rsidR="00A60DDE" w:rsidRDefault="00095506">
      <w:pPr>
        <w:pStyle w:val="P68B1DB1-Normal85"/>
        <w:spacing w:line="240" w:lineRule="auto"/>
        <w:ind w:left="-15"/>
        <w:textAlignment w:val="baseline"/>
        <w:rPr>
          <w:rFonts w:ascii="Segoe UI" w:eastAsia="Times New Roman" w:hAnsi="Segoe UI" w:cs="Segoe UI"/>
          <w:noProof/>
          <w:sz w:val="18"/>
          <w:szCs w:val="18"/>
        </w:rPr>
      </w:pPr>
      <w:r>
        <w:rPr>
          <w:noProof/>
        </w:rPr>
        <w:t>2.1.6. A șasea tranșă (sprijin nerambursabil):</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CellMar>
          <w:left w:w="0" w:type="dxa"/>
          <w:right w:w="0" w:type="dxa"/>
        </w:tblCellMar>
        <w:tblLook w:val="04A0" w:firstRow="1" w:lastRow="0" w:firstColumn="1" w:lastColumn="0" w:noHBand="0" w:noVBand="1"/>
      </w:tblPr>
      <w:tblGrid>
        <w:gridCol w:w="1268"/>
        <w:gridCol w:w="3402"/>
        <w:gridCol w:w="1276"/>
        <w:gridCol w:w="3677"/>
      </w:tblGrid>
      <w:tr w:rsidR="00A60DDE" w14:paraId="1216C685" w14:textId="77777777">
        <w:trPr>
          <w:trHeight w:val="300"/>
          <w:tblHeader/>
          <w:jc w:val="center"/>
        </w:trPr>
        <w:tc>
          <w:tcPr>
            <w:tcW w:w="1268" w:type="dxa"/>
            <w:shd w:val="clear" w:color="auto" w:fill="C6D9F1" w:themeFill="text2" w:themeFillTint="33"/>
            <w:hideMark/>
          </w:tcPr>
          <w:p w14:paraId="1216C681" w14:textId="77777777" w:rsidR="00A60DDE" w:rsidRDefault="00095506">
            <w:pPr>
              <w:pStyle w:val="P68B1DB1-Normal99"/>
              <w:spacing w:line="240" w:lineRule="auto"/>
              <w:jc w:val="center"/>
              <w:textAlignment w:val="baseline"/>
              <w:rPr>
                <w:rFonts w:eastAsia="Times New Roman" w:cs="Times New Roman"/>
                <w:noProof/>
              </w:rPr>
            </w:pPr>
            <w:r>
              <w:rPr>
                <w:noProof/>
              </w:rPr>
              <w:t>Număr secvențial</w:t>
            </w:r>
          </w:p>
        </w:tc>
        <w:tc>
          <w:tcPr>
            <w:tcW w:w="3402" w:type="dxa"/>
            <w:shd w:val="clear" w:color="auto" w:fill="C6D9F1" w:themeFill="text2" w:themeFillTint="33"/>
            <w:hideMark/>
          </w:tcPr>
          <w:p w14:paraId="1216C682" w14:textId="77777777" w:rsidR="00A60DDE" w:rsidRDefault="00095506">
            <w:pPr>
              <w:pStyle w:val="P68B1DB1-Normal99"/>
              <w:spacing w:line="240" w:lineRule="auto"/>
              <w:jc w:val="center"/>
              <w:textAlignment w:val="baseline"/>
              <w:rPr>
                <w:rFonts w:eastAsia="Times New Roman" w:cs="Times New Roman"/>
                <w:noProof/>
              </w:rPr>
            </w:pPr>
            <w:r>
              <w:rPr>
                <w:noProof/>
              </w:rPr>
              <w:t>Măsură conexă (reformă sau investiție)</w:t>
            </w:r>
          </w:p>
        </w:tc>
        <w:tc>
          <w:tcPr>
            <w:tcW w:w="1276" w:type="dxa"/>
            <w:shd w:val="clear" w:color="auto" w:fill="C6D9F1" w:themeFill="text2" w:themeFillTint="33"/>
            <w:hideMark/>
          </w:tcPr>
          <w:p w14:paraId="1216C683" w14:textId="77777777" w:rsidR="00A60DDE" w:rsidRDefault="00095506">
            <w:pPr>
              <w:pStyle w:val="P68B1DB1-Normal99"/>
              <w:spacing w:line="240" w:lineRule="auto"/>
              <w:jc w:val="center"/>
              <w:textAlignment w:val="baseline"/>
              <w:rPr>
                <w:rFonts w:eastAsia="Times New Roman" w:cs="Times New Roman"/>
                <w:noProof/>
              </w:rPr>
            </w:pPr>
            <w:r>
              <w:rPr>
                <w:noProof/>
              </w:rPr>
              <w:t>Etapa/ținta</w:t>
            </w:r>
          </w:p>
        </w:tc>
        <w:tc>
          <w:tcPr>
            <w:tcW w:w="3677" w:type="dxa"/>
            <w:shd w:val="clear" w:color="auto" w:fill="C6D9F1" w:themeFill="text2" w:themeFillTint="33"/>
            <w:hideMark/>
          </w:tcPr>
          <w:p w14:paraId="1216C684" w14:textId="77777777" w:rsidR="00A60DDE" w:rsidRDefault="00095506">
            <w:pPr>
              <w:pStyle w:val="P68B1DB1-Normal99"/>
              <w:spacing w:line="240" w:lineRule="auto"/>
              <w:ind w:right="45"/>
              <w:jc w:val="center"/>
              <w:textAlignment w:val="baseline"/>
              <w:rPr>
                <w:rFonts w:eastAsia="Times New Roman" w:cs="Times New Roman"/>
                <w:noProof/>
              </w:rPr>
            </w:pPr>
            <w:r>
              <w:rPr>
                <w:noProof/>
              </w:rPr>
              <w:t>Denumire</w:t>
            </w:r>
          </w:p>
        </w:tc>
      </w:tr>
      <w:tr w:rsidR="00A60DDE" w14:paraId="1216C68A" w14:textId="77777777">
        <w:trPr>
          <w:trHeight w:val="300"/>
          <w:jc w:val="center"/>
        </w:trPr>
        <w:tc>
          <w:tcPr>
            <w:tcW w:w="1268" w:type="dxa"/>
            <w:shd w:val="clear" w:color="auto" w:fill="C6EFCE"/>
            <w:hideMark/>
          </w:tcPr>
          <w:p w14:paraId="1216C686" w14:textId="77777777" w:rsidR="00A60DDE" w:rsidRDefault="00095506">
            <w:pPr>
              <w:pStyle w:val="P68B1DB1-Normal85"/>
              <w:spacing w:line="240" w:lineRule="auto"/>
              <w:jc w:val="center"/>
              <w:rPr>
                <w:rFonts w:eastAsia="Times New Roman" w:cs="Times New Roman"/>
                <w:noProof/>
              </w:rPr>
            </w:pPr>
            <w:r>
              <w:rPr>
                <w:noProof/>
              </w:rPr>
              <w:t xml:space="preserve">A7G </w:t>
            </w:r>
          </w:p>
        </w:tc>
        <w:tc>
          <w:tcPr>
            <w:tcW w:w="3402" w:type="dxa"/>
            <w:shd w:val="clear" w:color="auto" w:fill="C6EFCE"/>
            <w:hideMark/>
          </w:tcPr>
          <w:p w14:paraId="1216C687" w14:textId="47AD8041" w:rsidR="00A60DDE" w:rsidRDefault="00095506">
            <w:pPr>
              <w:pStyle w:val="P68B1DB1-Normal87"/>
              <w:spacing w:line="240" w:lineRule="auto"/>
              <w:rPr>
                <w:noProof/>
              </w:rPr>
            </w:pPr>
            <w:r>
              <w:rPr>
                <w:noProof/>
              </w:rPr>
              <w:t>A1.2.1 Proiecte care vizează diversificarea sau extinderea activităților comerciale</w:t>
            </w:r>
          </w:p>
        </w:tc>
        <w:tc>
          <w:tcPr>
            <w:tcW w:w="1276" w:type="dxa"/>
            <w:shd w:val="clear" w:color="auto" w:fill="C6EFCE"/>
            <w:hideMark/>
          </w:tcPr>
          <w:p w14:paraId="1216C688" w14:textId="77777777" w:rsidR="00A60DDE" w:rsidRDefault="00095506">
            <w:pPr>
              <w:pStyle w:val="P68B1DB1-Normal87"/>
              <w:spacing w:line="240" w:lineRule="auto"/>
              <w:jc w:val="center"/>
              <w:rPr>
                <w:noProof/>
              </w:rPr>
            </w:pPr>
            <w:r>
              <w:rPr>
                <w:noProof/>
              </w:rPr>
              <w:t>Țintă</w:t>
            </w:r>
          </w:p>
        </w:tc>
        <w:tc>
          <w:tcPr>
            <w:tcW w:w="3677" w:type="dxa"/>
            <w:shd w:val="clear" w:color="auto" w:fill="C6EFCE"/>
            <w:hideMark/>
          </w:tcPr>
          <w:p w14:paraId="1216C689" w14:textId="77777777" w:rsidR="00A60DDE" w:rsidRDefault="00095506">
            <w:pPr>
              <w:pStyle w:val="P68B1DB1-Normal87"/>
              <w:spacing w:line="240" w:lineRule="auto"/>
              <w:rPr>
                <w:noProof/>
              </w:rPr>
            </w:pPr>
            <w:r>
              <w:rPr>
                <w:noProof/>
              </w:rPr>
              <w:t>Întreprinderi din sectoarele HoReCa, cultură sau turism care au semnat contracte pentru proiecte de diversificare a activităților lor comerciale</w:t>
            </w:r>
          </w:p>
        </w:tc>
      </w:tr>
      <w:tr w:rsidR="00A60DDE" w14:paraId="1216C68F" w14:textId="77777777">
        <w:trPr>
          <w:trHeight w:val="300"/>
          <w:jc w:val="center"/>
        </w:trPr>
        <w:tc>
          <w:tcPr>
            <w:tcW w:w="1268" w:type="dxa"/>
            <w:shd w:val="clear" w:color="auto" w:fill="C6EFCE"/>
            <w:hideMark/>
          </w:tcPr>
          <w:p w14:paraId="1216C68B"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A52G </w:t>
            </w:r>
          </w:p>
        </w:tc>
        <w:tc>
          <w:tcPr>
            <w:tcW w:w="3402" w:type="dxa"/>
            <w:shd w:val="clear" w:color="auto" w:fill="C6EFCE"/>
            <w:hideMark/>
          </w:tcPr>
          <w:p w14:paraId="1216C68C" w14:textId="77777777" w:rsidR="00A60DDE" w:rsidRDefault="00095506">
            <w:pPr>
              <w:pStyle w:val="P68B1DB1-Normal85"/>
              <w:spacing w:line="240" w:lineRule="auto"/>
              <w:textAlignment w:val="baseline"/>
              <w:rPr>
                <w:rFonts w:eastAsia="Times New Roman" w:cs="Times New Roman"/>
                <w:noProof/>
              </w:rPr>
            </w:pPr>
            <w:r>
              <w:rPr>
                <w:noProof/>
              </w:rPr>
              <w:t>A4.1 Reformele structurale ale instituțiilor pieței forței de muncă</w:t>
            </w:r>
          </w:p>
        </w:tc>
        <w:tc>
          <w:tcPr>
            <w:tcW w:w="1276" w:type="dxa"/>
            <w:shd w:val="clear" w:color="auto" w:fill="C6EFCE"/>
            <w:hideMark/>
          </w:tcPr>
          <w:p w14:paraId="1216C68D"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8E" w14:textId="77777777" w:rsidR="00A60DDE" w:rsidRDefault="00095506">
            <w:pPr>
              <w:pStyle w:val="P68B1DB1-Normal87"/>
              <w:spacing w:line="240" w:lineRule="auto"/>
              <w:textAlignment w:val="baseline"/>
              <w:rPr>
                <w:noProof/>
              </w:rPr>
            </w:pPr>
            <w:r>
              <w:rPr>
                <w:noProof/>
              </w:rPr>
              <w:t>Publicarea Planului de dezvoltare a serviciilor publice de ocupare a forței de muncă pentru perioada 2025-2027</w:t>
            </w:r>
          </w:p>
        </w:tc>
      </w:tr>
      <w:tr w:rsidR="00A60DDE" w14:paraId="1216C694" w14:textId="77777777">
        <w:trPr>
          <w:trHeight w:val="300"/>
          <w:jc w:val="center"/>
        </w:trPr>
        <w:tc>
          <w:tcPr>
            <w:tcW w:w="1268" w:type="dxa"/>
            <w:shd w:val="clear" w:color="auto" w:fill="C6EFCE"/>
            <w:hideMark/>
          </w:tcPr>
          <w:p w14:paraId="1216C690"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A54G </w:t>
            </w:r>
          </w:p>
        </w:tc>
        <w:tc>
          <w:tcPr>
            <w:tcW w:w="3402" w:type="dxa"/>
            <w:shd w:val="clear" w:color="auto" w:fill="C6EFCE"/>
            <w:hideMark/>
          </w:tcPr>
          <w:p w14:paraId="1216C691" w14:textId="77777777" w:rsidR="00A60DDE" w:rsidRDefault="00095506">
            <w:pPr>
              <w:pStyle w:val="P68B1DB1-Normal85"/>
              <w:spacing w:line="240" w:lineRule="auto"/>
              <w:textAlignment w:val="baseline"/>
              <w:rPr>
                <w:rFonts w:eastAsia="Times New Roman" w:cs="Times New Roman"/>
                <w:noProof/>
              </w:rPr>
            </w:pPr>
            <w:r>
              <w:rPr>
                <w:noProof/>
              </w:rPr>
              <w:t>A4.1 Reformele structurale ale instituțiilor pieței forței de muncă</w:t>
            </w:r>
          </w:p>
        </w:tc>
        <w:tc>
          <w:tcPr>
            <w:tcW w:w="1276" w:type="dxa"/>
            <w:shd w:val="clear" w:color="auto" w:fill="C6EFCE"/>
            <w:hideMark/>
          </w:tcPr>
          <w:p w14:paraId="1216C692"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93" w14:textId="77777777" w:rsidR="00A60DDE" w:rsidRDefault="00095506">
            <w:pPr>
              <w:pStyle w:val="P68B1DB1-Normal87"/>
              <w:spacing w:line="240" w:lineRule="auto"/>
              <w:textAlignment w:val="baseline"/>
              <w:rPr>
                <w:noProof/>
              </w:rPr>
            </w:pPr>
            <w:r>
              <w:rPr>
                <w:noProof/>
              </w:rPr>
              <w:t>Intrarea în vigoare a legislației (legislațiilor) relevante ținând seama de rezultatele consultării privind contractele colective de muncă și de studiul privind un singur contract de muncă în Polonia</w:t>
            </w:r>
          </w:p>
        </w:tc>
      </w:tr>
      <w:tr w:rsidR="00A60DDE" w14:paraId="1216C699" w14:textId="77777777">
        <w:trPr>
          <w:trHeight w:val="300"/>
          <w:jc w:val="center"/>
        </w:trPr>
        <w:tc>
          <w:tcPr>
            <w:tcW w:w="1268" w:type="dxa"/>
            <w:shd w:val="clear" w:color="auto" w:fill="C6EFCE"/>
          </w:tcPr>
          <w:p w14:paraId="1216C695" w14:textId="77777777" w:rsidR="00A60DDE" w:rsidRDefault="00095506">
            <w:pPr>
              <w:pStyle w:val="P68B1DB1-Normal85"/>
              <w:spacing w:line="240" w:lineRule="auto"/>
              <w:ind w:right="45"/>
              <w:jc w:val="center"/>
              <w:textAlignment w:val="baseline"/>
              <w:rPr>
                <w:noProof/>
              </w:rPr>
            </w:pPr>
            <w:r>
              <w:rPr>
                <w:noProof/>
              </w:rPr>
              <w:t>C5aG</w:t>
            </w:r>
          </w:p>
        </w:tc>
        <w:tc>
          <w:tcPr>
            <w:tcW w:w="3402" w:type="dxa"/>
            <w:shd w:val="clear" w:color="auto" w:fill="C6EFCE"/>
          </w:tcPr>
          <w:p w14:paraId="1216C696" w14:textId="77777777" w:rsidR="00A60DDE" w:rsidRDefault="00095506">
            <w:pPr>
              <w:pStyle w:val="P68B1DB1-Normal85"/>
              <w:spacing w:line="240" w:lineRule="auto"/>
              <w:textAlignment w:val="baseline"/>
              <w:rPr>
                <w:rFonts w:eastAsia="Times New Roman" w:cs="Times New Roman"/>
                <w:noProof/>
              </w:rPr>
            </w:pPr>
            <w:r>
              <w:rPr>
                <w:noProof/>
              </w:rPr>
              <w:t>C1.1.1 Accesul la rețeaua în bandă largă</w:t>
            </w:r>
          </w:p>
        </w:tc>
        <w:tc>
          <w:tcPr>
            <w:tcW w:w="1276" w:type="dxa"/>
            <w:shd w:val="clear" w:color="auto" w:fill="C6EFCE"/>
          </w:tcPr>
          <w:p w14:paraId="1216C697"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98" w14:textId="77777777" w:rsidR="00A60DDE" w:rsidRDefault="00095506">
            <w:pPr>
              <w:pStyle w:val="P68B1DB1-Normal87"/>
              <w:spacing w:after="0" w:line="240" w:lineRule="auto"/>
              <w:textAlignment w:val="baseline"/>
              <w:rPr>
                <w:noProof/>
              </w:rPr>
            </w:pPr>
            <w:r>
              <w:rPr>
                <w:noProof/>
              </w:rPr>
              <w:t>Contracte semnate cu furnizorii de servicii în bandă largă</w:t>
            </w:r>
          </w:p>
        </w:tc>
      </w:tr>
      <w:tr w:rsidR="00A60DDE" w14:paraId="1216C69E" w14:textId="77777777">
        <w:trPr>
          <w:trHeight w:val="300"/>
          <w:jc w:val="center"/>
        </w:trPr>
        <w:tc>
          <w:tcPr>
            <w:tcW w:w="1268" w:type="dxa"/>
            <w:shd w:val="clear" w:color="auto" w:fill="C6EFCE"/>
            <w:hideMark/>
          </w:tcPr>
          <w:p w14:paraId="1216C69A"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C7G </w:t>
            </w:r>
          </w:p>
        </w:tc>
        <w:tc>
          <w:tcPr>
            <w:tcW w:w="3402" w:type="dxa"/>
            <w:shd w:val="clear" w:color="auto" w:fill="C6EFCE"/>
            <w:hideMark/>
          </w:tcPr>
          <w:p w14:paraId="1216C69B" w14:textId="77777777" w:rsidR="00A60DDE" w:rsidRDefault="00095506">
            <w:pPr>
              <w:pStyle w:val="P68B1DB1-Normal85"/>
              <w:spacing w:line="240" w:lineRule="auto"/>
              <w:textAlignment w:val="baseline"/>
              <w:rPr>
                <w:rFonts w:eastAsia="Times New Roman" w:cs="Times New Roman"/>
                <w:noProof/>
              </w:rPr>
            </w:pPr>
            <w:r>
              <w:rPr>
                <w:noProof/>
              </w:rPr>
              <w:t>C2.1 Extinderea aplicațiilor digitale în sfera publică, în economie și în societate</w:t>
            </w:r>
          </w:p>
        </w:tc>
        <w:tc>
          <w:tcPr>
            <w:tcW w:w="1276" w:type="dxa"/>
            <w:shd w:val="clear" w:color="auto" w:fill="C6EFCE"/>
            <w:hideMark/>
          </w:tcPr>
          <w:p w14:paraId="1216C69C"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9D" w14:textId="77777777" w:rsidR="00A60DDE" w:rsidRDefault="00095506">
            <w:pPr>
              <w:pStyle w:val="P68B1DB1-Normal87"/>
              <w:spacing w:line="240" w:lineRule="auto"/>
              <w:textAlignment w:val="baseline"/>
              <w:rPr>
                <w:noProof/>
              </w:rPr>
            </w:pPr>
            <w:r>
              <w:rPr>
                <w:noProof/>
              </w:rPr>
              <w:t>Informatizarea activităților entităților care îndeplinesc sarcini publice</w:t>
            </w:r>
          </w:p>
        </w:tc>
      </w:tr>
      <w:tr w:rsidR="00A60DDE" w14:paraId="1216C6A3" w14:textId="77777777">
        <w:trPr>
          <w:trHeight w:val="300"/>
          <w:jc w:val="center"/>
        </w:trPr>
        <w:tc>
          <w:tcPr>
            <w:tcW w:w="1268" w:type="dxa"/>
            <w:shd w:val="clear" w:color="auto" w:fill="C6EFCE"/>
          </w:tcPr>
          <w:p w14:paraId="1216C69F" w14:textId="77777777" w:rsidR="00A60DDE" w:rsidRDefault="00095506">
            <w:pPr>
              <w:pStyle w:val="P68B1DB1-Normal85"/>
              <w:spacing w:line="240" w:lineRule="auto"/>
              <w:ind w:right="45"/>
              <w:jc w:val="center"/>
              <w:textAlignment w:val="baseline"/>
              <w:rPr>
                <w:noProof/>
              </w:rPr>
            </w:pPr>
            <w:r>
              <w:rPr>
                <w:noProof/>
              </w:rPr>
              <w:t>C8G</w:t>
            </w:r>
          </w:p>
        </w:tc>
        <w:tc>
          <w:tcPr>
            <w:tcW w:w="3402" w:type="dxa"/>
            <w:shd w:val="clear" w:color="auto" w:fill="C6EFCE"/>
          </w:tcPr>
          <w:p w14:paraId="1216C6A0" w14:textId="77777777" w:rsidR="00A60DDE" w:rsidRDefault="00095506">
            <w:pPr>
              <w:pStyle w:val="P68B1DB1-Normal85"/>
              <w:spacing w:line="240" w:lineRule="auto"/>
              <w:textAlignment w:val="baseline"/>
              <w:rPr>
                <w:rFonts w:eastAsia="Times New Roman" w:cs="Times New Roman"/>
                <w:noProof/>
              </w:rPr>
            </w:pPr>
            <w:r>
              <w:rPr>
                <w:noProof/>
              </w:rPr>
              <w:t>C2.1 Extinderea aplicațiilor digitale în sfera publică, în economie și în societate</w:t>
            </w:r>
          </w:p>
        </w:tc>
        <w:tc>
          <w:tcPr>
            <w:tcW w:w="1276" w:type="dxa"/>
            <w:shd w:val="clear" w:color="auto" w:fill="C6EFCE"/>
          </w:tcPr>
          <w:p w14:paraId="1216C6A1" w14:textId="77777777" w:rsidR="00A60DDE" w:rsidRDefault="00095506">
            <w:pPr>
              <w:pStyle w:val="P68B1DB1-Normal85"/>
              <w:spacing w:line="240" w:lineRule="auto"/>
              <w:ind w:right="45"/>
              <w:jc w:val="center"/>
              <w:textAlignment w:val="baseline"/>
              <w:rPr>
                <w:noProof/>
              </w:rPr>
            </w:pPr>
            <w:r>
              <w:rPr>
                <w:noProof/>
              </w:rPr>
              <w:t>Etapa de referință</w:t>
            </w:r>
          </w:p>
        </w:tc>
        <w:tc>
          <w:tcPr>
            <w:tcW w:w="3677" w:type="dxa"/>
            <w:shd w:val="clear" w:color="auto" w:fill="C6EFCE"/>
          </w:tcPr>
          <w:p w14:paraId="1216C6A2" w14:textId="77777777" w:rsidR="00A60DDE" w:rsidRDefault="00095506">
            <w:pPr>
              <w:pStyle w:val="P68B1DB1-Normal87"/>
              <w:spacing w:line="240" w:lineRule="auto"/>
              <w:textAlignment w:val="baseline"/>
              <w:rPr>
                <w:noProof/>
              </w:rPr>
            </w:pPr>
            <w:r>
              <w:rPr>
                <w:noProof/>
              </w:rPr>
              <w:t>Utilizarea facturilor structurate</w:t>
            </w:r>
          </w:p>
        </w:tc>
      </w:tr>
      <w:tr w:rsidR="00A60DDE" w14:paraId="1216C6A8" w14:textId="77777777">
        <w:trPr>
          <w:trHeight w:val="300"/>
          <w:jc w:val="center"/>
        </w:trPr>
        <w:tc>
          <w:tcPr>
            <w:tcW w:w="1268" w:type="dxa"/>
            <w:shd w:val="clear" w:color="auto" w:fill="C6EFCE"/>
            <w:hideMark/>
          </w:tcPr>
          <w:p w14:paraId="1216C6A4"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C21G </w:t>
            </w:r>
          </w:p>
        </w:tc>
        <w:tc>
          <w:tcPr>
            <w:tcW w:w="3402" w:type="dxa"/>
            <w:shd w:val="clear" w:color="auto" w:fill="C6EFCE"/>
            <w:hideMark/>
          </w:tcPr>
          <w:p w14:paraId="1216C6A5" w14:textId="77777777" w:rsidR="00A60DDE" w:rsidRDefault="00095506">
            <w:pPr>
              <w:pStyle w:val="P68B1DB1-Normal85"/>
              <w:spacing w:line="240" w:lineRule="auto"/>
              <w:textAlignment w:val="baseline"/>
              <w:rPr>
                <w:rFonts w:eastAsia="Times New Roman" w:cs="Times New Roman"/>
                <w:noProof/>
              </w:rPr>
            </w:pPr>
            <w:r>
              <w:rPr>
                <w:noProof/>
              </w:rPr>
              <w:t>C3.1 Consolidarea securității cibernetice</w:t>
            </w:r>
          </w:p>
        </w:tc>
        <w:tc>
          <w:tcPr>
            <w:tcW w:w="1276" w:type="dxa"/>
            <w:shd w:val="clear" w:color="auto" w:fill="C6EFCE"/>
            <w:hideMark/>
          </w:tcPr>
          <w:p w14:paraId="1216C6A6"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A7" w14:textId="77777777" w:rsidR="00A60DDE" w:rsidRDefault="00095506">
            <w:pPr>
              <w:pStyle w:val="P68B1DB1-Normal87"/>
              <w:spacing w:line="240" w:lineRule="auto"/>
              <w:rPr>
                <w:b/>
                <w:noProof/>
              </w:rPr>
            </w:pPr>
            <w:r>
              <w:rPr>
                <w:noProof/>
              </w:rPr>
              <w:t>Modificarea legii privind securitatea cibernetică</w:t>
            </w:r>
          </w:p>
        </w:tc>
      </w:tr>
      <w:tr w:rsidR="00A60DDE" w14:paraId="1216C6AD" w14:textId="77777777">
        <w:trPr>
          <w:trHeight w:val="300"/>
          <w:jc w:val="center"/>
        </w:trPr>
        <w:tc>
          <w:tcPr>
            <w:tcW w:w="1268" w:type="dxa"/>
            <w:shd w:val="clear" w:color="auto" w:fill="C6EFCE"/>
            <w:hideMark/>
          </w:tcPr>
          <w:p w14:paraId="1216C6A9"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D1G </w:t>
            </w:r>
          </w:p>
        </w:tc>
        <w:tc>
          <w:tcPr>
            <w:tcW w:w="3402" w:type="dxa"/>
            <w:shd w:val="clear" w:color="auto" w:fill="C6EFCE"/>
            <w:hideMark/>
          </w:tcPr>
          <w:p w14:paraId="1216C6AA" w14:textId="77777777" w:rsidR="00A60DDE" w:rsidRDefault="00095506">
            <w:pPr>
              <w:pStyle w:val="P68B1DB1-Normal85"/>
              <w:spacing w:line="240" w:lineRule="auto"/>
              <w:textAlignment w:val="baseline"/>
              <w:rPr>
                <w:rFonts w:eastAsia="Times New Roman" w:cs="Times New Roman"/>
                <w:noProof/>
              </w:rPr>
            </w:pPr>
            <w:r>
              <w:rPr>
                <w:noProof/>
              </w:rPr>
              <w:t>D1.1 Îmbunătățirea eficacității, accesibilității și calității serviciilor de sănătate</w:t>
            </w:r>
          </w:p>
        </w:tc>
        <w:tc>
          <w:tcPr>
            <w:tcW w:w="1276" w:type="dxa"/>
            <w:shd w:val="clear" w:color="auto" w:fill="C6EFCE"/>
            <w:hideMark/>
          </w:tcPr>
          <w:p w14:paraId="1216C6AB" w14:textId="77777777" w:rsidR="00A60DDE" w:rsidRDefault="00095506">
            <w:pPr>
              <w:pStyle w:val="P68B1DB1-Normal85"/>
              <w:spacing w:line="240" w:lineRule="auto"/>
              <w:ind w:left="-2"/>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AC" w14:textId="77777777" w:rsidR="00A60DDE" w:rsidRDefault="00095506">
            <w:pPr>
              <w:pStyle w:val="P68B1DB1-Normal87"/>
              <w:spacing w:line="240" w:lineRule="auto"/>
              <w:textAlignment w:val="baseline"/>
              <w:rPr>
                <w:noProof/>
              </w:rPr>
            </w:pPr>
            <w:r>
              <w:rPr>
                <w:noProof/>
              </w:rPr>
              <w:t>Intrarea în vigoare a actelor juridice privind raționalizarea structurii furnizării de asistență medicală în domeniul dat</w:t>
            </w:r>
          </w:p>
        </w:tc>
      </w:tr>
      <w:tr w:rsidR="00A60DDE" w14:paraId="1216C6B2" w14:textId="77777777">
        <w:trPr>
          <w:trHeight w:val="300"/>
          <w:jc w:val="center"/>
        </w:trPr>
        <w:tc>
          <w:tcPr>
            <w:tcW w:w="1268" w:type="dxa"/>
            <w:shd w:val="clear" w:color="auto" w:fill="C6EFCE"/>
            <w:hideMark/>
          </w:tcPr>
          <w:p w14:paraId="1216C6AE"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D5G </w:t>
            </w:r>
          </w:p>
        </w:tc>
        <w:tc>
          <w:tcPr>
            <w:tcW w:w="3402" w:type="dxa"/>
            <w:shd w:val="clear" w:color="auto" w:fill="C6EFCE"/>
            <w:hideMark/>
          </w:tcPr>
          <w:p w14:paraId="1216C6AF" w14:textId="77777777" w:rsidR="00A60DDE" w:rsidRDefault="00095506">
            <w:pPr>
              <w:pStyle w:val="P68B1DB1-Normal85"/>
              <w:spacing w:line="240" w:lineRule="auto"/>
              <w:textAlignment w:val="baseline"/>
              <w:rPr>
                <w:rFonts w:eastAsia="Times New Roman" w:cs="Times New Roman"/>
                <w:noProof/>
              </w:rPr>
            </w:pPr>
            <w:r>
              <w:rPr>
                <w:noProof/>
              </w:rPr>
              <w:t>D1.1 Îmbunătățirea eficacității, accesibilității și calității serviciilor de sănătate</w:t>
            </w:r>
          </w:p>
        </w:tc>
        <w:tc>
          <w:tcPr>
            <w:tcW w:w="1276" w:type="dxa"/>
            <w:shd w:val="clear" w:color="auto" w:fill="C6EFCE"/>
            <w:hideMark/>
          </w:tcPr>
          <w:p w14:paraId="1216C6B0" w14:textId="77777777" w:rsidR="00A60DDE" w:rsidRDefault="00095506">
            <w:pPr>
              <w:pStyle w:val="P68B1DB1-Normal85"/>
              <w:spacing w:line="240" w:lineRule="auto"/>
              <w:ind w:left="-2"/>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B1" w14:textId="77777777" w:rsidR="00A60DDE" w:rsidRDefault="00095506">
            <w:pPr>
              <w:pStyle w:val="P68B1DB1-Normal87"/>
              <w:spacing w:line="240" w:lineRule="auto"/>
              <w:textAlignment w:val="baseline"/>
              <w:rPr>
                <w:noProof/>
              </w:rPr>
            </w:pPr>
            <w:r>
              <w:rPr>
                <w:noProof/>
              </w:rPr>
              <w:t>Intrarea în vigoare a legii de creare a Rețelei Naționale Cardiologice</w:t>
            </w:r>
          </w:p>
        </w:tc>
      </w:tr>
      <w:tr w:rsidR="00A60DDE" w14:paraId="1216C6B7" w14:textId="77777777">
        <w:trPr>
          <w:trHeight w:val="300"/>
          <w:jc w:val="center"/>
        </w:trPr>
        <w:tc>
          <w:tcPr>
            <w:tcW w:w="1268" w:type="dxa"/>
            <w:shd w:val="clear" w:color="auto" w:fill="C6EFCE"/>
          </w:tcPr>
          <w:p w14:paraId="1216C6B3" w14:textId="77777777" w:rsidR="00A60DDE" w:rsidRDefault="00095506">
            <w:pPr>
              <w:pStyle w:val="P68B1DB1-Normal85"/>
              <w:spacing w:line="240" w:lineRule="auto"/>
              <w:ind w:right="45"/>
              <w:jc w:val="center"/>
              <w:textAlignment w:val="baseline"/>
              <w:rPr>
                <w:noProof/>
              </w:rPr>
            </w:pPr>
            <w:r>
              <w:rPr>
                <w:noProof/>
              </w:rPr>
              <w:t>E1G</w:t>
            </w:r>
          </w:p>
        </w:tc>
        <w:tc>
          <w:tcPr>
            <w:tcW w:w="3402" w:type="dxa"/>
            <w:shd w:val="clear" w:color="auto" w:fill="C6EFCE"/>
          </w:tcPr>
          <w:p w14:paraId="1216C6B4" w14:textId="77777777" w:rsidR="00A60DDE" w:rsidRDefault="00095506">
            <w:pPr>
              <w:pStyle w:val="P68B1DB1-Normal85"/>
              <w:spacing w:line="240" w:lineRule="auto"/>
              <w:textAlignment w:val="baseline"/>
              <w:rPr>
                <w:rFonts w:eastAsia="Times New Roman" w:cs="Times New Roman"/>
                <w:noProof/>
              </w:rPr>
            </w:pPr>
            <w:r>
              <w:rPr>
                <w:noProof/>
              </w:rPr>
              <w:t>E1.1 Creșterea utilizării transportului ecologic</w:t>
            </w:r>
          </w:p>
        </w:tc>
        <w:tc>
          <w:tcPr>
            <w:tcW w:w="1276" w:type="dxa"/>
            <w:shd w:val="clear" w:color="auto" w:fill="C6EFCE"/>
          </w:tcPr>
          <w:p w14:paraId="1216C6B5" w14:textId="77777777" w:rsidR="00A60DDE" w:rsidRDefault="00095506">
            <w:pPr>
              <w:pStyle w:val="P68B1DB1-Normal85"/>
              <w:spacing w:line="240" w:lineRule="auto"/>
              <w:ind w:left="-2"/>
              <w:jc w:val="center"/>
              <w:textAlignment w:val="baseline"/>
              <w:rPr>
                <w:strike/>
                <w:noProof/>
              </w:rPr>
            </w:pPr>
            <w:r>
              <w:rPr>
                <w:noProof/>
              </w:rPr>
              <w:t>Etapa de referință</w:t>
            </w:r>
          </w:p>
        </w:tc>
        <w:tc>
          <w:tcPr>
            <w:tcW w:w="3677" w:type="dxa"/>
            <w:shd w:val="clear" w:color="auto" w:fill="C6EFCE"/>
          </w:tcPr>
          <w:p w14:paraId="1216C6B6" w14:textId="77777777" w:rsidR="00A60DDE" w:rsidRDefault="00095506">
            <w:pPr>
              <w:pStyle w:val="P68B1DB1-Normal87"/>
              <w:spacing w:line="240" w:lineRule="auto"/>
              <w:textAlignment w:val="baseline"/>
              <w:rPr>
                <w:strike/>
                <w:noProof/>
              </w:rPr>
            </w:pPr>
            <w:r>
              <w:rPr>
                <w:noProof/>
              </w:rPr>
              <w:t>Intrarea în vigoare a unei legi privind achiziționarea de autobuze cu emisii zero</w:t>
            </w:r>
          </w:p>
        </w:tc>
      </w:tr>
      <w:tr w:rsidR="00A60DDE" w14:paraId="1216C6BC" w14:textId="77777777">
        <w:trPr>
          <w:trHeight w:val="300"/>
          <w:jc w:val="center"/>
        </w:trPr>
        <w:tc>
          <w:tcPr>
            <w:tcW w:w="1268" w:type="dxa"/>
            <w:shd w:val="clear" w:color="auto" w:fill="C6EFCE"/>
            <w:hideMark/>
          </w:tcPr>
          <w:p w14:paraId="1216C6B8"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E4aG </w:t>
            </w:r>
          </w:p>
        </w:tc>
        <w:tc>
          <w:tcPr>
            <w:tcW w:w="3402" w:type="dxa"/>
            <w:shd w:val="clear" w:color="auto" w:fill="C6EFCE"/>
            <w:hideMark/>
          </w:tcPr>
          <w:p w14:paraId="1216C6B9" w14:textId="77777777" w:rsidR="00A60DDE" w:rsidRDefault="00095506">
            <w:pPr>
              <w:pStyle w:val="P68B1DB1-Normal85"/>
              <w:spacing w:line="240" w:lineRule="auto"/>
              <w:textAlignment w:val="baseline"/>
              <w:rPr>
                <w:rFonts w:eastAsia="Times New Roman" w:cs="Times New Roman"/>
                <w:noProof/>
              </w:rPr>
            </w:pPr>
            <w:r>
              <w:rPr>
                <w:noProof/>
              </w:rPr>
              <w:t>E1.1. Creșterea utilizării transportului ecologic</w:t>
            </w:r>
          </w:p>
        </w:tc>
        <w:tc>
          <w:tcPr>
            <w:tcW w:w="1276" w:type="dxa"/>
            <w:shd w:val="clear" w:color="auto" w:fill="C6EFCE"/>
            <w:hideMark/>
          </w:tcPr>
          <w:p w14:paraId="1216C6BA"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BB" w14:textId="77777777" w:rsidR="00A60DDE" w:rsidRDefault="00095506">
            <w:pPr>
              <w:pStyle w:val="P68B1DB1-Normal87"/>
              <w:spacing w:line="240" w:lineRule="auto"/>
              <w:textAlignment w:val="baseline"/>
              <w:rPr>
                <w:noProof/>
              </w:rPr>
            </w:pPr>
            <w:r>
              <w:rPr>
                <w:noProof/>
              </w:rPr>
              <w:t>Schema de granturi pentru sprijinirea vehiculelor electrice</w:t>
            </w:r>
          </w:p>
        </w:tc>
      </w:tr>
      <w:tr w:rsidR="00A60DDE" w14:paraId="1216C6C1" w14:textId="77777777">
        <w:trPr>
          <w:trHeight w:val="300"/>
          <w:jc w:val="center"/>
        </w:trPr>
        <w:tc>
          <w:tcPr>
            <w:tcW w:w="1268" w:type="dxa"/>
            <w:shd w:val="clear" w:color="auto" w:fill="C6EFCE"/>
            <w:hideMark/>
          </w:tcPr>
          <w:p w14:paraId="1216C6BD"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E17G </w:t>
            </w:r>
          </w:p>
        </w:tc>
        <w:tc>
          <w:tcPr>
            <w:tcW w:w="3402" w:type="dxa"/>
            <w:shd w:val="clear" w:color="auto" w:fill="C6EFCE"/>
            <w:hideMark/>
          </w:tcPr>
          <w:p w14:paraId="1216C6BE" w14:textId="77777777" w:rsidR="00A60DDE" w:rsidRDefault="00095506">
            <w:pPr>
              <w:pStyle w:val="P68B1DB1-Normal85"/>
              <w:spacing w:line="240" w:lineRule="auto"/>
              <w:textAlignment w:val="baseline"/>
              <w:rPr>
                <w:rFonts w:eastAsia="Times New Roman" w:cs="Times New Roman"/>
                <w:noProof/>
              </w:rPr>
            </w:pPr>
            <w:r>
              <w:rPr>
                <w:noProof/>
              </w:rPr>
              <w:t>E2.1.1 Linii de cale ferată</w:t>
            </w:r>
          </w:p>
        </w:tc>
        <w:tc>
          <w:tcPr>
            <w:tcW w:w="1276" w:type="dxa"/>
            <w:shd w:val="clear" w:color="auto" w:fill="C6EFCE"/>
            <w:hideMark/>
          </w:tcPr>
          <w:p w14:paraId="1216C6BF"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C0" w14:textId="77777777" w:rsidR="00A60DDE" w:rsidRDefault="00095506">
            <w:pPr>
              <w:pStyle w:val="P68B1DB1-Normal87"/>
              <w:spacing w:after="0" w:line="240" w:lineRule="auto"/>
              <w:textAlignment w:val="baseline"/>
              <w:rPr>
                <w:noProof/>
              </w:rPr>
            </w:pPr>
            <w:r>
              <w:rPr>
                <w:noProof/>
              </w:rPr>
              <w:t>Semnarea contractelor</w:t>
            </w:r>
          </w:p>
        </w:tc>
      </w:tr>
      <w:tr w:rsidR="00A60DDE" w14:paraId="1216C6C6" w14:textId="77777777">
        <w:trPr>
          <w:trHeight w:val="300"/>
          <w:jc w:val="center"/>
        </w:trPr>
        <w:tc>
          <w:tcPr>
            <w:tcW w:w="1268" w:type="dxa"/>
            <w:shd w:val="clear" w:color="auto" w:fill="C6EFCE"/>
            <w:hideMark/>
          </w:tcPr>
          <w:p w14:paraId="1216C6C2"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E19G </w:t>
            </w:r>
          </w:p>
        </w:tc>
        <w:tc>
          <w:tcPr>
            <w:tcW w:w="3402" w:type="dxa"/>
            <w:shd w:val="clear" w:color="auto" w:fill="C6EFCE"/>
            <w:hideMark/>
          </w:tcPr>
          <w:p w14:paraId="1216C6C3" w14:textId="77777777" w:rsidR="00A60DDE" w:rsidRDefault="00095506">
            <w:pPr>
              <w:pStyle w:val="P68B1DB1-Normal85"/>
              <w:spacing w:line="240" w:lineRule="auto"/>
              <w:textAlignment w:val="baseline"/>
              <w:rPr>
                <w:rFonts w:eastAsia="Times New Roman" w:cs="Times New Roman"/>
                <w:noProof/>
              </w:rPr>
            </w:pPr>
            <w:r>
              <w:rPr>
                <w:noProof/>
              </w:rPr>
              <w:t>E2.1.2 Materialul rulant pentru transportul feroviar de călători</w:t>
            </w:r>
          </w:p>
        </w:tc>
        <w:tc>
          <w:tcPr>
            <w:tcW w:w="1276" w:type="dxa"/>
            <w:shd w:val="clear" w:color="auto" w:fill="C6EFCE"/>
            <w:hideMark/>
          </w:tcPr>
          <w:p w14:paraId="1216C6C4"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C5" w14:textId="77777777" w:rsidR="00A60DDE" w:rsidRDefault="00095506">
            <w:pPr>
              <w:pStyle w:val="P68B1DB1-Normal87"/>
              <w:spacing w:line="240" w:lineRule="auto"/>
              <w:textAlignment w:val="baseline"/>
              <w:rPr>
                <w:noProof/>
              </w:rPr>
            </w:pPr>
            <w:r>
              <w:rPr>
                <w:noProof/>
              </w:rPr>
              <w:t>Semnarea contractelor pentru materialul rulant de călători</w:t>
            </w:r>
          </w:p>
        </w:tc>
      </w:tr>
      <w:tr w:rsidR="00A60DDE" w14:paraId="1216C6CB" w14:textId="77777777">
        <w:trPr>
          <w:trHeight w:val="300"/>
          <w:jc w:val="center"/>
        </w:trPr>
        <w:tc>
          <w:tcPr>
            <w:tcW w:w="1268" w:type="dxa"/>
            <w:shd w:val="clear" w:color="auto" w:fill="C6EFCE"/>
            <w:hideMark/>
          </w:tcPr>
          <w:p w14:paraId="1216C6C7"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G1G </w:t>
            </w:r>
          </w:p>
        </w:tc>
        <w:tc>
          <w:tcPr>
            <w:tcW w:w="3402" w:type="dxa"/>
            <w:shd w:val="clear" w:color="auto" w:fill="C6EFCE"/>
            <w:hideMark/>
          </w:tcPr>
          <w:p w14:paraId="1216C6C8" w14:textId="6DF669D9" w:rsidR="00A60DDE" w:rsidRDefault="00095506">
            <w:pPr>
              <w:pStyle w:val="P68B1DB1-Normal85"/>
              <w:spacing w:line="240" w:lineRule="auto"/>
              <w:textAlignment w:val="baseline"/>
              <w:rPr>
                <w:rFonts w:eastAsia="Times New Roman" w:cs="Times New Roman"/>
                <w:noProof/>
              </w:rPr>
            </w:pPr>
            <w:r>
              <w:rPr>
                <w:noProof/>
              </w:rPr>
              <w:t xml:space="preserve">G1.1.1 Definirea unui mediu de reglementare favorabil pentru comunitățile energetice </w:t>
            </w:r>
          </w:p>
        </w:tc>
        <w:tc>
          <w:tcPr>
            <w:tcW w:w="1276" w:type="dxa"/>
            <w:shd w:val="clear" w:color="auto" w:fill="C6EFCE"/>
            <w:hideMark/>
          </w:tcPr>
          <w:p w14:paraId="1216C6C9"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CA" w14:textId="77777777" w:rsidR="00A60DDE" w:rsidRDefault="00095506">
            <w:pPr>
              <w:pStyle w:val="P68B1DB1-Normal87"/>
              <w:spacing w:line="240" w:lineRule="auto"/>
              <w:textAlignment w:val="baseline"/>
              <w:rPr>
                <w:noProof/>
              </w:rPr>
            </w:pPr>
            <w:r>
              <w:rPr>
                <w:noProof/>
              </w:rPr>
              <w:t>Analiza barierelor din calea dezvoltării comunităților energetice, a cooperativelor energetice sau a clusterelor energetice</w:t>
            </w:r>
          </w:p>
        </w:tc>
      </w:tr>
      <w:tr w:rsidR="00A60DDE" w14:paraId="1216C6D0" w14:textId="77777777">
        <w:trPr>
          <w:trHeight w:val="300"/>
          <w:jc w:val="center"/>
        </w:trPr>
        <w:tc>
          <w:tcPr>
            <w:tcW w:w="1268" w:type="dxa"/>
            <w:shd w:val="clear" w:color="auto" w:fill="C6EFCE"/>
            <w:hideMark/>
          </w:tcPr>
          <w:p w14:paraId="1216C6CC"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G7G </w:t>
            </w:r>
          </w:p>
        </w:tc>
        <w:tc>
          <w:tcPr>
            <w:tcW w:w="3402" w:type="dxa"/>
            <w:shd w:val="clear" w:color="auto" w:fill="C6EFCE"/>
            <w:hideMark/>
          </w:tcPr>
          <w:p w14:paraId="1216C6CD" w14:textId="77777777" w:rsidR="00A60DDE" w:rsidRDefault="00095506">
            <w:pPr>
              <w:pStyle w:val="P68B1DB1-Normal85"/>
              <w:spacing w:line="240" w:lineRule="auto"/>
              <w:textAlignment w:val="baseline"/>
              <w:rPr>
                <w:rFonts w:eastAsia="Times New Roman" w:cs="Times New Roman"/>
                <w:noProof/>
              </w:rPr>
            </w:pPr>
            <w:r>
              <w:rPr>
                <w:noProof/>
              </w:rPr>
              <w:t>G1.1.4 Sprijin pentru instituțiile care pun în aplicare reformele și investițiile REPowerEU</w:t>
            </w:r>
          </w:p>
        </w:tc>
        <w:tc>
          <w:tcPr>
            <w:tcW w:w="1276" w:type="dxa"/>
            <w:shd w:val="clear" w:color="auto" w:fill="C6EFCE"/>
            <w:hideMark/>
          </w:tcPr>
          <w:p w14:paraId="1216C6CE" w14:textId="77777777" w:rsidR="00A60DDE" w:rsidRDefault="00095506">
            <w:pPr>
              <w:pStyle w:val="P68B1DB1-Normal85"/>
              <w:spacing w:line="240" w:lineRule="auto"/>
              <w:ind w:right="45"/>
              <w:jc w:val="center"/>
              <w:textAlignment w:val="baseline"/>
              <w:rPr>
                <w:rFonts w:eastAsia="Times New Roman" w:cs="Times New Roman"/>
                <w:noProof/>
              </w:rPr>
            </w:pPr>
            <w:r>
              <w:rPr>
                <w:noProof/>
              </w:rPr>
              <w:t>Țintă</w:t>
            </w:r>
          </w:p>
        </w:tc>
        <w:tc>
          <w:tcPr>
            <w:tcW w:w="3677" w:type="dxa"/>
            <w:shd w:val="clear" w:color="auto" w:fill="C6EFCE"/>
          </w:tcPr>
          <w:p w14:paraId="1216C6CF" w14:textId="77777777" w:rsidR="00A60DDE" w:rsidRDefault="00095506">
            <w:pPr>
              <w:pStyle w:val="P68B1DB1-Normal87"/>
              <w:spacing w:line="240" w:lineRule="auto"/>
              <w:textAlignment w:val="baseline"/>
              <w:rPr>
                <w:noProof/>
              </w:rPr>
            </w:pPr>
            <w:r>
              <w:rPr>
                <w:noProof/>
              </w:rPr>
              <w:t>Creșterea capacității administrative de punere în aplicare a reformelor și a investițiilor REPowerEU</w:t>
            </w:r>
          </w:p>
        </w:tc>
      </w:tr>
      <w:tr w:rsidR="00A60DDE" w14:paraId="1216C6D5" w14:textId="77777777">
        <w:trPr>
          <w:trHeight w:val="300"/>
          <w:jc w:val="center"/>
        </w:trPr>
        <w:tc>
          <w:tcPr>
            <w:tcW w:w="1268" w:type="dxa"/>
            <w:shd w:val="clear" w:color="auto" w:fill="C6EFCE"/>
            <w:hideMark/>
          </w:tcPr>
          <w:p w14:paraId="1216C6D1"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G12G </w:t>
            </w:r>
          </w:p>
        </w:tc>
        <w:tc>
          <w:tcPr>
            <w:tcW w:w="3402" w:type="dxa"/>
            <w:shd w:val="clear" w:color="auto" w:fill="C6EFCE"/>
            <w:hideMark/>
          </w:tcPr>
          <w:p w14:paraId="1216C6D2" w14:textId="77777777" w:rsidR="00A60DDE" w:rsidRDefault="00095506">
            <w:pPr>
              <w:pStyle w:val="P68B1DB1-Normal85"/>
              <w:spacing w:line="240" w:lineRule="auto"/>
              <w:textAlignment w:val="baseline"/>
              <w:rPr>
                <w:rFonts w:eastAsia="Times New Roman" w:cs="Times New Roman"/>
                <w:noProof/>
              </w:rPr>
            </w:pPr>
            <w:r>
              <w:rPr>
                <w:noProof/>
              </w:rPr>
              <w:t>G1.2.1 Soluții de reglementare pentru integrarea accelerată a surselor regenerabile de energie în rețelele de distribuție</w:t>
            </w:r>
          </w:p>
        </w:tc>
        <w:tc>
          <w:tcPr>
            <w:tcW w:w="1276" w:type="dxa"/>
            <w:shd w:val="clear" w:color="auto" w:fill="C6EFCE"/>
            <w:hideMark/>
          </w:tcPr>
          <w:p w14:paraId="1216C6D3" w14:textId="77777777" w:rsidR="00A60DDE" w:rsidRDefault="00095506">
            <w:pPr>
              <w:pStyle w:val="P68B1DB1-Normal85"/>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D4" w14:textId="77777777" w:rsidR="00A60DDE" w:rsidRDefault="00095506">
            <w:pPr>
              <w:pStyle w:val="P68B1DB1-Normal87"/>
              <w:spacing w:line="240" w:lineRule="auto"/>
              <w:textAlignment w:val="baseline"/>
              <w:rPr>
                <w:noProof/>
              </w:rPr>
            </w:pPr>
            <w:r>
              <w:rPr>
                <w:noProof/>
              </w:rPr>
              <w:t>Publicarea noului model de reglementare privind investițiile prioritare pentru dezvoltarea rețelei</w:t>
            </w:r>
          </w:p>
        </w:tc>
      </w:tr>
      <w:tr w:rsidR="00A60DDE" w14:paraId="1216C6DA" w14:textId="77777777">
        <w:trPr>
          <w:trHeight w:val="300"/>
          <w:jc w:val="center"/>
        </w:trPr>
        <w:tc>
          <w:tcPr>
            <w:tcW w:w="1268" w:type="dxa"/>
            <w:shd w:val="clear" w:color="auto" w:fill="C6EFCE"/>
            <w:hideMark/>
          </w:tcPr>
          <w:p w14:paraId="1216C6D6" w14:textId="77777777" w:rsidR="00A60DDE" w:rsidRDefault="00095506">
            <w:pPr>
              <w:pStyle w:val="P68B1DB1-Normal85"/>
              <w:spacing w:line="240" w:lineRule="auto"/>
              <w:jc w:val="center"/>
              <w:rPr>
                <w:noProof/>
              </w:rPr>
            </w:pPr>
            <w:r>
              <w:rPr>
                <w:noProof/>
              </w:rPr>
              <w:t>G18G</w:t>
            </w:r>
          </w:p>
        </w:tc>
        <w:tc>
          <w:tcPr>
            <w:tcW w:w="3402" w:type="dxa"/>
            <w:shd w:val="clear" w:color="auto" w:fill="C6EFCE"/>
            <w:hideMark/>
          </w:tcPr>
          <w:p w14:paraId="1216C6D7" w14:textId="77777777" w:rsidR="00A60DDE" w:rsidRDefault="00095506">
            <w:pPr>
              <w:pStyle w:val="P68B1DB1-Normal87"/>
              <w:spacing w:line="240" w:lineRule="auto"/>
              <w:rPr>
                <w:noProof/>
              </w:rPr>
            </w:pPr>
            <w:r>
              <w:rPr>
                <w:noProof/>
              </w:rPr>
              <w:t>G1.2.3 Rețelele de transport și infrastructura inteligentă de energie electrică</w:t>
            </w:r>
          </w:p>
        </w:tc>
        <w:tc>
          <w:tcPr>
            <w:tcW w:w="1276" w:type="dxa"/>
            <w:shd w:val="clear" w:color="auto" w:fill="C6EFCE"/>
            <w:hideMark/>
          </w:tcPr>
          <w:p w14:paraId="1216C6D8" w14:textId="77777777" w:rsidR="00A60DDE" w:rsidRDefault="00095506">
            <w:pPr>
              <w:pStyle w:val="P68B1DB1-Normal85"/>
              <w:spacing w:line="240" w:lineRule="auto"/>
              <w:jc w:val="center"/>
              <w:rPr>
                <w:noProof/>
              </w:rPr>
            </w:pPr>
            <w:r>
              <w:rPr>
                <w:noProof/>
              </w:rPr>
              <w:t>Etapa de referință</w:t>
            </w:r>
          </w:p>
        </w:tc>
        <w:tc>
          <w:tcPr>
            <w:tcW w:w="3677" w:type="dxa"/>
            <w:shd w:val="clear" w:color="auto" w:fill="C6EFCE"/>
          </w:tcPr>
          <w:p w14:paraId="1216C6D9" w14:textId="77777777" w:rsidR="00A60DDE" w:rsidRDefault="00095506">
            <w:pPr>
              <w:pStyle w:val="P68B1DB1-Normal87"/>
              <w:spacing w:after="0" w:line="240" w:lineRule="auto"/>
              <w:rPr>
                <w:noProof/>
              </w:rPr>
            </w:pPr>
            <w:r>
              <w:rPr>
                <w:noProof/>
              </w:rPr>
              <w:t>Semnarea acordurilor de grant între operatorul de transport și de sistem (OTS) și autorități privind construirea sau modernizarea tronsoanelor rețelei de transport al energiei electrice</w:t>
            </w:r>
          </w:p>
        </w:tc>
      </w:tr>
      <w:tr w:rsidR="00A60DDE" w14:paraId="1216C6DF" w14:textId="77777777">
        <w:trPr>
          <w:trHeight w:val="300"/>
          <w:jc w:val="center"/>
        </w:trPr>
        <w:tc>
          <w:tcPr>
            <w:tcW w:w="1268" w:type="dxa"/>
            <w:shd w:val="clear" w:color="auto" w:fill="C6EFCE"/>
            <w:hideMark/>
          </w:tcPr>
          <w:p w14:paraId="1216C6DB" w14:textId="77777777" w:rsidR="00A60DDE" w:rsidRDefault="00095506">
            <w:pPr>
              <w:pStyle w:val="P68B1DB1-Normal85"/>
              <w:spacing w:line="240" w:lineRule="auto"/>
              <w:jc w:val="center"/>
              <w:rPr>
                <w:noProof/>
              </w:rPr>
            </w:pPr>
            <w:r>
              <w:rPr>
                <w:noProof/>
              </w:rPr>
              <w:t>G26G</w:t>
            </w:r>
          </w:p>
        </w:tc>
        <w:tc>
          <w:tcPr>
            <w:tcW w:w="3402" w:type="dxa"/>
            <w:shd w:val="clear" w:color="auto" w:fill="C6EFCE"/>
            <w:hideMark/>
          </w:tcPr>
          <w:p w14:paraId="1216C6DC" w14:textId="77777777" w:rsidR="00A60DDE" w:rsidRDefault="00095506">
            <w:pPr>
              <w:pStyle w:val="P68B1DB1-Normal87"/>
              <w:spacing w:line="240" w:lineRule="auto"/>
              <w:rPr>
                <w:noProof/>
              </w:rPr>
            </w:pPr>
            <w:r>
              <w:rPr>
                <w:noProof/>
              </w:rPr>
              <w:t>G1.3.2 Transportul în comun cu emisii zero (autobuze)</w:t>
            </w:r>
          </w:p>
        </w:tc>
        <w:tc>
          <w:tcPr>
            <w:tcW w:w="1276" w:type="dxa"/>
            <w:shd w:val="clear" w:color="auto" w:fill="C6EFCE"/>
            <w:hideMark/>
          </w:tcPr>
          <w:p w14:paraId="1216C6DD" w14:textId="77777777" w:rsidR="00A60DDE" w:rsidRDefault="00095506">
            <w:pPr>
              <w:pStyle w:val="P68B1DB1-Normal85"/>
              <w:spacing w:line="240" w:lineRule="auto"/>
              <w:ind w:right="45"/>
              <w:jc w:val="center"/>
              <w:rPr>
                <w:rFonts w:eastAsia="Times New Roman" w:cs="Times New Roman"/>
                <w:noProof/>
              </w:rPr>
            </w:pPr>
            <w:r>
              <w:rPr>
                <w:noProof/>
              </w:rPr>
              <w:t>Etapa de referință</w:t>
            </w:r>
          </w:p>
        </w:tc>
        <w:tc>
          <w:tcPr>
            <w:tcW w:w="3677" w:type="dxa"/>
            <w:shd w:val="clear" w:color="auto" w:fill="C6EFCE"/>
          </w:tcPr>
          <w:p w14:paraId="1216C6DE" w14:textId="77777777" w:rsidR="00A60DDE" w:rsidRDefault="00095506">
            <w:pPr>
              <w:pStyle w:val="P68B1DB1-Normal87"/>
              <w:spacing w:line="240" w:lineRule="auto"/>
              <w:rPr>
                <w:noProof/>
              </w:rPr>
            </w:pPr>
            <w:r>
              <w:rPr>
                <w:noProof/>
              </w:rPr>
              <w:t>Autobuze noi cu emisii zero: semnarea contractelor</w:t>
            </w:r>
          </w:p>
        </w:tc>
      </w:tr>
      <w:tr w:rsidR="00A60DDE" w14:paraId="1216C6E4" w14:textId="77777777">
        <w:trPr>
          <w:trHeight w:val="300"/>
          <w:jc w:val="center"/>
        </w:trPr>
        <w:tc>
          <w:tcPr>
            <w:tcW w:w="1268" w:type="dxa"/>
            <w:shd w:val="clear" w:color="auto" w:fill="C6EFCE"/>
            <w:hideMark/>
          </w:tcPr>
          <w:p w14:paraId="1216C6E0"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 </w:t>
            </w:r>
          </w:p>
        </w:tc>
        <w:tc>
          <w:tcPr>
            <w:tcW w:w="3402" w:type="dxa"/>
            <w:shd w:val="clear" w:color="auto" w:fill="C6EFCE"/>
            <w:hideMark/>
          </w:tcPr>
          <w:p w14:paraId="1216C6E1" w14:textId="77777777" w:rsidR="00A60DDE" w:rsidRDefault="00095506">
            <w:pPr>
              <w:pStyle w:val="P68B1DB1-Normal85"/>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6E2" w14:textId="77777777" w:rsidR="00A60DDE" w:rsidRDefault="00095506">
            <w:pPr>
              <w:pStyle w:val="P68B1DB1-Normal85"/>
              <w:spacing w:line="240" w:lineRule="auto"/>
              <w:ind w:right="45"/>
              <w:jc w:val="center"/>
              <w:textAlignment w:val="baseline"/>
              <w:rPr>
                <w:rFonts w:eastAsia="Times New Roman" w:cs="Times New Roman"/>
                <w:noProof/>
              </w:rPr>
            </w:pPr>
            <w:r>
              <w:rPr>
                <w:noProof/>
              </w:rPr>
              <w:t>Valoarea tranșei</w:t>
            </w:r>
          </w:p>
        </w:tc>
        <w:tc>
          <w:tcPr>
            <w:tcW w:w="3677" w:type="dxa"/>
            <w:shd w:val="clear" w:color="auto" w:fill="C6EFCE"/>
            <w:hideMark/>
          </w:tcPr>
          <w:p w14:paraId="1216C6E3" w14:textId="77777777" w:rsidR="00A60DDE" w:rsidRDefault="00095506">
            <w:pPr>
              <w:pStyle w:val="P68B1DB1-Normal87"/>
              <w:spacing w:line="240" w:lineRule="auto"/>
              <w:ind w:left="75"/>
              <w:textAlignment w:val="baseline"/>
              <w:rPr>
                <w:noProof/>
              </w:rPr>
            </w:pPr>
            <w:r>
              <w:rPr>
                <w:noProof/>
              </w:rPr>
              <w:t>3 517 566 344 EUR</w:t>
            </w:r>
          </w:p>
        </w:tc>
      </w:tr>
    </w:tbl>
    <w:p w14:paraId="1216C6E5" w14:textId="140726BA" w:rsidR="00A60DDE" w:rsidRDefault="00095506">
      <w:pPr>
        <w:pStyle w:val="P68B1DB1-Normal85"/>
        <w:spacing w:line="240" w:lineRule="auto"/>
        <w:ind w:left="-1140" w:right="10770"/>
        <w:textAlignment w:val="baseline"/>
        <w:rPr>
          <w:noProof/>
        </w:rPr>
      </w:pPr>
      <w:r>
        <w:rPr>
          <w:noProof/>
        </w:rPr>
        <w:t> </w:t>
      </w:r>
    </w:p>
    <w:p w14:paraId="716571DD" w14:textId="77777777" w:rsidR="00A60DDE" w:rsidRDefault="00095506">
      <w:pPr>
        <w:pStyle w:val="P68B1DB1-Normal85"/>
        <w:rPr>
          <w:noProof/>
        </w:rPr>
      </w:pPr>
      <w:r>
        <w:rPr>
          <w:noProof/>
        </w:rPr>
        <w:br w:type="page"/>
      </w:r>
    </w:p>
    <w:p w14:paraId="1216C6E8" w14:textId="5BCE2DFF" w:rsidR="00A60DDE" w:rsidRDefault="00095506">
      <w:pPr>
        <w:pStyle w:val="P68B1DB1-Normal85"/>
        <w:spacing w:line="240" w:lineRule="auto"/>
        <w:textAlignment w:val="baseline"/>
        <w:rPr>
          <w:rFonts w:ascii="Segoe UI" w:eastAsia="Times New Roman" w:hAnsi="Segoe UI" w:cs="Segoe UI"/>
          <w:noProof/>
          <w:sz w:val="18"/>
          <w:szCs w:val="18"/>
        </w:rPr>
      </w:pPr>
      <w:r>
        <w:rPr>
          <w:noProof/>
        </w:rPr>
        <w:t>2.1.7. A șaptea tranșă (sprijin nerambursabil):</w:t>
      </w:r>
    </w:p>
    <w:tbl>
      <w:tblPr>
        <w:tblW w:w="9640" w:type="dxa"/>
        <w:jc w:val="center"/>
        <w:tblBorders>
          <w:top w:val="outset" w:sz="6" w:space="0" w:color="auto"/>
          <w:left w:val="outset" w:sz="6" w:space="0" w:color="auto"/>
          <w:bottom w:val="outset" w:sz="6" w:space="0" w:color="auto"/>
          <w:right w:val="outset" w:sz="6" w:space="0" w:color="auto"/>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A60DDE" w14:paraId="1216C6ED" w14:textId="77777777">
        <w:trPr>
          <w:trHeight w:val="300"/>
          <w:tblHeader/>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9" w14:textId="77777777" w:rsidR="00A60DDE" w:rsidRDefault="00095506">
            <w:pPr>
              <w:pStyle w:val="P68B1DB1-Normal99"/>
              <w:spacing w:line="240" w:lineRule="auto"/>
              <w:ind w:right="15"/>
              <w:jc w:val="center"/>
              <w:textAlignment w:val="baseline"/>
              <w:rPr>
                <w:noProof/>
              </w:rPr>
            </w:pPr>
            <w:r>
              <w:rPr>
                <w:noProof/>
              </w:rPr>
              <w:t>Număr secvențial</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A" w14:textId="77777777" w:rsidR="00A60DDE" w:rsidRDefault="00095506">
            <w:pPr>
              <w:pStyle w:val="P68B1DB1-Normal99"/>
              <w:spacing w:line="240" w:lineRule="auto"/>
              <w:jc w:val="center"/>
              <w:textAlignment w:val="baseline"/>
              <w:rPr>
                <w:noProof/>
              </w:rPr>
            </w:pPr>
            <w:r>
              <w:rPr>
                <w:noProof/>
              </w:rPr>
              <w:t>Măsură conexă (reformă sau investiție)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B" w14:textId="77777777" w:rsidR="00A60DDE" w:rsidRDefault="00095506">
            <w:pPr>
              <w:pStyle w:val="P68B1DB1-Normal99"/>
              <w:spacing w:line="240" w:lineRule="auto"/>
              <w:ind w:left="60"/>
              <w:jc w:val="center"/>
              <w:textAlignment w:val="baseline"/>
              <w:rPr>
                <w:noProof/>
              </w:rPr>
            </w:pPr>
            <w:r>
              <w:rPr>
                <w:noProof/>
              </w:rPr>
              <w:t>Etapa/ținta</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C" w14:textId="77777777" w:rsidR="00A60DDE" w:rsidRDefault="00095506">
            <w:pPr>
              <w:pStyle w:val="P68B1DB1-Normal99"/>
              <w:spacing w:line="240" w:lineRule="auto"/>
              <w:jc w:val="center"/>
              <w:textAlignment w:val="baseline"/>
              <w:rPr>
                <w:rFonts w:eastAsia="Times New Roman" w:cs="Times New Roman"/>
                <w:noProof/>
              </w:rPr>
            </w:pPr>
            <w:r>
              <w:rPr>
                <w:noProof/>
              </w:rPr>
              <w:t>Denumire</w:t>
            </w:r>
          </w:p>
        </w:tc>
      </w:tr>
      <w:tr w:rsidR="00A60DDE" w14:paraId="1216C6F2"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E"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A2G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F" w14:textId="77777777" w:rsidR="00A60DDE" w:rsidRDefault="00095506">
            <w:pPr>
              <w:pStyle w:val="P68B1DB1-Normal85"/>
              <w:spacing w:line="240" w:lineRule="auto"/>
              <w:textAlignment w:val="baseline"/>
              <w:rPr>
                <w:rFonts w:eastAsia="Times New Roman" w:cs="Times New Roman"/>
                <w:noProof/>
              </w:rPr>
            </w:pPr>
            <w:r>
              <w:rPr>
                <w:noProof/>
              </w:rPr>
              <w:t>A1.1 Reforma cadrului bugetar</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0" w14:textId="77777777" w:rsidR="00A60DDE" w:rsidRDefault="00095506">
            <w:pPr>
              <w:pStyle w:val="P68B1DB1-Normal85"/>
              <w:spacing w:line="240" w:lineRule="auto"/>
              <w:ind w:left="-5"/>
              <w:jc w:val="center"/>
              <w:textAlignment w:val="baseline"/>
              <w:rPr>
                <w:rFonts w:eastAsia="Times New Roman" w:cs="Times New Roman"/>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1" w14:textId="77777777" w:rsidR="00A60DDE" w:rsidRDefault="00095506">
            <w:pPr>
              <w:pStyle w:val="P68B1DB1-Normal87"/>
              <w:spacing w:line="240" w:lineRule="auto"/>
              <w:textAlignment w:val="baseline"/>
              <w:rPr>
                <w:noProof/>
              </w:rPr>
            </w:pPr>
            <w:r>
              <w:rPr>
                <w:noProof/>
              </w:rPr>
              <w:t>Cadrul bugetar pe termen mediu revizuit și cadrul de revizuire a cheltuielilor</w:t>
            </w:r>
          </w:p>
        </w:tc>
      </w:tr>
      <w:tr w:rsidR="00A60DDE" w14:paraId="1216C6F7"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3"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A4G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4" w14:textId="77777777" w:rsidR="00A60DDE" w:rsidRDefault="00095506">
            <w:pPr>
              <w:pStyle w:val="P68B1DB1-Normal85"/>
              <w:spacing w:line="240" w:lineRule="auto"/>
              <w:textAlignment w:val="baseline"/>
              <w:rPr>
                <w:rFonts w:eastAsia="Times New Roman" w:cs="Times New Roman"/>
                <w:noProof/>
              </w:rPr>
            </w:pPr>
            <w:r>
              <w:rPr>
                <w:noProof/>
              </w:rPr>
              <w:t>A1.1 Reforma cadrului bugetar</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5" w14:textId="77777777" w:rsidR="00A60DDE" w:rsidRDefault="00095506">
            <w:pPr>
              <w:pStyle w:val="P68B1DB1-Normal85"/>
              <w:spacing w:line="240" w:lineRule="auto"/>
              <w:ind w:left="-5"/>
              <w:jc w:val="center"/>
              <w:textAlignment w:val="baseline"/>
              <w:rPr>
                <w:rFonts w:eastAsia="Times New Roman" w:cs="Times New Roman"/>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6" w14:textId="77777777" w:rsidR="00A60DDE" w:rsidRDefault="00095506">
            <w:pPr>
              <w:pStyle w:val="P68B1DB1-Normal87"/>
              <w:spacing w:line="240" w:lineRule="auto"/>
              <w:textAlignment w:val="baseline"/>
              <w:rPr>
                <w:noProof/>
              </w:rPr>
            </w:pPr>
            <w:r>
              <w:rPr>
                <w:noProof/>
              </w:rPr>
              <w:t>Revizuirea funcționării regulii de stabilizare a cheltuielilor</w:t>
            </w:r>
          </w:p>
        </w:tc>
      </w:tr>
      <w:tr w:rsidR="00A60DDE" w14:paraId="1216C6FC"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8"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A15G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9" w14:textId="77777777" w:rsidR="00A60DDE" w:rsidRDefault="00095506">
            <w:pPr>
              <w:pStyle w:val="P68B1DB1-Normal85"/>
              <w:spacing w:line="240" w:lineRule="auto"/>
              <w:textAlignment w:val="baseline"/>
              <w:rPr>
                <w:rFonts w:eastAsia="Times New Roman" w:cs="Times New Roman"/>
                <w:noProof/>
              </w:rPr>
            </w:pPr>
            <w:r>
              <w:rPr>
                <w:noProof/>
              </w:rPr>
              <w:t>A1.3.1 Punerea în aplicare a reformei amenajării teritoriului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A" w14:textId="77777777" w:rsidR="00A60DDE" w:rsidRDefault="00095506">
            <w:pPr>
              <w:pStyle w:val="P68B1DB1-Normal85"/>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B" w14:textId="77777777" w:rsidR="00A60DDE" w:rsidRDefault="00095506">
            <w:pPr>
              <w:pStyle w:val="P68B1DB1-Normal87"/>
              <w:spacing w:line="240" w:lineRule="auto"/>
              <w:textAlignment w:val="baseline"/>
              <w:rPr>
                <w:noProof/>
              </w:rPr>
            </w:pPr>
            <w:r>
              <w:rPr>
                <w:noProof/>
              </w:rPr>
              <w:t>Cursuri privind noua lege a amenajării teritoriului</w:t>
            </w:r>
          </w:p>
        </w:tc>
      </w:tr>
      <w:tr w:rsidR="00A60DDE" w14:paraId="1216C701"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D" w14:textId="77777777" w:rsidR="00A60DDE" w:rsidRDefault="00095506">
            <w:pPr>
              <w:pStyle w:val="P68B1DB1-Normal85"/>
              <w:spacing w:line="240" w:lineRule="auto"/>
              <w:jc w:val="center"/>
              <w:rPr>
                <w:noProof/>
              </w:rPr>
            </w:pPr>
            <w:r>
              <w:rPr>
                <w:noProof/>
              </w:rPr>
              <w:t>A31G</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E" w14:textId="77777777" w:rsidR="00A60DDE" w:rsidRDefault="00095506">
            <w:pPr>
              <w:pStyle w:val="P68B1DB1-Normal85"/>
              <w:spacing w:line="240" w:lineRule="auto"/>
              <w:rPr>
                <w:noProof/>
              </w:rPr>
            </w:pPr>
            <w:r>
              <w:rPr>
                <w:noProof/>
              </w:rPr>
              <w:t>A2.2.1 Investiții în tehnologii și inovații de mediu, legate de economia circulară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F" w14:textId="77777777" w:rsidR="00A60DDE" w:rsidRDefault="00095506">
            <w:pPr>
              <w:pStyle w:val="P68B1DB1-Normal85"/>
              <w:spacing w:line="240" w:lineRule="auto"/>
              <w:jc w:val="center"/>
              <w:rPr>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0" w14:textId="77777777" w:rsidR="00A60DDE" w:rsidRDefault="00095506">
            <w:pPr>
              <w:pStyle w:val="P68B1DB1-Normal87"/>
              <w:spacing w:line="240" w:lineRule="auto"/>
              <w:rPr>
                <w:noProof/>
              </w:rPr>
            </w:pPr>
            <w:r>
              <w:rPr>
                <w:noProof/>
              </w:rPr>
              <w:t>Acorduri de grant semnate pentru proiecte privind tehnologiile de mediu și inovațiile legate de economia circulară</w:t>
            </w:r>
          </w:p>
        </w:tc>
      </w:tr>
      <w:tr w:rsidR="00A60DDE" w14:paraId="1216C706"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2" w14:textId="77777777" w:rsidR="00A60DDE" w:rsidRDefault="00095506">
            <w:pPr>
              <w:pStyle w:val="P68B1DB1-Normal85"/>
              <w:spacing w:line="240" w:lineRule="auto"/>
              <w:ind w:right="15"/>
              <w:jc w:val="center"/>
              <w:textAlignment w:val="baseline"/>
              <w:rPr>
                <w:noProof/>
              </w:rPr>
            </w:pPr>
            <w:r>
              <w:rPr>
                <w:noProof/>
              </w:rPr>
              <w:t xml:space="preserve">A32G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3" w14:textId="77777777" w:rsidR="00A60DDE" w:rsidRDefault="00095506">
            <w:pPr>
              <w:pStyle w:val="P68B1DB1-Normal85"/>
              <w:spacing w:line="240" w:lineRule="auto"/>
              <w:textAlignment w:val="baseline"/>
              <w:rPr>
                <w:rFonts w:eastAsia="Times New Roman" w:cs="Times New Roman"/>
                <w:noProof/>
              </w:rPr>
            </w:pPr>
            <w:r>
              <w:rPr>
                <w:noProof/>
              </w:rPr>
              <w:t>A2.2.1 Investiții în tehnologii și inovații de mediu, legate de economia circulară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4" w14:textId="77777777" w:rsidR="00A60DDE" w:rsidRDefault="00095506">
            <w:pPr>
              <w:pStyle w:val="P68B1DB1-Normal85"/>
              <w:spacing w:line="240" w:lineRule="auto"/>
              <w:ind w:right="15"/>
              <w:jc w:val="center"/>
              <w:textAlignment w:val="baseline"/>
              <w:rPr>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5" w14:textId="77777777" w:rsidR="00A60DDE" w:rsidRDefault="00095506">
            <w:pPr>
              <w:pStyle w:val="P68B1DB1-Normal87"/>
              <w:spacing w:line="240" w:lineRule="auto"/>
              <w:textAlignment w:val="baseline"/>
              <w:rPr>
                <w:noProof/>
              </w:rPr>
            </w:pPr>
            <w:r>
              <w:rPr>
                <w:noProof/>
              </w:rPr>
              <w:t>Acorduri de grant semnate pentru proiecte privind tehnologiile și inovațiile de mediu, legate de economia circulară sau de crearea unei piețe pentru materiile prime secundare</w:t>
            </w:r>
          </w:p>
        </w:tc>
      </w:tr>
      <w:tr w:rsidR="00A60DDE" w14:paraId="1216C70B"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7"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A63G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8" w14:textId="77777777" w:rsidR="00A60DDE" w:rsidRDefault="00095506">
            <w:pPr>
              <w:pStyle w:val="P68B1DB1-Normal85"/>
              <w:spacing w:line="240" w:lineRule="auto"/>
              <w:textAlignment w:val="baseline"/>
              <w:rPr>
                <w:rFonts w:eastAsia="Times New Roman" w:cs="Times New Roman"/>
                <w:noProof/>
              </w:rPr>
            </w:pPr>
            <w:r>
              <w:rPr>
                <w:noProof/>
              </w:rPr>
              <w:t>A4.3.1 Investiții în entități din economia socială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9" w14:textId="77777777" w:rsidR="00A60DDE" w:rsidRDefault="00095506">
            <w:pPr>
              <w:pStyle w:val="P68B1DB1-Normal85"/>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A" w14:textId="77777777" w:rsidR="00A60DDE" w:rsidRDefault="00095506">
            <w:pPr>
              <w:pStyle w:val="P68B1DB1-Normal87"/>
              <w:spacing w:line="240" w:lineRule="auto"/>
              <w:textAlignment w:val="baseline"/>
              <w:rPr>
                <w:noProof/>
              </w:rPr>
            </w:pPr>
            <w:r>
              <w:rPr>
                <w:noProof/>
              </w:rPr>
              <w:t>Decizii de acordare a statutului de întreprindere socială</w:t>
            </w:r>
          </w:p>
        </w:tc>
      </w:tr>
      <w:tr w:rsidR="00A60DDE" w14:paraId="1216C710"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C" w14:textId="77777777" w:rsidR="00A60DDE" w:rsidRDefault="00095506">
            <w:pPr>
              <w:pStyle w:val="P68B1DB1-Normal85"/>
              <w:spacing w:line="240" w:lineRule="auto"/>
              <w:jc w:val="center"/>
              <w:textAlignment w:val="baseline"/>
              <w:rPr>
                <w:rFonts w:eastAsia="Times New Roman" w:cs="Times New Roman"/>
                <w:noProof/>
              </w:rPr>
            </w:pPr>
            <w:r>
              <w:rPr>
                <w:noProof/>
              </w:rPr>
              <w:t>A71G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D" w14:textId="77777777" w:rsidR="00A60DDE" w:rsidRDefault="00095506">
            <w:pPr>
              <w:pStyle w:val="P68B1DB1-Normal85"/>
              <w:spacing w:line="240" w:lineRule="auto"/>
              <w:textAlignment w:val="baseline"/>
              <w:rPr>
                <w:rFonts w:eastAsia="Times New Roman" w:cs="Times New Roman"/>
                <w:noProof/>
              </w:rPr>
            </w:pPr>
            <w:r>
              <w:rPr>
                <w:noProof/>
              </w:rPr>
              <w:t>A4.7 Limitarea segmentării pieței forței de muncă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E" w14:textId="77777777" w:rsidR="00A60DDE" w:rsidRDefault="00095506">
            <w:pPr>
              <w:pStyle w:val="P68B1DB1-Normal85"/>
              <w:spacing w:line="240" w:lineRule="auto"/>
              <w:ind w:right="15"/>
              <w:jc w:val="center"/>
              <w:textAlignment w:val="baseline"/>
              <w:rPr>
                <w:rFonts w:eastAsia="Times New Roman" w:cs="Times New Roman"/>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F" w14:textId="77777777" w:rsidR="00A60DDE" w:rsidRDefault="00095506">
            <w:pPr>
              <w:pStyle w:val="P68B1DB1-Normal87"/>
              <w:spacing w:line="240" w:lineRule="auto"/>
              <w:textAlignment w:val="baseline"/>
              <w:rPr>
                <w:noProof/>
              </w:rPr>
            </w:pPr>
            <w:r>
              <w:rPr>
                <w:noProof/>
              </w:rPr>
              <w:t>Reforma Inspecției de Stat a Muncii</w:t>
            </w:r>
          </w:p>
        </w:tc>
      </w:tr>
      <w:tr w:rsidR="00A60DDE" w14:paraId="1216C715"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1" w14:textId="77777777" w:rsidR="00A60DDE" w:rsidRDefault="00095506">
            <w:pPr>
              <w:pStyle w:val="P68B1DB1-Normal85"/>
              <w:spacing w:line="240" w:lineRule="auto"/>
              <w:ind w:right="15"/>
              <w:jc w:val="center"/>
              <w:textAlignment w:val="baseline"/>
              <w:rPr>
                <w:noProof/>
              </w:rPr>
            </w:pPr>
            <w:r>
              <w:rPr>
                <w:noProof/>
              </w:rPr>
              <w:t xml:space="preserve">B21dG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2" w14:textId="77777777" w:rsidR="00A60DDE" w:rsidRDefault="00095506">
            <w:pPr>
              <w:pStyle w:val="P68B1DB1-Normal85"/>
              <w:spacing w:line="240" w:lineRule="auto"/>
              <w:textAlignment w:val="baseline"/>
              <w:rPr>
                <w:rFonts w:eastAsia="Times New Roman" w:cs="Times New Roman"/>
                <w:noProof/>
              </w:rPr>
            </w:pPr>
            <w:r>
              <w:rPr>
                <w:noProof/>
              </w:rPr>
              <w:t>B2.1.1. Investiții în hidrogen, producția, stocarea și transportul hidrogenului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3" w14:textId="77777777" w:rsidR="00A60DDE" w:rsidRDefault="00095506">
            <w:pPr>
              <w:pStyle w:val="P68B1DB1-Normal85"/>
              <w:spacing w:line="240" w:lineRule="auto"/>
              <w:ind w:right="15"/>
              <w:jc w:val="center"/>
              <w:textAlignment w:val="baseline"/>
              <w:rPr>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4" w14:textId="77777777" w:rsidR="00A60DDE" w:rsidRDefault="00095506">
            <w:pPr>
              <w:pStyle w:val="P68B1DB1-Normal87"/>
              <w:spacing w:line="240" w:lineRule="auto"/>
              <w:textAlignment w:val="baseline"/>
              <w:rPr>
                <w:noProof/>
              </w:rPr>
            </w:pPr>
            <w:r>
              <w:rPr>
                <w:noProof/>
              </w:rPr>
              <w:t>Acorduri juridice semnate cu beneficiarii finali</w:t>
            </w:r>
          </w:p>
        </w:tc>
      </w:tr>
      <w:tr w:rsidR="00A60DDE" w14:paraId="1216C71A"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6" w14:textId="77777777" w:rsidR="00A60DDE" w:rsidRDefault="00095506">
            <w:pPr>
              <w:pStyle w:val="P68B1DB1-Normal85"/>
              <w:spacing w:line="240" w:lineRule="auto"/>
              <w:ind w:right="15"/>
              <w:jc w:val="center"/>
              <w:textAlignment w:val="baseline"/>
              <w:rPr>
                <w:noProof/>
              </w:rPr>
            </w:pPr>
            <w:r>
              <w:rPr>
                <w:noProof/>
              </w:rPr>
              <w:t xml:space="preserve">B21eG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7" w14:textId="77777777" w:rsidR="00A60DDE" w:rsidRDefault="00095506">
            <w:pPr>
              <w:pStyle w:val="P68B1DB1-Normal85"/>
              <w:spacing w:line="240" w:lineRule="auto"/>
              <w:textAlignment w:val="baseline"/>
              <w:rPr>
                <w:rFonts w:eastAsia="Times New Roman" w:cs="Times New Roman"/>
                <w:noProof/>
              </w:rPr>
            </w:pPr>
            <w:r>
              <w:rPr>
                <w:noProof/>
              </w:rPr>
              <w:t>B2.1.1. Investiții în hidrogen, producția, stocarea și transportul hidrogenului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8" w14:textId="77777777" w:rsidR="00A60DDE" w:rsidRDefault="00095506">
            <w:pPr>
              <w:pStyle w:val="P68B1DB1-Normal85"/>
              <w:spacing w:line="240" w:lineRule="auto"/>
              <w:ind w:right="15"/>
              <w:jc w:val="center"/>
              <w:textAlignment w:val="baseline"/>
              <w:rPr>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9" w14:textId="77777777" w:rsidR="00A60DDE" w:rsidRDefault="00095506">
            <w:pPr>
              <w:pStyle w:val="P68B1DB1-Normal87"/>
              <w:spacing w:line="240" w:lineRule="auto"/>
              <w:textAlignment w:val="baseline"/>
              <w:rPr>
                <w:noProof/>
              </w:rPr>
            </w:pPr>
            <w:r>
              <w:rPr>
                <w:noProof/>
              </w:rPr>
              <w:t>Ministerul a finalizat investiția</w:t>
            </w:r>
          </w:p>
        </w:tc>
      </w:tr>
      <w:tr w:rsidR="00A60DDE" w14:paraId="1216C71F"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B"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C28G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C" w14:textId="77777777" w:rsidR="00A60DDE" w:rsidRDefault="00095506">
            <w:pPr>
              <w:pStyle w:val="P68B1DB1-Normal85"/>
              <w:spacing w:line="240" w:lineRule="auto"/>
              <w:textAlignment w:val="baseline"/>
              <w:rPr>
                <w:rFonts w:eastAsia="Times New Roman" w:cs="Times New Roman"/>
                <w:noProof/>
              </w:rPr>
            </w:pPr>
            <w:r>
              <w:rPr>
                <w:noProof/>
              </w:rPr>
              <w:t>C3.1.1 Securitate cibernetică – CyberPL, infrastructura de prelucrare a datelor și optimizarea infrastructurii serviciilor de aplicare a legii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D" w14:textId="77777777" w:rsidR="00A60DDE" w:rsidRDefault="00095506">
            <w:pPr>
              <w:pStyle w:val="P68B1DB1-Normal85"/>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E" w14:textId="77777777" w:rsidR="00A60DDE" w:rsidRDefault="00095506">
            <w:pPr>
              <w:pStyle w:val="P68B1DB1-Normal87"/>
              <w:spacing w:line="240" w:lineRule="auto"/>
              <w:textAlignment w:val="baseline"/>
              <w:rPr>
                <w:noProof/>
              </w:rPr>
            </w:pPr>
            <w:r>
              <w:rPr>
                <w:noProof/>
              </w:rPr>
              <w:t>Proiect important de interes european comun (PIIEC): Soluții de prelucrare a datelor privind infrastructura sau serviciile</w:t>
            </w:r>
          </w:p>
        </w:tc>
      </w:tr>
      <w:tr w:rsidR="00A60DDE" w14:paraId="1216C724"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0"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E5G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1" w14:textId="77777777" w:rsidR="00A60DDE" w:rsidRDefault="00095506">
            <w:pPr>
              <w:pStyle w:val="P68B1DB1-Normal85"/>
              <w:spacing w:line="240" w:lineRule="auto"/>
              <w:textAlignment w:val="baseline"/>
              <w:rPr>
                <w:rFonts w:eastAsia="Times New Roman" w:cs="Times New Roman"/>
                <w:noProof/>
              </w:rPr>
            </w:pPr>
            <w:r>
              <w:rPr>
                <w:noProof/>
              </w:rPr>
              <w:t>E1.1 Creșterea utilizării transportului ecologic</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2" w14:textId="77777777" w:rsidR="00A60DDE" w:rsidRDefault="00095506">
            <w:pPr>
              <w:pStyle w:val="P68B1DB1-Normal85"/>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3" w14:textId="77777777" w:rsidR="00A60DDE" w:rsidRDefault="00095506">
            <w:pPr>
              <w:pStyle w:val="P68B1DB1-Normal87"/>
              <w:spacing w:line="240" w:lineRule="auto"/>
              <w:textAlignment w:val="baseline"/>
              <w:rPr>
                <w:noProof/>
              </w:rPr>
            </w:pPr>
            <w:r>
              <w:rPr>
                <w:noProof/>
              </w:rPr>
              <w:t>Orașele cu PMUD adoptate</w:t>
            </w:r>
          </w:p>
        </w:tc>
      </w:tr>
      <w:tr w:rsidR="00A60DDE" w14:paraId="1216C729"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5"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G3G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6" w14:textId="77777777" w:rsidR="00A60DDE" w:rsidRDefault="00095506">
            <w:pPr>
              <w:pStyle w:val="P68B1DB1-Normal85"/>
              <w:spacing w:line="240" w:lineRule="auto"/>
              <w:textAlignment w:val="baseline"/>
              <w:rPr>
                <w:rFonts w:eastAsia="Times New Roman" w:cs="Times New Roman"/>
                <w:noProof/>
              </w:rPr>
            </w:pPr>
            <w:r>
              <w:rPr>
                <w:noProof/>
              </w:rPr>
              <w:t>G1.1.2 Sprijinirea extinderii comunităților energetice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7" w14:textId="77777777" w:rsidR="00A60DDE" w:rsidRDefault="00095506">
            <w:pPr>
              <w:pStyle w:val="P68B1DB1-Normal85"/>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8" w14:textId="77777777" w:rsidR="00A60DDE" w:rsidRDefault="00095506">
            <w:pPr>
              <w:pStyle w:val="P68B1DB1-Normal87"/>
              <w:spacing w:line="240" w:lineRule="auto"/>
              <w:rPr>
                <w:noProof/>
              </w:rPr>
            </w:pPr>
            <w:r>
              <w:rPr>
                <w:noProof/>
              </w:rPr>
              <w:t>Entitățile care beneficiază de sprijin în cadrul componentei de preinvestiții</w:t>
            </w:r>
          </w:p>
        </w:tc>
      </w:tr>
      <w:tr w:rsidR="00A60DDE" w14:paraId="1216C72E"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A" w14:textId="1D811189" w:rsidR="00A60DDE" w:rsidRDefault="00A60DDE">
            <w:pPr>
              <w:spacing w:line="240" w:lineRule="auto"/>
              <w:ind w:right="15"/>
              <w:jc w:val="center"/>
              <w:textAlignment w:val="baseline"/>
              <w:rPr>
                <w:rFonts w:ascii="Times New Roman" w:eastAsia="Times New Roman" w:hAnsi="Times New Roman" w:cs="Times New Roman"/>
                <w:noProof/>
                <w:sz w:val="24"/>
                <w:szCs w:val="24"/>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B" w14:textId="4FB2E827" w:rsidR="00A60DDE" w:rsidRDefault="00A60DDE">
            <w:pPr>
              <w:spacing w:line="240" w:lineRule="auto"/>
              <w:ind w:left="105"/>
              <w:textAlignment w:val="baseline"/>
              <w:rPr>
                <w:rFonts w:ascii="Times New Roman" w:eastAsia="Times New Roman" w:hAnsi="Times New Roman" w:cs="Times New Roman"/>
                <w:noProof/>
                <w:sz w:val="24"/>
                <w:szCs w:val="24"/>
              </w:rPr>
            </w:pP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C" w14:textId="77777777" w:rsidR="00A60DDE" w:rsidRDefault="00095506">
            <w:pPr>
              <w:pStyle w:val="P68B1DB1-Normal85"/>
              <w:spacing w:line="240" w:lineRule="auto"/>
              <w:ind w:right="15"/>
              <w:jc w:val="center"/>
              <w:textAlignment w:val="baseline"/>
              <w:rPr>
                <w:rFonts w:eastAsia="Times New Roman" w:cs="Times New Roman"/>
                <w:noProof/>
                <w:sz w:val="24"/>
                <w:szCs w:val="24"/>
              </w:rPr>
            </w:pPr>
            <w:r>
              <w:rPr>
                <w:noProof/>
              </w:rPr>
              <w:t>Valoarea tranșei</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D" w14:textId="77777777" w:rsidR="00A60DDE" w:rsidRDefault="00095506">
            <w:pPr>
              <w:pStyle w:val="P68B1DB1-Normal87"/>
              <w:spacing w:line="240" w:lineRule="auto"/>
              <w:ind w:left="75"/>
              <w:textAlignment w:val="baseline"/>
              <w:rPr>
                <w:noProof/>
              </w:rPr>
            </w:pPr>
            <w:r>
              <w:rPr>
                <w:noProof/>
              </w:rPr>
              <w:t>1 515 185 074 EUR</w:t>
            </w:r>
          </w:p>
        </w:tc>
      </w:tr>
    </w:tbl>
    <w:p w14:paraId="1216C72F" w14:textId="77777777" w:rsidR="00A60DDE" w:rsidRDefault="00A60DDE">
      <w:pPr>
        <w:spacing w:line="240" w:lineRule="auto"/>
        <w:ind w:left="-1140" w:right="10770"/>
        <w:textAlignment w:val="baseline"/>
        <w:rPr>
          <w:rFonts w:ascii="Segoe UI" w:eastAsia="Times New Roman" w:hAnsi="Segoe UI" w:cs="Segoe UI"/>
          <w:noProof/>
          <w:sz w:val="18"/>
          <w:szCs w:val="18"/>
        </w:rPr>
      </w:pPr>
    </w:p>
    <w:p w14:paraId="3B1ADAAC" w14:textId="77777777" w:rsidR="00A60DDE" w:rsidRDefault="00A60DDE">
      <w:pPr>
        <w:spacing w:line="240" w:lineRule="auto"/>
        <w:textAlignment w:val="baseline"/>
        <w:rPr>
          <w:rFonts w:ascii="Times New Roman" w:hAnsi="Times New Roman"/>
          <w:noProof/>
        </w:rPr>
      </w:pPr>
    </w:p>
    <w:p w14:paraId="1216C730" w14:textId="724E2629" w:rsidR="00A60DDE" w:rsidRDefault="00095506">
      <w:pPr>
        <w:pStyle w:val="P68B1DB1-Normal85"/>
        <w:spacing w:line="240" w:lineRule="auto"/>
        <w:textAlignment w:val="baseline"/>
        <w:rPr>
          <w:rFonts w:ascii="Segoe UI" w:eastAsia="Times New Roman" w:hAnsi="Segoe UI" w:cs="Segoe UI"/>
          <w:noProof/>
          <w:sz w:val="18"/>
          <w:szCs w:val="18"/>
        </w:rPr>
      </w:pPr>
      <w:r>
        <w:rPr>
          <w:noProof/>
        </w:rPr>
        <w:t>2.1.8. A opta tranșă (sprijin nerambursabil):</w:t>
      </w:r>
    </w:p>
    <w:tbl>
      <w:tblPr>
        <w:tblW w:w="99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277"/>
        <w:gridCol w:w="3402"/>
        <w:gridCol w:w="1275"/>
        <w:gridCol w:w="3969"/>
      </w:tblGrid>
      <w:tr w:rsidR="00A60DDE" w14:paraId="1216C735" w14:textId="77777777">
        <w:trPr>
          <w:trHeight w:val="300"/>
          <w:tblHeader/>
          <w:jc w:val="center"/>
        </w:trPr>
        <w:tc>
          <w:tcPr>
            <w:tcW w:w="1277" w:type="dxa"/>
            <w:shd w:val="clear" w:color="auto" w:fill="C6D9F1" w:themeFill="text2" w:themeFillTint="33"/>
            <w:hideMark/>
          </w:tcPr>
          <w:p w14:paraId="1216C731"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732"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Măsură conexă (reformă sau investiție)</w:t>
            </w:r>
          </w:p>
        </w:tc>
        <w:tc>
          <w:tcPr>
            <w:tcW w:w="1275" w:type="dxa"/>
            <w:shd w:val="clear" w:color="auto" w:fill="C6D9F1" w:themeFill="text2" w:themeFillTint="33"/>
            <w:hideMark/>
          </w:tcPr>
          <w:p w14:paraId="1216C733" w14:textId="77777777" w:rsidR="00A60DDE" w:rsidRDefault="00095506">
            <w:pPr>
              <w:pStyle w:val="P68B1DB1-Normal99"/>
              <w:spacing w:line="240" w:lineRule="auto"/>
              <w:ind w:left="15"/>
              <w:jc w:val="center"/>
              <w:textAlignment w:val="baseline"/>
              <w:rPr>
                <w:rFonts w:eastAsia="Times New Roman" w:cs="Times New Roman"/>
                <w:noProof/>
                <w:sz w:val="24"/>
                <w:szCs w:val="24"/>
              </w:rPr>
            </w:pPr>
            <w:r>
              <w:rPr>
                <w:noProof/>
              </w:rPr>
              <w:t>Etapa/ținta</w:t>
            </w:r>
          </w:p>
        </w:tc>
        <w:tc>
          <w:tcPr>
            <w:tcW w:w="3969" w:type="dxa"/>
            <w:shd w:val="clear" w:color="auto" w:fill="C6D9F1" w:themeFill="text2" w:themeFillTint="33"/>
            <w:hideMark/>
          </w:tcPr>
          <w:p w14:paraId="1216C734"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Denumire</w:t>
            </w:r>
          </w:p>
        </w:tc>
      </w:tr>
      <w:tr w:rsidR="00A60DDE" w14:paraId="1216C73A" w14:textId="77777777">
        <w:trPr>
          <w:trHeight w:val="300"/>
          <w:jc w:val="center"/>
        </w:trPr>
        <w:tc>
          <w:tcPr>
            <w:tcW w:w="1277" w:type="dxa"/>
            <w:shd w:val="clear" w:color="auto" w:fill="C6EFCE"/>
            <w:hideMark/>
          </w:tcPr>
          <w:p w14:paraId="1216C736" w14:textId="77777777" w:rsidR="00A60DDE" w:rsidRDefault="00095506">
            <w:pPr>
              <w:pStyle w:val="P68B1DB1-Normal85"/>
              <w:spacing w:line="240" w:lineRule="auto"/>
              <w:jc w:val="center"/>
              <w:rPr>
                <w:noProof/>
              </w:rPr>
            </w:pPr>
            <w:r>
              <w:rPr>
                <w:noProof/>
              </w:rPr>
              <w:t>A2aG</w:t>
            </w:r>
          </w:p>
        </w:tc>
        <w:tc>
          <w:tcPr>
            <w:tcW w:w="3402" w:type="dxa"/>
            <w:shd w:val="clear" w:color="auto" w:fill="C6EFCE"/>
            <w:hideMark/>
          </w:tcPr>
          <w:p w14:paraId="1216C737" w14:textId="77777777" w:rsidR="00A60DDE" w:rsidRDefault="00095506">
            <w:pPr>
              <w:pStyle w:val="P68B1DB1-Normal85"/>
              <w:spacing w:line="240" w:lineRule="auto"/>
              <w:rPr>
                <w:noProof/>
              </w:rPr>
            </w:pPr>
            <w:r>
              <w:rPr>
                <w:noProof/>
              </w:rPr>
              <w:t>A1.1Reforma cadrului bugetar</w:t>
            </w:r>
          </w:p>
        </w:tc>
        <w:tc>
          <w:tcPr>
            <w:tcW w:w="1275" w:type="dxa"/>
            <w:shd w:val="clear" w:color="auto" w:fill="C6EFCE"/>
            <w:hideMark/>
          </w:tcPr>
          <w:p w14:paraId="1216C738" w14:textId="77777777" w:rsidR="00A60DDE" w:rsidRDefault="00095506">
            <w:pPr>
              <w:pStyle w:val="P68B1DB1-Normal85"/>
              <w:spacing w:line="240" w:lineRule="auto"/>
              <w:jc w:val="center"/>
              <w:rPr>
                <w:noProof/>
              </w:rPr>
            </w:pPr>
            <w:r>
              <w:rPr>
                <w:noProof/>
              </w:rPr>
              <w:t>Etapa de referință</w:t>
            </w:r>
          </w:p>
        </w:tc>
        <w:tc>
          <w:tcPr>
            <w:tcW w:w="3969" w:type="dxa"/>
            <w:shd w:val="clear" w:color="auto" w:fill="C6EFCE"/>
            <w:hideMark/>
          </w:tcPr>
          <w:p w14:paraId="1216C739" w14:textId="23AB1A83" w:rsidR="00A60DDE" w:rsidRDefault="00095506">
            <w:pPr>
              <w:pStyle w:val="P68B1DB1-Normal85"/>
              <w:spacing w:line="240" w:lineRule="auto"/>
              <w:rPr>
                <w:noProof/>
              </w:rPr>
            </w:pPr>
            <w:r>
              <w:rPr>
                <w:noProof/>
              </w:rPr>
              <w:t>Modificări ale agregării cheltuielilor bugetare și ale criteriilor de evaluare a investițiilor publice</w:t>
            </w:r>
          </w:p>
        </w:tc>
      </w:tr>
      <w:tr w:rsidR="00A60DDE" w14:paraId="1216C73F" w14:textId="77777777">
        <w:trPr>
          <w:trHeight w:val="300"/>
          <w:jc w:val="center"/>
        </w:trPr>
        <w:tc>
          <w:tcPr>
            <w:tcW w:w="1277" w:type="dxa"/>
            <w:shd w:val="clear" w:color="auto" w:fill="C6EFCE"/>
            <w:hideMark/>
          </w:tcPr>
          <w:p w14:paraId="1216C73B"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A25aG </w:t>
            </w:r>
          </w:p>
        </w:tc>
        <w:tc>
          <w:tcPr>
            <w:tcW w:w="3402" w:type="dxa"/>
            <w:shd w:val="clear" w:color="auto" w:fill="C6EFCE"/>
            <w:hideMark/>
          </w:tcPr>
          <w:p w14:paraId="1216C73C" w14:textId="77777777" w:rsidR="00A60DDE" w:rsidRDefault="00095506">
            <w:pPr>
              <w:pStyle w:val="P68B1DB1-Normal85"/>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3D" w14:textId="77777777" w:rsidR="00A60DDE" w:rsidRDefault="00095506">
            <w:pPr>
              <w:pStyle w:val="P68B1DB1-Normal87"/>
              <w:spacing w:line="240" w:lineRule="auto"/>
              <w:jc w:val="center"/>
              <w:textAlignment w:val="baseline"/>
              <w:rPr>
                <w:noProof/>
              </w:rPr>
            </w:pPr>
            <w:r>
              <w:rPr>
                <w:noProof/>
              </w:rPr>
              <w:t>Țintă</w:t>
            </w:r>
          </w:p>
        </w:tc>
        <w:tc>
          <w:tcPr>
            <w:tcW w:w="3969" w:type="dxa"/>
            <w:shd w:val="clear" w:color="auto" w:fill="C6EFCE"/>
            <w:hideMark/>
          </w:tcPr>
          <w:p w14:paraId="1216C73E" w14:textId="77777777" w:rsidR="00A60DDE" w:rsidRDefault="00095506">
            <w:pPr>
              <w:pStyle w:val="P68B1DB1-Normal87"/>
              <w:spacing w:after="0" w:line="240" w:lineRule="auto"/>
              <w:textAlignment w:val="baseline"/>
              <w:rPr>
                <w:noProof/>
              </w:rPr>
            </w:pPr>
            <w:r>
              <w:rPr>
                <w:noProof/>
              </w:rPr>
              <w:t>Finanțarea proiectelor de înlocuire a materialelor dăunătoare mediului și sănătății în clădirile utilizate pentru producția agricolă</w:t>
            </w:r>
          </w:p>
        </w:tc>
      </w:tr>
      <w:tr w:rsidR="00A60DDE" w14:paraId="1216C744" w14:textId="77777777">
        <w:trPr>
          <w:trHeight w:val="435"/>
          <w:jc w:val="center"/>
        </w:trPr>
        <w:tc>
          <w:tcPr>
            <w:tcW w:w="1277" w:type="dxa"/>
            <w:shd w:val="clear" w:color="auto" w:fill="C6EFCE"/>
            <w:hideMark/>
          </w:tcPr>
          <w:p w14:paraId="1216C740" w14:textId="77777777" w:rsidR="00A60DDE" w:rsidRDefault="00095506">
            <w:pPr>
              <w:pStyle w:val="P68B1DB1-Normal85"/>
              <w:spacing w:line="240" w:lineRule="auto"/>
              <w:jc w:val="center"/>
              <w:rPr>
                <w:noProof/>
              </w:rPr>
            </w:pPr>
            <w:r>
              <w:rPr>
                <w:noProof/>
              </w:rPr>
              <w:t>A43G</w:t>
            </w:r>
          </w:p>
        </w:tc>
        <w:tc>
          <w:tcPr>
            <w:tcW w:w="3402" w:type="dxa"/>
            <w:shd w:val="clear" w:color="auto" w:fill="C6EFCE"/>
            <w:hideMark/>
          </w:tcPr>
          <w:p w14:paraId="1216C741" w14:textId="77777777" w:rsidR="00A60DDE" w:rsidRDefault="00095506">
            <w:pPr>
              <w:pStyle w:val="P68B1DB1-Normal85"/>
              <w:spacing w:line="240" w:lineRule="auto"/>
              <w:rPr>
                <w:rFonts w:eastAsia="Times New Roman" w:cs="Times New Roman"/>
                <w:noProof/>
                <w:sz w:val="24"/>
                <w:szCs w:val="24"/>
              </w:rPr>
            </w:pPr>
            <w:r>
              <w:rPr>
                <w:noProof/>
              </w:rPr>
              <w:t>A3.1 Forța de</w:t>
            </w:r>
            <w:r>
              <w:rPr>
                <w:noProof/>
                <w:sz w:val="18"/>
                <w:szCs w:val="18"/>
              </w:rPr>
              <w:t xml:space="preserve"> </w:t>
            </w:r>
            <w:r>
              <w:rPr>
                <w:noProof/>
              </w:rPr>
              <w:t xml:space="preserve">muncă pentru economia modernă: îmbunătățirea corelării competențelor și calificărilor cu piața forței de muncă </w:t>
            </w:r>
          </w:p>
        </w:tc>
        <w:tc>
          <w:tcPr>
            <w:tcW w:w="1275" w:type="dxa"/>
            <w:shd w:val="clear" w:color="auto" w:fill="C6EFCE"/>
            <w:hideMark/>
          </w:tcPr>
          <w:p w14:paraId="1216C742" w14:textId="77777777" w:rsidR="00A60DDE" w:rsidRDefault="00095506">
            <w:pPr>
              <w:pStyle w:val="P68B1DB1-Normal85"/>
              <w:spacing w:line="240" w:lineRule="auto"/>
              <w:jc w:val="center"/>
              <w:rPr>
                <w:noProof/>
              </w:rPr>
            </w:pPr>
            <w:r>
              <w:rPr>
                <w:noProof/>
              </w:rPr>
              <w:t>Etapa de referință</w:t>
            </w:r>
          </w:p>
        </w:tc>
        <w:tc>
          <w:tcPr>
            <w:tcW w:w="3969" w:type="dxa"/>
            <w:shd w:val="clear" w:color="auto" w:fill="C6EFCE"/>
            <w:hideMark/>
          </w:tcPr>
          <w:p w14:paraId="1216C743" w14:textId="77777777" w:rsidR="00A60DDE" w:rsidRDefault="00095506">
            <w:pPr>
              <w:pStyle w:val="P68B1DB1-Normal87"/>
              <w:spacing w:line="240" w:lineRule="auto"/>
              <w:rPr>
                <w:noProof/>
                <w:sz w:val="24"/>
                <w:szCs w:val="24"/>
              </w:rPr>
            </w:pPr>
            <w:r>
              <w:rPr>
                <w:noProof/>
              </w:rPr>
              <w:t>Intrarea în vigoare a actului (actelor) juridic(e) de definire a responsabilităților regiunilor în ceea ce privește politicile în materie de competențe</w:t>
            </w:r>
          </w:p>
        </w:tc>
      </w:tr>
      <w:tr w:rsidR="00A60DDE" w14:paraId="1216C749" w14:textId="77777777">
        <w:trPr>
          <w:trHeight w:val="300"/>
          <w:jc w:val="center"/>
        </w:trPr>
        <w:tc>
          <w:tcPr>
            <w:tcW w:w="1277" w:type="dxa"/>
            <w:shd w:val="clear" w:color="auto" w:fill="C6EFCE"/>
            <w:hideMark/>
          </w:tcPr>
          <w:p w14:paraId="1216C745"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 xml:space="preserve">A45G </w:t>
            </w:r>
          </w:p>
        </w:tc>
        <w:tc>
          <w:tcPr>
            <w:tcW w:w="3402" w:type="dxa"/>
            <w:shd w:val="clear" w:color="auto" w:fill="C6EFCE"/>
            <w:hideMark/>
          </w:tcPr>
          <w:p w14:paraId="1216C746" w14:textId="77777777" w:rsidR="00A60DDE" w:rsidRDefault="00095506">
            <w:pPr>
              <w:pStyle w:val="P68B1DB1-Normal85"/>
              <w:spacing w:line="240" w:lineRule="auto"/>
              <w:textAlignment w:val="baseline"/>
              <w:rPr>
                <w:rFonts w:eastAsia="Times New Roman" w:cs="Times New Roman"/>
                <w:noProof/>
                <w:sz w:val="24"/>
                <w:szCs w:val="24"/>
              </w:rPr>
            </w:pPr>
            <w:r>
              <w:rPr>
                <w:noProof/>
              </w:rPr>
              <w:t>A3.1.1 Investiții în formarea profesională modernă, învățământul superior și învățarea pe tot parcursul vieții</w:t>
            </w:r>
          </w:p>
        </w:tc>
        <w:tc>
          <w:tcPr>
            <w:tcW w:w="1275" w:type="dxa"/>
            <w:shd w:val="clear" w:color="auto" w:fill="C6EFCE"/>
            <w:hideMark/>
          </w:tcPr>
          <w:p w14:paraId="1216C747"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Țintă</w:t>
            </w:r>
          </w:p>
        </w:tc>
        <w:tc>
          <w:tcPr>
            <w:tcW w:w="3969" w:type="dxa"/>
            <w:shd w:val="clear" w:color="auto" w:fill="C6EFCE"/>
            <w:hideMark/>
          </w:tcPr>
          <w:p w14:paraId="1216C748" w14:textId="77777777" w:rsidR="00A60DDE" w:rsidRDefault="00095506">
            <w:pPr>
              <w:pStyle w:val="P68B1DB1-Normal85"/>
              <w:spacing w:line="240" w:lineRule="auto"/>
              <w:textAlignment w:val="baseline"/>
              <w:rPr>
                <w:noProof/>
              </w:rPr>
            </w:pPr>
            <w:r>
              <w:rPr>
                <w:noProof/>
              </w:rPr>
              <w:t>T2 - Centre sectoriale de competențe</w:t>
            </w:r>
          </w:p>
        </w:tc>
      </w:tr>
      <w:tr w:rsidR="00A60DDE" w14:paraId="1216C74E" w14:textId="77777777">
        <w:trPr>
          <w:trHeight w:val="300"/>
          <w:jc w:val="center"/>
        </w:trPr>
        <w:tc>
          <w:tcPr>
            <w:tcW w:w="1277" w:type="dxa"/>
            <w:shd w:val="clear" w:color="auto" w:fill="C6EFCE"/>
            <w:hideMark/>
          </w:tcPr>
          <w:p w14:paraId="1216C74A"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 xml:space="preserve">A64G </w:t>
            </w:r>
          </w:p>
        </w:tc>
        <w:tc>
          <w:tcPr>
            <w:tcW w:w="3402" w:type="dxa"/>
            <w:shd w:val="clear" w:color="auto" w:fill="C6EFCE"/>
            <w:hideMark/>
          </w:tcPr>
          <w:p w14:paraId="1216C74B" w14:textId="77777777" w:rsidR="00A60DDE" w:rsidRDefault="00095506">
            <w:pPr>
              <w:pStyle w:val="P68B1DB1-Normal85"/>
              <w:spacing w:line="240" w:lineRule="auto"/>
              <w:textAlignment w:val="baseline"/>
              <w:rPr>
                <w:rFonts w:eastAsia="Times New Roman" w:cs="Times New Roman"/>
                <w:noProof/>
                <w:sz w:val="24"/>
                <w:szCs w:val="24"/>
              </w:rPr>
            </w:pPr>
            <w:r>
              <w:rPr>
                <w:noProof/>
              </w:rPr>
              <w:t>A4.3.1 Investiții în entități din economia socială</w:t>
            </w:r>
          </w:p>
        </w:tc>
        <w:tc>
          <w:tcPr>
            <w:tcW w:w="1275" w:type="dxa"/>
            <w:shd w:val="clear" w:color="auto" w:fill="C6EFCE"/>
            <w:hideMark/>
          </w:tcPr>
          <w:p w14:paraId="1216C74C"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Țintă</w:t>
            </w:r>
          </w:p>
        </w:tc>
        <w:tc>
          <w:tcPr>
            <w:tcW w:w="3969" w:type="dxa"/>
            <w:shd w:val="clear" w:color="auto" w:fill="C6EFCE"/>
            <w:hideMark/>
          </w:tcPr>
          <w:p w14:paraId="1216C74D" w14:textId="3927EA6B" w:rsidR="00A60DDE" w:rsidRDefault="00095506">
            <w:pPr>
              <w:pStyle w:val="P68B1DB1-Normal85"/>
              <w:spacing w:line="240" w:lineRule="auto"/>
              <w:textAlignment w:val="baseline"/>
              <w:rPr>
                <w:noProof/>
              </w:rPr>
            </w:pPr>
            <w:r>
              <w:rPr>
                <w:noProof/>
              </w:rPr>
              <w:t>Numărul de entități din sectorul economiei sociale care beneficiază de sprijin financiar</w:t>
            </w:r>
          </w:p>
        </w:tc>
      </w:tr>
      <w:tr w:rsidR="00A60DDE" w14:paraId="1216C758" w14:textId="77777777">
        <w:trPr>
          <w:trHeight w:val="300"/>
          <w:jc w:val="center"/>
        </w:trPr>
        <w:tc>
          <w:tcPr>
            <w:tcW w:w="1277" w:type="dxa"/>
            <w:shd w:val="clear" w:color="auto" w:fill="C6EFCE"/>
            <w:hideMark/>
          </w:tcPr>
          <w:p w14:paraId="1216C754"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A72G </w:t>
            </w:r>
          </w:p>
        </w:tc>
        <w:tc>
          <w:tcPr>
            <w:tcW w:w="3402" w:type="dxa"/>
            <w:shd w:val="clear" w:color="auto" w:fill="C6EFCE"/>
            <w:hideMark/>
          </w:tcPr>
          <w:p w14:paraId="1216C755" w14:textId="77777777" w:rsidR="00A60DDE" w:rsidRDefault="00095506">
            <w:pPr>
              <w:pStyle w:val="P68B1DB1-Normal85"/>
              <w:spacing w:line="240" w:lineRule="auto"/>
              <w:textAlignment w:val="baseline"/>
              <w:rPr>
                <w:rFonts w:eastAsia="Times New Roman" w:cs="Times New Roman"/>
                <w:noProof/>
                <w:sz w:val="24"/>
                <w:szCs w:val="24"/>
              </w:rPr>
            </w:pPr>
            <w:r>
              <w:rPr>
                <w:noProof/>
              </w:rPr>
              <w:t>A4.7 Limitarea segmentării pieței forței de muncă</w:t>
            </w:r>
          </w:p>
        </w:tc>
        <w:tc>
          <w:tcPr>
            <w:tcW w:w="1275" w:type="dxa"/>
            <w:shd w:val="clear" w:color="auto" w:fill="C6EFCE"/>
            <w:hideMark/>
          </w:tcPr>
          <w:p w14:paraId="1216C756"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Etapa de referință</w:t>
            </w:r>
          </w:p>
        </w:tc>
        <w:tc>
          <w:tcPr>
            <w:tcW w:w="3969" w:type="dxa"/>
            <w:shd w:val="clear" w:color="auto" w:fill="C6EFCE"/>
            <w:hideMark/>
          </w:tcPr>
          <w:p w14:paraId="1216C757" w14:textId="77777777" w:rsidR="00A60DDE" w:rsidRDefault="00095506">
            <w:pPr>
              <w:pStyle w:val="P68B1DB1-Normal85"/>
              <w:spacing w:line="240" w:lineRule="auto"/>
              <w:textAlignment w:val="baseline"/>
              <w:rPr>
                <w:noProof/>
              </w:rPr>
            </w:pPr>
            <w:r>
              <w:rPr>
                <w:noProof/>
              </w:rPr>
              <w:t>Măsuri de consolidare a capacităților pentru Inspecția de Stat a Muncii</w:t>
            </w:r>
          </w:p>
        </w:tc>
      </w:tr>
      <w:tr w:rsidR="00A60DDE" w14:paraId="1216C75D" w14:textId="77777777">
        <w:trPr>
          <w:trHeight w:val="300"/>
          <w:jc w:val="center"/>
        </w:trPr>
        <w:tc>
          <w:tcPr>
            <w:tcW w:w="1277" w:type="dxa"/>
            <w:shd w:val="clear" w:color="auto" w:fill="C6EFCE"/>
            <w:hideMark/>
          </w:tcPr>
          <w:p w14:paraId="1216C759"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A73G </w:t>
            </w:r>
          </w:p>
        </w:tc>
        <w:tc>
          <w:tcPr>
            <w:tcW w:w="3402" w:type="dxa"/>
            <w:shd w:val="clear" w:color="auto" w:fill="C6EFCE"/>
            <w:hideMark/>
          </w:tcPr>
          <w:p w14:paraId="1216C75A" w14:textId="77777777" w:rsidR="00A60DDE" w:rsidRDefault="00095506">
            <w:pPr>
              <w:pStyle w:val="P68B1DB1-Normal85"/>
              <w:spacing w:line="240" w:lineRule="auto"/>
              <w:textAlignment w:val="baseline"/>
              <w:rPr>
                <w:rFonts w:eastAsia="Times New Roman" w:cs="Times New Roman"/>
                <w:noProof/>
                <w:sz w:val="24"/>
                <w:szCs w:val="24"/>
              </w:rPr>
            </w:pPr>
            <w:r>
              <w:rPr>
                <w:noProof/>
              </w:rPr>
              <w:t>A5.1 Contribuția la compartimentul pentru statele membre în cadrul programului InvestEU</w:t>
            </w:r>
          </w:p>
        </w:tc>
        <w:tc>
          <w:tcPr>
            <w:tcW w:w="1275" w:type="dxa"/>
            <w:shd w:val="clear" w:color="auto" w:fill="C6EFCE"/>
            <w:hideMark/>
          </w:tcPr>
          <w:p w14:paraId="1216C75B"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Etapa de referință</w:t>
            </w:r>
          </w:p>
        </w:tc>
        <w:tc>
          <w:tcPr>
            <w:tcW w:w="3969" w:type="dxa"/>
            <w:shd w:val="clear" w:color="auto" w:fill="C6EFCE"/>
            <w:hideMark/>
          </w:tcPr>
          <w:p w14:paraId="1216C75C" w14:textId="77777777" w:rsidR="00A60DDE" w:rsidRDefault="00095506">
            <w:pPr>
              <w:pStyle w:val="P68B1DB1-Normal87"/>
              <w:spacing w:line="240" w:lineRule="auto"/>
              <w:textAlignment w:val="baseline"/>
              <w:rPr>
                <w:noProof/>
                <w:sz w:val="24"/>
                <w:szCs w:val="24"/>
              </w:rPr>
            </w:pPr>
            <w:r>
              <w:rPr>
                <w:noProof/>
              </w:rPr>
              <w:t>Semnarea acordului de contribuție în cadrul InvestEU între guvernul Poloniei și Comisia Europeană</w:t>
            </w:r>
          </w:p>
        </w:tc>
      </w:tr>
      <w:tr w:rsidR="00A60DDE" w14:paraId="1216C762" w14:textId="77777777">
        <w:trPr>
          <w:trHeight w:val="300"/>
          <w:jc w:val="center"/>
        </w:trPr>
        <w:tc>
          <w:tcPr>
            <w:tcW w:w="1277" w:type="dxa"/>
            <w:shd w:val="clear" w:color="auto" w:fill="C6EFCE"/>
            <w:hideMark/>
          </w:tcPr>
          <w:p w14:paraId="1216C75E"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B41G </w:t>
            </w:r>
          </w:p>
        </w:tc>
        <w:tc>
          <w:tcPr>
            <w:tcW w:w="3402" w:type="dxa"/>
            <w:shd w:val="clear" w:color="auto" w:fill="C6EFCE"/>
            <w:hideMark/>
          </w:tcPr>
          <w:p w14:paraId="1216C75F" w14:textId="79F0DE59" w:rsidR="00A60DDE" w:rsidRDefault="00095506">
            <w:pPr>
              <w:pStyle w:val="P68B1DB1-Normal85"/>
              <w:spacing w:line="240" w:lineRule="auto"/>
              <w:textAlignment w:val="baseline"/>
              <w:rPr>
                <w:rFonts w:eastAsia="Times New Roman" w:cs="Times New Roman"/>
                <w:noProof/>
              </w:rPr>
            </w:pPr>
            <w:r>
              <w:rPr>
                <w:noProof/>
              </w:rPr>
              <w:t>B3.1.1 Investiții în infrastructurile de apă uzată și de alimentare cu apă</w:t>
            </w:r>
          </w:p>
        </w:tc>
        <w:tc>
          <w:tcPr>
            <w:tcW w:w="1275" w:type="dxa"/>
            <w:shd w:val="clear" w:color="auto" w:fill="C6EFCE"/>
            <w:hideMark/>
          </w:tcPr>
          <w:p w14:paraId="1216C760" w14:textId="77777777" w:rsidR="00A60DDE" w:rsidRDefault="00095506">
            <w:pPr>
              <w:pStyle w:val="P68B1DB1-Normal85"/>
              <w:spacing w:line="240" w:lineRule="auto"/>
              <w:jc w:val="center"/>
              <w:textAlignment w:val="baseline"/>
              <w:rPr>
                <w:rFonts w:eastAsia="Times New Roman" w:cs="Times New Roman"/>
                <w:noProof/>
              </w:rPr>
            </w:pPr>
            <w:r>
              <w:rPr>
                <w:noProof/>
              </w:rPr>
              <w:t>Țintă</w:t>
            </w:r>
          </w:p>
        </w:tc>
        <w:tc>
          <w:tcPr>
            <w:tcW w:w="3969" w:type="dxa"/>
            <w:shd w:val="clear" w:color="auto" w:fill="C6EFCE"/>
            <w:hideMark/>
          </w:tcPr>
          <w:p w14:paraId="1216C761" w14:textId="288EF844" w:rsidR="00A60DDE" w:rsidRDefault="00095506">
            <w:pPr>
              <w:pStyle w:val="P68B1DB1-Normal87"/>
              <w:spacing w:line="240" w:lineRule="auto"/>
              <w:rPr>
                <w:bCs/>
                <w:noProof/>
              </w:rPr>
            </w:pPr>
            <w:r>
              <w:rPr>
                <w:noProof/>
              </w:rPr>
              <w:t>Sprijin pentru apele uzate și alimentarea cu apă</w:t>
            </w:r>
          </w:p>
        </w:tc>
      </w:tr>
      <w:tr w:rsidR="00A60DDE" w14:paraId="1216C767" w14:textId="77777777">
        <w:trPr>
          <w:trHeight w:val="300"/>
          <w:jc w:val="center"/>
        </w:trPr>
        <w:tc>
          <w:tcPr>
            <w:tcW w:w="1277" w:type="dxa"/>
            <w:shd w:val="clear" w:color="auto" w:fill="C6EFCE"/>
            <w:hideMark/>
          </w:tcPr>
          <w:p w14:paraId="1216C763"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 xml:space="preserve">C14G </w:t>
            </w:r>
          </w:p>
        </w:tc>
        <w:tc>
          <w:tcPr>
            <w:tcW w:w="3402" w:type="dxa"/>
            <w:shd w:val="clear" w:color="auto" w:fill="C6EFCE"/>
            <w:hideMark/>
          </w:tcPr>
          <w:p w14:paraId="1216C764" w14:textId="77777777" w:rsidR="00A60DDE" w:rsidRDefault="00095506">
            <w:pPr>
              <w:pStyle w:val="P68B1DB1-Normal85"/>
              <w:spacing w:line="240" w:lineRule="auto"/>
              <w:textAlignment w:val="baseline"/>
              <w:rPr>
                <w:rFonts w:eastAsia="Times New Roman" w:cs="Times New Roman"/>
                <w:noProof/>
                <w:sz w:val="24"/>
                <w:szCs w:val="24"/>
              </w:rPr>
            </w:pPr>
            <w:r>
              <w:rPr>
                <w:noProof/>
              </w:rPr>
              <w:t>C2.1.2 Tehnologiile digitale în învățământul școlar – dispozitive portabile</w:t>
            </w:r>
          </w:p>
        </w:tc>
        <w:tc>
          <w:tcPr>
            <w:tcW w:w="1275" w:type="dxa"/>
            <w:shd w:val="clear" w:color="auto" w:fill="C6EFCE"/>
            <w:hideMark/>
          </w:tcPr>
          <w:p w14:paraId="1216C765"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Țintă</w:t>
            </w:r>
          </w:p>
        </w:tc>
        <w:tc>
          <w:tcPr>
            <w:tcW w:w="3969" w:type="dxa"/>
            <w:shd w:val="clear" w:color="auto" w:fill="C6EFCE"/>
            <w:hideMark/>
          </w:tcPr>
          <w:p w14:paraId="1216C766" w14:textId="77777777" w:rsidR="00A60DDE" w:rsidRDefault="00095506">
            <w:pPr>
              <w:pStyle w:val="P68B1DB1-Normal85"/>
              <w:spacing w:line="240" w:lineRule="auto"/>
              <w:textAlignment w:val="baseline"/>
              <w:rPr>
                <w:bCs/>
                <w:noProof/>
              </w:rPr>
            </w:pPr>
            <w:r>
              <w:rPr>
                <w:noProof/>
              </w:rPr>
              <w:t>Voucher pentru computere portabile</w:t>
            </w:r>
          </w:p>
        </w:tc>
      </w:tr>
      <w:tr w:rsidR="00A60DDE" w14:paraId="1216C76C" w14:textId="77777777">
        <w:trPr>
          <w:trHeight w:val="300"/>
          <w:jc w:val="center"/>
        </w:trPr>
        <w:tc>
          <w:tcPr>
            <w:tcW w:w="1277" w:type="dxa"/>
            <w:shd w:val="clear" w:color="auto" w:fill="C6EFCE"/>
            <w:hideMark/>
          </w:tcPr>
          <w:p w14:paraId="1216C768"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 xml:space="preserve">C15G </w:t>
            </w:r>
          </w:p>
        </w:tc>
        <w:tc>
          <w:tcPr>
            <w:tcW w:w="3402" w:type="dxa"/>
            <w:shd w:val="clear" w:color="auto" w:fill="C6EFCE"/>
            <w:hideMark/>
          </w:tcPr>
          <w:p w14:paraId="1216C769" w14:textId="77777777" w:rsidR="00A60DDE" w:rsidRDefault="00095506">
            <w:pPr>
              <w:pStyle w:val="P68B1DB1-Normal85"/>
              <w:spacing w:line="240" w:lineRule="auto"/>
              <w:textAlignment w:val="baseline"/>
              <w:rPr>
                <w:rFonts w:eastAsia="Times New Roman" w:cs="Times New Roman"/>
                <w:noProof/>
                <w:sz w:val="24"/>
                <w:szCs w:val="24"/>
              </w:rPr>
            </w:pPr>
            <w:r>
              <w:rPr>
                <w:noProof/>
              </w:rPr>
              <w:t>C2.1.2 Tehnologiile digitale în învățământul școlar – dispozitive portabile</w:t>
            </w:r>
          </w:p>
        </w:tc>
        <w:tc>
          <w:tcPr>
            <w:tcW w:w="1275" w:type="dxa"/>
            <w:shd w:val="clear" w:color="auto" w:fill="C6EFCE"/>
            <w:hideMark/>
          </w:tcPr>
          <w:p w14:paraId="1216C76A"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Țintă</w:t>
            </w:r>
          </w:p>
        </w:tc>
        <w:tc>
          <w:tcPr>
            <w:tcW w:w="3969" w:type="dxa"/>
            <w:shd w:val="clear" w:color="auto" w:fill="C6EFCE"/>
            <w:hideMark/>
          </w:tcPr>
          <w:p w14:paraId="1216C76B" w14:textId="77777777" w:rsidR="00A60DDE" w:rsidRDefault="00095506">
            <w:pPr>
              <w:pStyle w:val="P68B1DB1-Normal87"/>
              <w:spacing w:line="240" w:lineRule="auto"/>
              <w:textAlignment w:val="baseline"/>
              <w:rPr>
                <w:noProof/>
              </w:rPr>
            </w:pPr>
            <w:r>
              <w:rPr>
                <w:noProof/>
              </w:rPr>
              <w:t>Dispozitive portabile livrate</w:t>
            </w:r>
          </w:p>
        </w:tc>
      </w:tr>
      <w:tr w:rsidR="00A60DDE" w14:paraId="1216C771" w14:textId="77777777">
        <w:trPr>
          <w:trHeight w:val="300"/>
          <w:jc w:val="center"/>
        </w:trPr>
        <w:tc>
          <w:tcPr>
            <w:tcW w:w="1277" w:type="dxa"/>
            <w:shd w:val="clear" w:color="auto" w:fill="C6EFCE"/>
            <w:hideMark/>
          </w:tcPr>
          <w:p w14:paraId="1216C76D"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 xml:space="preserve">C26G </w:t>
            </w:r>
          </w:p>
        </w:tc>
        <w:tc>
          <w:tcPr>
            <w:tcW w:w="3402" w:type="dxa"/>
            <w:shd w:val="clear" w:color="auto" w:fill="C6EFCE"/>
            <w:hideMark/>
          </w:tcPr>
          <w:p w14:paraId="1216C76E" w14:textId="77777777" w:rsidR="00A60DDE" w:rsidRDefault="00095506">
            <w:pPr>
              <w:pStyle w:val="P68B1DB1-Normal85"/>
              <w:spacing w:line="240" w:lineRule="auto"/>
              <w:textAlignment w:val="baseline"/>
              <w:rPr>
                <w:rFonts w:eastAsia="Times New Roman" w:cs="Times New Roman"/>
                <w:noProof/>
                <w:sz w:val="24"/>
                <w:szCs w:val="24"/>
              </w:rPr>
            </w:pPr>
            <w:r>
              <w:rPr>
                <w:noProof/>
              </w:rPr>
              <w:t>C3.1.1 Securitate cibernetică – CyberPL, infrastructura de prelucrare a datelor și optimizarea infrastructurii serviciilor de aplicare a legii</w:t>
            </w:r>
          </w:p>
        </w:tc>
        <w:tc>
          <w:tcPr>
            <w:tcW w:w="1275" w:type="dxa"/>
            <w:shd w:val="clear" w:color="auto" w:fill="C6EFCE"/>
            <w:hideMark/>
          </w:tcPr>
          <w:p w14:paraId="1216C76F" w14:textId="177A6F9E" w:rsidR="00A60DDE" w:rsidRDefault="00095506">
            <w:pPr>
              <w:pStyle w:val="P68B1DB1-Normal85"/>
              <w:spacing w:line="240" w:lineRule="auto"/>
              <w:jc w:val="center"/>
              <w:textAlignment w:val="baseline"/>
              <w:rPr>
                <w:rFonts w:eastAsia="Times New Roman" w:cs="Times New Roman"/>
                <w:noProof/>
                <w:sz w:val="24"/>
                <w:szCs w:val="24"/>
              </w:rPr>
            </w:pPr>
            <w:r>
              <w:rPr>
                <w:noProof/>
              </w:rPr>
              <w:t>Etapa de referință</w:t>
            </w:r>
          </w:p>
        </w:tc>
        <w:tc>
          <w:tcPr>
            <w:tcW w:w="3969" w:type="dxa"/>
            <w:shd w:val="clear" w:color="auto" w:fill="C6EFCE"/>
            <w:hideMark/>
          </w:tcPr>
          <w:p w14:paraId="1216C770" w14:textId="77777777" w:rsidR="00A60DDE" w:rsidRDefault="00095506">
            <w:pPr>
              <w:pStyle w:val="P68B1DB1-Normal87"/>
              <w:spacing w:line="240" w:lineRule="auto"/>
              <w:textAlignment w:val="baseline"/>
              <w:rPr>
                <w:noProof/>
              </w:rPr>
            </w:pPr>
            <w:r>
              <w:rPr>
                <w:noProof/>
              </w:rPr>
              <w:t>Livrarea de echipamente pentru serviciile de aplicare a legii</w:t>
            </w:r>
          </w:p>
        </w:tc>
      </w:tr>
      <w:tr w:rsidR="00A60DDE" w14:paraId="1216C776" w14:textId="77777777">
        <w:tblPrEx>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PrEx>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3" w14:textId="77777777" w:rsidR="00A60DDE" w:rsidRDefault="00095506">
            <w:pPr>
              <w:pStyle w:val="P68B1DB1-Normal85"/>
              <w:spacing w:line="240" w:lineRule="auto"/>
              <w:textAlignment w:val="baseline"/>
              <w:rPr>
                <w:rFonts w:eastAsia="Times New Roman" w:cs="Times New Roman"/>
                <w:noProof/>
              </w:rPr>
            </w:pPr>
            <w:r>
              <w:rPr>
                <w:noProof/>
              </w:rPr>
              <w:t>G1.1.2 Sprijinirea extinderii comunităților energetice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4"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5" w14:textId="77777777" w:rsidR="00A60DDE" w:rsidRDefault="00095506">
            <w:pPr>
              <w:pStyle w:val="P68B1DB1-Normal87"/>
              <w:spacing w:line="240" w:lineRule="auto"/>
              <w:textAlignment w:val="baseline"/>
              <w:rPr>
                <w:noProof/>
              </w:rPr>
            </w:pPr>
            <w:r>
              <w:rPr>
                <w:noProof/>
              </w:rPr>
              <w:t>Entitățile care beneficiază de sprijin în cadrul componentei de investiții</w:t>
            </w:r>
          </w:p>
        </w:tc>
      </w:tr>
      <w:tr w:rsidR="00A60DDE" w14:paraId="1216C77B" w14:textId="77777777">
        <w:trPr>
          <w:trHeight w:val="300"/>
          <w:jc w:val="center"/>
        </w:trPr>
        <w:tc>
          <w:tcPr>
            <w:tcW w:w="1277" w:type="dxa"/>
            <w:shd w:val="clear" w:color="auto" w:fill="C6EFCE"/>
          </w:tcPr>
          <w:p w14:paraId="1216C777" w14:textId="77777777" w:rsidR="00A60DDE" w:rsidRDefault="00095506">
            <w:pPr>
              <w:pStyle w:val="P68B1DB1-Normal85"/>
              <w:spacing w:line="240" w:lineRule="auto"/>
              <w:jc w:val="center"/>
              <w:textAlignment w:val="baseline"/>
              <w:rPr>
                <w:noProof/>
              </w:rPr>
            </w:pPr>
            <w:r>
              <w:rPr>
                <w:noProof/>
              </w:rPr>
              <w:t>G8G</w:t>
            </w:r>
          </w:p>
        </w:tc>
        <w:tc>
          <w:tcPr>
            <w:tcW w:w="3402" w:type="dxa"/>
            <w:shd w:val="clear" w:color="auto" w:fill="C6EFCE"/>
          </w:tcPr>
          <w:p w14:paraId="1216C778" w14:textId="77777777" w:rsidR="00A60DDE" w:rsidRDefault="00095506">
            <w:pPr>
              <w:pStyle w:val="P68B1DB1-Normal85"/>
              <w:spacing w:line="240" w:lineRule="auto"/>
              <w:textAlignment w:val="baseline"/>
              <w:rPr>
                <w:noProof/>
              </w:rPr>
            </w:pPr>
            <w:r>
              <w:rPr>
                <w:noProof/>
              </w:rPr>
              <w:t>G1.1.4 Sprijin pentru instituțiile care pun în aplicare reformele și investițiile REPowerEU</w:t>
            </w:r>
          </w:p>
        </w:tc>
        <w:tc>
          <w:tcPr>
            <w:tcW w:w="1275" w:type="dxa"/>
            <w:shd w:val="clear" w:color="auto" w:fill="C6EFCE"/>
          </w:tcPr>
          <w:p w14:paraId="1216C779" w14:textId="77777777" w:rsidR="00A60DDE" w:rsidRDefault="00095506">
            <w:pPr>
              <w:pStyle w:val="P68B1DB1-Normal85"/>
              <w:spacing w:line="240" w:lineRule="auto"/>
              <w:jc w:val="center"/>
              <w:textAlignment w:val="baseline"/>
              <w:rPr>
                <w:noProof/>
              </w:rPr>
            </w:pPr>
            <w:r>
              <w:rPr>
                <w:noProof/>
              </w:rPr>
              <w:t>Țintă</w:t>
            </w:r>
          </w:p>
        </w:tc>
        <w:tc>
          <w:tcPr>
            <w:tcW w:w="3969" w:type="dxa"/>
            <w:shd w:val="clear" w:color="auto" w:fill="C6EFCE"/>
          </w:tcPr>
          <w:p w14:paraId="1216C77A" w14:textId="77777777" w:rsidR="00A60DDE" w:rsidRDefault="00095506">
            <w:pPr>
              <w:pStyle w:val="P68B1DB1-Normal85"/>
              <w:spacing w:line="240" w:lineRule="auto"/>
              <w:textAlignment w:val="baseline"/>
              <w:rPr>
                <w:noProof/>
              </w:rPr>
            </w:pPr>
            <w:r>
              <w:rPr>
                <w:noProof/>
              </w:rPr>
              <w:t>ONG-uri care desfășoară proiecte de consolidare a capacităților</w:t>
            </w:r>
          </w:p>
        </w:tc>
      </w:tr>
      <w:tr w:rsidR="00A60DDE" w14:paraId="1216C780" w14:textId="77777777">
        <w:trPr>
          <w:trHeight w:val="300"/>
          <w:jc w:val="center"/>
        </w:trPr>
        <w:tc>
          <w:tcPr>
            <w:tcW w:w="1277" w:type="dxa"/>
            <w:shd w:val="clear" w:color="auto" w:fill="C6EFCE"/>
            <w:hideMark/>
          </w:tcPr>
          <w:p w14:paraId="1216C77C"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G14G </w:t>
            </w:r>
          </w:p>
        </w:tc>
        <w:tc>
          <w:tcPr>
            <w:tcW w:w="3402" w:type="dxa"/>
            <w:shd w:val="clear" w:color="auto" w:fill="C6EFCE"/>
            <w:hideMark/>
          </w:tcPr>
          <w:p w14:paraId="1216C77D" w14:textId="77777777" w:rsidR="00A60DDE" w:rsidRDefault="00095506">
            <w:pPr>
              <w:pStyle w:val="P68B1DB1-Normal85"/>
              <w:spacing w:line="240" w:lineRule="auto"/>
              <w:textAlignment w:val="baseline"/>
              <w:rPr>
                <w:noProof/>
              </w:rPr>
            </w:pPr>
            <w:r>
              <w:rPr>
                <w:noProof/>
              </w:rPr>
              <w:t>G1.2.2 Eliminarea barierelor din calea integrării surselor regenerabile de energie în rețelele de energie electrică</w:t>
            </w:r>
          </w:p>
        </w:tc>
        <w:tc>
          <w:tcPr>
            <w:tcW w:w="1275" w:type="dxa"/>
            <w:shd w:val="clear" w:color="auto" w:fill="C6EFCE"/>
            <w:hideMark/>
          </w:tcPr>
          <w:p w14:paraId="1216C77E" w14:textId="77777777" w:rsidR="00A60DDE" w:rsidRDefault="00095506">
            <w:pPr>
              <w:pStyle w:val="P68B1DB1-Normal85"/>
              <w:spacing w:line="240" w:lineRule="auto"/>
              <w:jc w:val="center"/>
              <w:textAlignment w:val="baseline"/>
              <w:rPr>
                <w:rFonts w:eastAsia="Times New Roman" w:cs="Times New Roman"/>
                <w:noProof/>
              </w:rPr>
            </w:pPr>
            <w:r>
              <w:rPr>
                <w:noProof/>
              </w:rPr>
              <w:t>Etapa de referință</w:t>
            </w:r>
          </w:p>
        </w:tc>
        <w:tc>
          <w:tcPr>
            <w:tcW w:w="3969" w:type="dxa"/>
            <w:shd w:val="clear" w:color="auto" w:fill="C6EFCE"/>
            <w:hideMark/>
          </w:tcPr>
          <w:p w14:paraId="1216C77F" w14:textId="77777777" w:rsidR="00A60DDE" w:rsidRDefault="00095506">
            <w:pPr>
              <w:pStyle w:val="P68B1DB1-Normal87"/>
              <w:spacing w:line="240" w:lineRule="auto"/>
              <w:textAlignment w:val="baseline"/>
              <w:rPr>
                <w:noProof/>
              </w:rPr>
            </w:pPr>
            <w:r>
              <w:rPr>
                <w:noProof/>
              </w:rPr>
              <w:t>Intrarea în vigoare a actului (actelor) juridic(e) privind conexiunile la rețea</w:t>
            </w:r>
          </w:p>
        </w:tc>
      </w:tr>
      <w:tr w:rsidR="00A60DDE" w14:paraId="1216C785" w14:textId="77777777">
        <w:trPr>
          <w:trHeight w:val="300"/>
          <w:jc w:val="center"/>
        </w:trPr>
        <w:tc>
          <w:tcPr>
            <w:tcW w:w="1277" w:type="dxa"/>
            <w:shd w:val="clear" w:color="auto" w:fill="C6EFCE"/>
            <w:hideMark/>
          </w:tcPr>
          <w:p w14:paraId="1216C781"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G21G </w:t>
            </w:r>
          </w:p>
        </w:tc>
        <w:tc>
          <w:tcPr>
            <w:tcW w:w="3402" w:type="dxa"/>
            <w:shd w:val="clear" w:color="auto" w:fill="C6EFCE"/>
            <w:hideMark/>
          </w:tcPr>
          <w:p w14:paraId="1216C782" w14:textId="77777777" w:rsidR="00A60DDE" w:rsidRDefault="00095506">
            <w:pPr>
              <w:pStyle w:val="P68B1DB1-Normal87"/>
              <w:spacing w:after="0"/>
              <w:rPr>
                <w:noProof/>
              </w:rPr>
            </w:pPr>
            <w:r>
              <w:rPr>
                <w:noProof/>
              </w:rPr>
              <w:t>G1.2.3 Rețelele de transport și infrastructura inteligentă de energie electrică</w:t>
            </w:r>
          </w:p>
        </w:tc>
        <w:tc>
          <w:tcPr>
            <w:tcW w:w="1275" w:type="dxa"/>
            <w:shd w:val="clear" w:color="auto" w:fill="C6EFCE"/>
            <w:hideMark/>
          </w:tcPr>
          <w:p w14:paraId="1216C783" w14:textId="77777777" w:rsidR="00A60DDE" w:rsidRDefault="00095506">
            <w:pPr>
              <w:pStyle w:val="P68B1DB1-Normal85"/>
              <w:spacing w:line="240" w:lineRule="auto"/>
              <w:jc w:val="center"/>
              <w:textAlignment w:val="baseline"/>
              <w:rPr>
                <w:rFonts w:eastAsia="Times New Roman" w:cs="Times New Roman"/>
                <w:noProof/>
              </w:rPr>
            </w:pPr>
            <w:r>
              <w:rPr>
                <w:noProof/>
              </w:rPr>
              <w:t>Etapa de referință</w:t>
            </w:r>
          </w:p>
        </w:tc>
        <w:tc>
          <w:tcPr>
            <w:tcW w:w="3969" w:type="dxa"/>
            <w:shd w:val="clear" w:color="auto" w:fill="C6EFCE"/>
            <w:hideMark/>
          </w:tcPr>
          <w:p w14:paraId="1216C784" w14:textId="3BD15E21" w:rsidR="00A60DDE" w:rsidRDefault="00095506">
            <w:pPr>
              <w:pStyle w:val="P68B1DB1-Normal87"/>
              <w:spacing w:line="240" w:lineRule="auto"/>
              <w:textAlignment w:val="baseline"/>
              <w:rPr>
                <w:noProof/>
              </w:rPr>
            </w:pPr>
            <w:r>
              <w:rPr>
                <w:noProof/>
              </w:rPr>
              <w:t xml:space="preserve">Sistemul central de informare al pieței energiei (CSIRE) și sistemele de monitorizare a calității energiei electrice </w:t>
            </w:r>
          </w:p>
        </w:tc>
      </w:tr>
      <w:tr w:rsidR="00A60DDE" w14:paraId="1216C78A" w14:textId="77777777">
        <w:trPr>
          <w:trHeight w:val="300"/>
          <w:jc w:val="center"/>
        </w:trPr>
        <w:tc>
          <w:tcPr>
            <w:tcW w:w="1277" w:type="dxa"/>
            <w:shd w:val="clear" w:color="auto" w:fill="C6EFCE"/>
          </w:tcPr>
          <w:p w14:paraId="1216C786" w14:textId="77777777" w:rsidR="00A60DDE" w:rsidRDefault="00095506">
            <w:pPr>
              <w:pStyle w:val="P68B1DB1-Normal85"/>
              <w:spacing w:line="240" w:lineRule="auto"/>
              <w:jc w:val="center"/>
              <w:textAlignment w:val="baseline"/>
              <w:rPr>
                <w:noProof/>
              </w:rPr>
            </w:pPr>
            <w:r>
              <w:rPr>
                <w:noProof/>
              </w:rPr>
              <w:t xml:space="preserve">G22G </w:t>
            </w:r>
          </w:p>
        </w:tc>
        <w:tc>
          <w:tcPr>
            <w:tcW w:w="3402" w:type="dxa"/>
            <w:shd w:val="clear" w:color="auto" w:fill="C6EFCE"/>
          </w:tcPr>
          <w:p w14:paraId="1216C787" w14:textId="77777777" w:rsidR="00A60DDE" w:rsidRDefault="00095506">
            <w:pPr>
              <w:pStyle w:val="P68B1DB1-Normal85"/>
              <w:spacing w:line="240" w:lineRule="auto"/>
              <w:textAlignment w:val="baseline"/>
              <w:rPr>
                <w:noProof/>
              </w:rPr>
            </w:pPr>
            <w:r>
              <w:rPr>
                <w:noProof/>
              </w:rPr>
              <w:t>G1.2.3 Rețelele de transport și infrastructura inteligentă de energie electrică</w:t>
            </w:r>
          </w:p>
        </w:tc>
        <w:tc>
          <w:tcPr>
            <w:tcW w:w="1275" w:type="dxa"/>
            <w:shd w:val="clear" w:color="auto" w:fill="C6EFCE"/>
          </w:tcPr>
          <w:p w14:paraId="1216C788" w14:textId="77777777" w:rsidR="00A60DDE" w:rsidRDefault="00095506">
            <w:pPr>
              <w:pStyle w:val="P68B1DB1-Normal85"/>
              <w:spacing w:line="240" w:lineRule="auto"/>
              <w:jc w:val="center"/>
              <w:textAlignment w:val="baseline"/>
              <w:rPr>
                <w:noProof/>
              </w:rPr>
            </w:pPr>
            <w:r>
              <w:rPr>
                <w:noProof/>
              </w:rPr>
              <w:t>Țintă</w:t>
            </w:r>
          </w:p>
        </w:tc>
        <w:tc>
          <w:tcPr>
            <w:tcW w:w="3969" w:type="dxa"/>
            <w:shd w:val="clear" w:color="auto" w:fill="C6EFCE"/>
          </w:tcPr>
          <w:p w14:paraId="1216C789" w14:textId="7F1445EA" w:rsidR="00A60DDE" w:rsidRDefault="00095506">
            <w:pPr>
              <w:pStyle w:val="P68B1DB1-Normal85"/>
              <w:spacing w:line="240" w:lineRule="auto"/>
              <w:textAlignment w:val="baseline"/>
              <w:rPr>
                <w:noProof/>
              </w:rPr>
            </w:pPr>
            <w:r>
              <w:rPr>
                <w:noProof/>
              </w:rPr>
              <w:t>Sisteme informatice pentru operatorul de transport și de sistem</w:t>
            </w:r>
          </w:p>
        </w:tc>
      </w:tr>
      <w:tr w:rsidR="00A60DDE" w14:paraId="1216C78F" w14:textId="77777777">
        <w:trPr>
          <w:trHeight w:val="300"/>
          <w:jc w:val="center"/>
        </w:trPr>
        <w:tc>
          <w:tcPr>
            <w:tcW w:w="1277" w:type="dxa"/>
            <w:shd w:val="clear" w:color="auto" w:fill="C6EFCE"/>
            <w:hideMark/>
          </w:tcPr>
          <w:p w14:paraId="1216C78B"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78C" w14:textId="77777777" w:rsidR="00A60DDE" w:rsidRDefault="00095506">
            <w:pPr>
              <w:pStyle w:val="P68B1DB1-Normal85"/>
              <w:spacing w:line="240" w:lineRule="auto"/>
              <w:textAlignment w:val="baseline"/>
              <w:rPr>
                <w:rFonts w:eastAsia="Times New Roman" w:cs="Times New Roman"/>
                <w:noProof/>
                <w:sz w:val="24"/>
                <w:szCs w:val="24"/>
              </w:rPr>
            </w:pPr>
            <w:r>
              <w:rPr>
                <w:noProof/>
              </w:rPr>
              <w:t xml:space="preserve"> </w:t>
            </w:r>
          </w:p>
        </w:tc>
        <w:tc>
          <w:tcPr>
            <w:tcW w:w="1275" w:type="dxa"/>
            <w:shd w:val="clear" w:color="auto" w:fill="C6EFCE"/>
            <w:hideMark/>
          </w:tcPr>
          <w:p w14:paraId="1216C78D"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Valoarea tranșei</w:t>
            </w:r>
          </w:p>
        </w:tc>
        <w:tc>
          <w:tcPr>
            <w:tcW w:w="3969" w:type="dxa"/>
            <w:shd w:val="clear" w:color="auto" w:fill="C6EFCE"/>
            <w:hideMark/>
          </w:tcPr>
          <w:p w14:paraId="1216C78E" w14:textId="2C6E80DA" w:rsidR="00A60DDE" w:rsidRDefault="00095506">
            <w:pPr>
              <w:pStyle w:val="P68B1DB1-Normal85"/>
              <w:spacing w:line="240" w:lineRule="auto"/>
              <w:textAlignment w:val="baseline"/>
              <w:rPr>
                <w:rFonts w:eastAsia="Times New Roman" w:cs="Times New Roman"/>
                <w:noProof/>
                <w:sz w:val="24"/>
                <w:szCs w:val="24"/>
              </w:rPr>
            </w:pPr>
            <w:r>
              <w:rPr>
                <w:noProof/>
              </w:rPr>
              <w:t>4 149 683 785 EUR</w:t>
            </w:r>
          </w:p>
        </w:tc>
      </w:tr>
    </w:tbl>
    <w:p w14:paraId="1216C790" w14:textId="77777777" w:rsidR="00A60DDE" w:rsidRDefault="00A60DDE">
      <w:pPr>
        <w:spacing w:line="240" w:lineRule="auto"/>
        <w:ind w:left="-15"/>
        <w:textAlignment w:val="baseline"/>
        <w:rPr>
          <w:rFonts w:ascii="Times New Roman" w:hAnsi="Times New Roman"/>
          <w:noProof/>
        </w:rPr>
      </w:pPr>
    </w:p>
    <w:p w14:paraId="1216C791" w14:textId="5E22C24D" w:rsidR="00A60DDE" w:rsidRDefault="00095506">
      <w:pPr>
        <w:pStyle w:val="P68B1DB1-Normal85"/>
        <w:spacing w:line="240" w:lineRule="auto"/>
        <w:ind w:left="-15"/>
        <w:textAlignment w:val="baseline"/>
        <w:rPr>
          <w:rFonts w:ascii="Segoe UI" w:eastAsia="Times New Roman" w:hAnsi="Segoe UI" w:cs="Segoe UI"/>
          <w:noProof/>
          <w:sz w:val="18"/>
          <w:szCs w:val="18"/>
        </w:rPr>
      </w:pPr>
      <w:r>
        <w:rPr>
          <w:noProof/>
        </w:rPr>
        <w:t>2.1.9. A noua tranșă (sprijin nerambursabil):</w:t>
      </w:r>
    </w:p>
    <w:tbl>
      <w:tblPr>
        <w:tblW w:w="96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A60DDE" w14:paraId="1216C796" w14:textId="77777777">
        <w:trPr>
          <w:trHeight w:val="300"/>
          <w:tblHeader/>
          <w:jc w:val="center"/>
        </w:trPr>
        <w:tc>
          <w:tcPr>
            <w:tcW w:w="1277" w:type="dxa"/>
            <w:shd w:val="clear" w:color="auto" w:fill="C6D9F1" w:themeFill="text2" w:themeFillTint="33"/>
            <w:hideMark/>
          </w:tcPr>
          <w:p w14:paraId="1216C792"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793"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Măsură conexă (reformă sau investiție)</w:t>
            </w:r>
          </w:p>
        </w:tc>
        <w:tc>
          <w:tcPr>
            <w:tcW w:w="1275" w:type="dxa"/>
            <w:shd w:val="clear" w:color="auto" w:fill="C6D9F1" w:themeFill="text2" w:themeFillTint="33"/>
            <w:hideMark/>
          </w:tcPr>
          <w:p w14:paraId="1216C794" w14:textId="77777777" w:rsidR="00A60DDE" w:rsidRDefault="00095506">
            <w:pPr>
              <w:pStyle w:val="P68B1DB1-Normal99"/>
              <w:spacing w:line="240" w:lineRule="auto"/>
              <w:ind w:left="15"/>
              <w:jc w:val="center"/>
              <w:textAlignment w:val="baseline"/>
              <w:rPr>
                <w:rFonts w:eastAsia="Times New Roman" w:cs="Times New Roman"/>
                <w:noProof/>
                <w:sz w:val="24"/>
                <w:szCs w:val="24"/>
              </w:rPr>
            </w:pPr>
            <w:r>
              <w:rPr>
                <w:noProof/>
              </w:rPr>
              <w:t>Etapa/ținta</w:t>
            </w:r>
          </w:p>
        </w:tc>
        <w:tc>
          <w:tcPr>
            <w:tcW w:w="3686" w:type="dxa"/>
            <w:shd w:val="clear" w:color="auto" w:fill="C6D9F1" w:themeFill="text2" w:themeFillTint="33"/>
            <w:hideMark/>
          </w:tcPr>
          <w:p w14:paraId="1216C795" w14:textId="77777777" w:rsidR="00A60DDE" w:rsidRDefault="00095506">
            <w:pPr>
              <w:pStyle w:val="P68B1DB1-Normal99"/>
              <w:spacing w:line="240" w:lineRule="auto"/>
              <w:ind w:right="30"/>
              <w:jc w:val="center"/>
              <w:textAlignment w:val="baseline"/>
              <w:rPr>
                <w:rFonts w:eastAsia="Times New Roman" w:cs="Times New Roman"/>
                <w:noProof/>
                <w:sz w:val="24"/>
                <w:szCs w:val="24"/>
              </w:rPr>
            </w:pPr>
            <w:r>
              <w:rPr>
                <w:noProof/>
              </w:rPr>
              <w:t>Denumire</w:t>
            </w:r>
          </w:p>
        </w:tc>
      </w:tr>
      <w:tr w:rsidR="00A60DDE" w14:paraId="1216C79B" w14:textId="77777777">
        <w:trPr>
          <w:trHeight w:val="300"/>
          <w:jc w:val="center"/>
        </w:trPr>
        <w:tc>
          <w:tcPr>
            <w:tcW w:w="1277" w:type="dxa"/>
            <w:shd w:val="clear" w:color="auto" w:fill="C6EFCE"/>
            <w:hideMark/>
          </w:tcPr>
          <w:p w14:paraId="1216C797"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A8G </w:t>
            </w:r>
          </w:p>
        </w:tc>
        <w:tc>
          <w:tcPr>
            <w:tcW w:w="3402" w:type="dxa"/>
            <w:shd w:val="clear" w:color="auto" w:fill="C6EFCE"/>
            <w:hideMark/>
          </w:tcPr>
          <w:p w14:paraId="1216C798" w14:textId="7D801CC7" w:rsidR="00A60DDE" w:rsidRDefault="00095506">
            <w:pPr>
              <w:pStyle w:val="P68B1DB1-Normal85"/>
              <w:spacing w:line="240" w:lineRule="auto"/>
              <w:textAlignment w:val="baseline"/>
              <w:rPr>
                <w:rFonts w:eastAsia="Times New Roman" w:cs="Times New Roman"/>
                <w:noProof/>
                <w:sz w:val="24"/>
                <w:szCs w:val="24"/>
              </w:rPr>
            </w:pPr>
            <w:r>
              <w:rPr>
                <w:noProof/>
              </w:rPr>
              <w:t>A1.2.1 Proiecte care vizează diversificarea sau extinderea activităților comerciale</w:t>
            </w:r>
          </w:p>
        </w:tc>
        <w:tc>
          <w:tcPr>
            <w:tcW w:w="1275" w:type="dxa"/>
            <w:shd w:val="clear" w:color="auto" w:fill="C6EFCE"/>
            <w:hideMark/>
          </w:tcPr>
          <w:p w14:paraId="1216C799"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9A" w14:textId="22481505" w:rsidR="00A60DDE" w:rsidRDefault="00095506">
            <w:pPr>
              <w:pStyle w:val="P68B1DB1-Normal87"/>
              <w:spacing w:line="240" w:lineRule="auto"/>
              <w:ind w:right="15"/>
              <w:textAlignment w:val="baseline"/>
              <w:rPr>
                <w:noProof/>
                <w:sz w:val="24"/>
                <w:szCs w:val="24"/>
              </w:rPr>
            </w:pPr>
            <w:r>
              <w:rPr>
                <w:noProof/>
              </w:rPr>
              <w:t>Întreprinderi din sectoarele HoReCa, cultură sau turism care au primit finanțare pentru a-și diversifica sau extinde activitățile comerciale</w:t>
            </w:r>
          </w:p>
        </w:tc>
      </w:tr>
      <w:tr w:rsidR="00A60DDE" w14:paraId="1216C7A0" w14:textId="77777777">
        <w:trPr>
          <w:trHeight w:val="300"/>
          <w:jc w:val="center"/>
        </w:trPr>
        <w:tc>
          <w:tcPr>
            <w:tcW w:w="1277" w:type="dxa"/>
            <w:shd w:val="clear" w:color="auto" w:fill="C6EFCE"/>
            <w:hideMark/>
          </w:tcPr>
          <w:p w14:paraId="1216C79C"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A17G </w:t>
            </w:r>
          </w:p>
        </w:tc>
        <w:tc>
          <w:tcPr>
            <w:tcW w:w="3402" w:type="dxa"/>
            <w:shd w:val="clear" w:color="auto" w:fill="C6EFCE"/>
            <w:hideMark/>
          </w:tcPr>
          <w:p w14:paraId="1216C79D" w14:textId="77777777" w:rsidR="00A60DDE" w:rsidRDefault="00095506">
            <w:pPr>
              <w:pStyle w:val="P68B1DB1-Normal85"/>
              <w:spacing w:line="240" w:lineRule="auto"/>
              <w:textAlignment w:val="baseline"/>
              <w:rPr>
                <w:rFonts w:eastAsia="Times New Roman" w:cs="Times New Roman"/>
                <w:noProof/>
                <w:sz w:val="24"/>
                <w:szCs w:val="24"/>
              </w:rPr>
            </w:pPr>
            <w:r>
              <w:rPr>
                <w:noProof/>
              </w:rPr>
              <w:t>A1.3.1 Punerea în aplicare a reformei amenajării teritoriului</w:t>
            </w:r>
          </w:p>
        </w:tc>
        <w:tc>
          <w:tcPr>
            <w:tcW w:w="1275" w:type="dxa"/>
            <w:shd w:val="clear" w:color="auto" w:fill="C6EFCE"/>
            <w:hideMark/>
          </w:tcPr>
          <w:p w14:paraId="1216C79E"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9F" w14:textId="32D23D13" w:rsidR="00A60DDE" w:rsidRDefault="00095506">
            <w:pPr>
              <w:pStyle w:val="P68B1DB1-Normal87"/>
              <w:spacing w:line="240" w:lineRule="auto"/>
              <w:rPr>
                <w:noProof/>
              </w:rPr>
            </w:pPr>
            <w:r>
              <w:rPr>
                <w:noProof/>
              </w:rPr>
              <w:t>Municipalitățile care au adoptat planuri generale de amenajare a teritoriului</w:t>
            </w:r>
          </w:p>
        </w:tc>
      </w:tr>
      <w:tr w:rsidR="00A60DDE" w14:paraId="1216C7A5" w14:textId="77777777">
        <w:trPr>
          <w:trHeight w:val="300"/>
          <w:jc w:val="center"/>
        </w:trPr>
        <w:tc>
          <w:tcPr>
            <w:tcW w:w="1277" w:type="dxa"/>
            <w:shd w:val="clear" w:color="auto" w:fill="C6EFCE"/>
            <w:hideMark/>
          </w:tcPr>
          <w:p w14:paraId="1216C7A1"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A21G </w:t>
            </w:r>
          </w:p>
        </w:tc>
        <w:tc>
          <w:tcPr>
            <w:tcW w:w="3402" w:type="dxa"/>
            <w:shd w:val="clear" w:color="auto" w:fill="C6EFCE"/>
            <w:hideMark/>
          </w:tcPr>
          <w:p w14:paraId="1216C7A2" w14:textId="77777777" w:rsidR="00A60DDE" w:rsidRDefault="00095506">
            <w:pPr>
              <w:pStyle w:val="P68B1DB1-Normal85"/>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A3"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A4" w14:textId="3EC23861" w:rsidR="00A60DDE" w:rsidRDefault="00095506">
            <w:pPr>
              <w:pStyle w:val="P68B1DB1-Normal87"/>
              <w:spacing w:line="240" w:lineRule="auto"/>
              <w:rPr>
                <w:noProof/>
              </w:rPr>
            </w:pPr>
            <w:r>
              <w:rPr>
                <w:noProof/>
              </w:rPr>
              <w:t>Ordine de plată finale emise pentru proiecte care sprijină depozitarea sau introducerea pe piață a produselor agricole, a produselor pescărești, a produselor de acvacultură sau a produselor agroalimentare</w:t>
            </w:r>
          </w:p>
        </w:tc>
      </w:tr>
      <w:tr w:rsidR="00A60DDE" w14:paraId="1216C7AA" w14:textId="77777777">
        <w:trPr>
          <w:trHeight w:val="300"/>
          <w:jc w:val="center"/>
        </w:trPr>
        <w:tc>
          <w:tcPr>
            <w:tcW w:w="1277" w:type="dxa"/>
            <w:shd w:val="clear" w:color="auto" w:fill="C6EFCE"/>
            <w:hideMark/>
          </w:tcPr>
          <w:p w14:paraId="1216C7A6"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A23G </w:t>
            </w:r>
          </w:p>
        </w:tc>
        <w:tc>
          <w:tcPr>
            <w:tcW w:w="3402" w:type="dxa"/>
            <w:shd w:val="clear" w:color="auto" w:fill="C6EFCE"/>
            <w:hideMark/>
          </w:tcPr>
          <w:p w14:paraId="1216C7A7" w14:textId="77777777" w:rsidR="00A60DDE" w:rsidRDefault="00095506">
            <w:pPr>
              <w:pStyle w:val="P68B1DB1-Normal85"/>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A8"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A9" w14:textId="0E702FBA" w:rsidR="00A60DDE" w:rsidRDefault="00095506">
            <w:pPr>
              <w:pStyle w:val="P68B1DB1-Normal87"/>
              <w:spacing w:line="240" w:lineRule="auto"/>
              <w:textAlignment w:val="baseline"/>
              <w:rPr>
                <w:noProof/>
                <w:sz w:val="24"/>
                <w:szCs w:val="24"/>
              </w:rPr>
            </w:pPr>
            <w:r>
              <w:rPr>
                <w:noProof/>
              </w:rPr>
              <w:t>Ordine finale de plată emise pentru proiecte de construire sau modernizare a infrastructurii sau a echipamentelor întreprinderilor din sectorul agricol, al pescuitului sau al acvaculturii</w:t>
            </w:r>
          </w:p>
        </w:tc>
      </w:tr>
      <w:tr w:rsidR="00A60DDE" w14:paraId="1216C7AF" w14:textId="77777777">
        <w:trPr>
          <w:trHeight w:val="300"/>
          <w:jc w:val="center"/>
        </w:trPr>
        <w:tc>
          <w:tcPr>
            <w:tcW w:w="1277" w:type="dxa"/>
            <w:shd w:val="clear" w:color="auto" w:fill="C6EFCE"/>
            <w:hideMark/>
          </w:tcPr>
          <w:p w14:paraId="1216C7AB"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A26G </w:t>
            </w:r>
          </w:p>
        </w:tc>
        <w:tc>
          <w:tcPr>
            <w:tcW w:w="3402" w:type="dxa"/>
            <w:shd w:val="clear" w:color="auto" w:fill="C6EFCE"/>
            <w:hideMark/>
          </w:tcPr>
          <w:p w14:paraId="1216C7AC" w14:textId="77777777" w:rsidR="00A60DDE" w:rsidRDefault="00095506">
            <w:pPr>
              <w:pStyle w:val="P68B1DB1-Normal85"/>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AD"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AE" w14:textId="00E3B1BD" w:rsidR="00A60DDE" w:rsidRDefault="00095506">
            <w:pPr>
              <w:pStyle w:val="P68B1DB1-Normal87"/>
              <w:spacing w:line="240" w:lineRule="auto"/>
              <w:rPr>
                <w:noProof/>
              </w:rPr>
            </w:pPr>
            <w:r>
              <w:rPr>
                <w:noProof/>
              </w:rPr>
              <w:t>Ordine finale de plată pentru proiecte de construcție sau modernizare a infrastructurii sau a echipamentelor de către fermieri sau pescari</w:t>
            </w:r>
          </w:p>
        </w:tc>
      </w:tr>
      <w:tr w:rsidR="00A60DDE" w14:paraId="1216C7B4" w14:textId="77777777">
        <w:trPr>
          <w:trHeight w:val="300"/>
          <w:jc w:val="center"/>
        </w:trPr>
        <w:tc>
          <w:tcPr>
            <w:tcW w:w="1277" w:type="dxa"/>
            <w:shd w:val="clear" w:color="auto" w:fill="C6EFCE"/>
            <w:hideMark/>
          </w:tcPr>
          <w:p w14:paraId="1216C7B0"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A29G </w:t>
            </w:r>
          </w:p>
        </w:tc>
        <w:tc>
          <w:tcPr>
            <w:tcW w:w="3402" w:type="dxa"/>
            <w:shd w:val="clear" w:color="auto" w:fill="C6EFCE"/>
            <w:hideMark/>
          </w:tcPr>
          <w:p w14:paraId="1216C7B1" w14:textId="5671718E" w:rsidR="00A60DDE" w:rsidRDefault="00095506">
            <w:pPr>
              <w:pStyle w:val="P68B1DB1-Normal85"/>
              <w:spacing w:line="240" w:lineRule="auto"/>
              <w:rPr>
                <w:rFonts w:eastAsia="Times New Roman" w:cs="Times New Roman"/>
                <w:noProof/>
                <w:sz w:val="24"/>
                <w:szCs w:val="24"/>
              </w:rPr>
            </w:pPr>
            <w:r>
              <w:rPr>
                <w:noProof/>
              </w:rPr>
              <w:t xml:space="preserve">A2.1.1 Investiții în robotizare sau digitalizare în întreprinderi </w:t>
            </w:r>
          </w:p>
        </w:tc>
        <w:tc>
          <w:tcPr>
            <w:tcW w:w="1275" w:type="dxa"/>
            <w:shd w:val="clear" w:color="auto" w:fill="C6EFCE"/>
            <w:hideMark/>
          </w:tcPr>
          <w:p w14:paraId="1216C7B2"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B3" w14:textId="77777777" w:rsidR="00A60DDE" w:rsidRDefault="00095506">
            <w:pPr>
              <w:pStyle w:val="P68B1DB1-Normal87"/>
              <w:spacing w:line="240" w:lineRule="auto"/>
              <w:textAlignment w:val="baseline"/>
              <w:rPr>
                <w:noProof/>
              </w:rPr>
            </w:pPr>
            <w:r>
              <w:rPr>
                <w:noProof/>
              </w:rPr>
              <w:t>Proiecte legate de robotizarea, inteligența artificială sau digitalizarea proceselor, tehnologiilor, produselor sau serviciilor în întreprinderi</w:t>
            </w:r>
          </w:p>
        </w:tc>
      </w:tr>
      <w:tr w:rsidR="00A60DDE" w14:paraId="1216C7B9" w14:textId="77777777">
        <w:trPr>
          <w:trHeight w:val="375"/>
          <w:jc w:val="center"/>
        </w:trPr>
        <w:tc>
          <w:tcPr>
            <w:tcW w:w="1277" w:type="dxa"/>
            <w:shd w:val="clear" w:color="auto" w:fill="C6EFCE"/>
            <w:hideMark/>
          </w:tcPr>
          <w:p w14:paraId="1216C7B5"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A35G </w:t>
            </w:r>
          </w:p>
        </w:tc>
        <w:tc>
          <w:tcPr>
            <w:tcW w:w="3402" w:type="dxa"/>
            <w:shd w:val="clear" w:color="auto" w:fill="C6EFCE"/>
            <w:hideMark/>
          </w:tcPr>
          <w:p w14:paraId="1216C7B6" w14:textId="77777777" w:rsidR="00A60DDE" w:rsidRDefault="00095506">
            <w:pPr>
              <w:pStyle w:val="P68B1DB1-Normal85"/>
              <w:spacing w:line="240" w:lineRule="auto"/>
              <w:textAlignment w:val="baseline"/>
              <w:rPr>
                <w:rFonts w:eastAsia="Times New Roman" w:cs="Times New Roman"/>
                <w:noProof/>
                <w:sz w:val="24"/>
                <w:szCs w:val="24"/>
              </w:rPr>
            </w:pPr>
            <w:r>
              <w:rPr>
                <w:noProof/>
              </w:rPr>
              <w:t>A2.3.1 Centre locale de competență pentru vehicule aeriene fără pilot</w:t>
            </w:r>
          </w:p>
        </w:tc>
        <w:tc>
          <w:tcPr>
            <w:tcW w:w="1275" w:type="dxa"/>
            <w:shd w:val="clear" w:color="auto" w:fill="C6EFCE"/>
            <w:hideMark/>
          </w:tcPr>
          <w:p w14:paraId="1216C7B7"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B8" w14:textId="6961997B" w:rsidR="00A60DDE" w:rsidRDefault="00095506">
            <w:pPr>
              <w:pStyle w:val="P68B1DB1-Normal85"/>
              <w:spacing w:line="240" w:lineRule="auto"/>
              <w:textAlignment w:val="baseline"/>
              <w:rPr>
                <w:bCs/>
                <w:noProof/>
              </w:rPr>
            </w:pPr>
            <w:r>
              <w:rPr>
                <w:noProof/>
              </w:rPr>
              <w:t>Centre locale de competență pentru vehicule aeriene fără pilot</w:t>
            </w:r>
          </w:p>
        </w:tc>
      </w:tr>
      <w:tr w:rsidR="00A60DDE" w14:paraId="1216C7BE" w14:textId="77777777">
        <w:trPr>
          <w:trHeight w:val="300"/>
          <w:jc w:val="center"/>
        </w:trPr>
        <w:tc>
          <w:tcPr>
            <w:tcW w:w="1277" w:type="dxa"/>
            <w:shd w:val="clear" w:color="auto" w:fill="C6EFCE"/>
            <w:hideMark/>
          </w:tcPr>
          <w:p w14:paraId="1216C7BA"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A40G </w:t>
            </w:r>
          </w:p>
        </w:tc>
        <w:tc>
          <w:tcPr>
            <w:tcW w:w="3402" w:type="dxa"/>
            <w:shd w:val="clear" w:color="auto" w:fill="C6EFCE"/>
            <w:hideMark/>
          </w:tcPr>
          <w:p w14:paraId="1216C7BB" w14:textId="77777777" w:rsidR="00A60DDE" w:rsidRDefault="00095506">
            <w:pPr>
              <w:pStyle w:val="P68B1DB1-Normal85"/>
              <w:spacing w:line="240" w:lineRule="auto"/>
              <w:textAlignment w:val="baseline"/>
              <w:rPr>
                <w:rFonts w:eastAsia="Times New Roman" w:cs="Times New Roman"/>
                <w:noProof/>
                <w:sz w:val="24"/>
                <w:szCs w:val="24"/>
              </w:rPr>
            </w:pPr>
            <w:r>
              <w:rPr>
                <w:noProof/>
              </w:rPr>
              <w:t>A2.4.1 Investiții în capacitățile de cercetare</w:t>
            </w:r>
          </w:p>
        </w:tc>
        <w:tc>
          <w:tcPr>
            <w:tcW w:w="1275" w:type="dxa"/>
            <w:shd w:val="clear" w:color="auto" w:fill="C6EFCE"/>
            <w:hideMark/>
          </w:tcPr>
          <w:p w14:paraId="1216C7BC"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BD" w14:textId="77777777" w:rsidR="00A60DDE" w:rsidRDefault="00095506">
            <w:pPr>
              <w:pStyle w:val="P68B1DB1-Normal87"/>
              <w:spacing w:line="240" w:lineRule="auto"/>
              <w:textAlignment w:val="baseline"/>
              <w:rPr>
                <w:noProof/>
              </w:rPr>
            </w:pPr>
            <w:r>
              <w:rPr>
                <w:noProof/>
              </w:rPr>
              <w:t>Proiecte pentru laboratoare cu infrastructură de cercetare sau analitică</w:t>
            </w:r>
          </w:p>
        </w:tc>
      </w:tr>
      <w:tr w:rsidR="00A60DDE" w14:paraId="1216C7C3" w14:textId="77777777">
        <w:trPr>
          <w:trHeight w:val="300"/>
          <w:jc w:val="center"/>
        </w:trPr>
        <w:tc>
          <w:tcPr>
            <w:tcW w:w="1277" w:type="dxa"/>
            <w:shd w:val="clear" w:color="auto" w:fill="C6EFCE"/>
            <w:hideMark/>
          </w:tcPr>
          <w:p w14:paraId="1216C7BF"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A55G </w:t>
            </w:r>
          </w:p>
        </w:tc>
        <w:tc>
          <w:tcPr>
            <w:tcW w:w="3402" w:type="dxa"/>
            <w:shd w:val="clear" w:color="auto" w:fill="C6EFCE"/>
            <w:hideMark/>
          </w:tcPr>
          <w:p w14:paraId="1216C7C0" w14:textId="77777777" w:rsidR="00A60DDE" w:rsidRDefault="00095506">
            <w:pPr>
              <w:pStyle w:val="P68B1DB1-Normal85"/>
              <w:spacing w:line="240" w:lineRule="auto"/>
              <w:textAlignment w:val="baseline"/>
              <w:rPr>
                <w:rFonts w:eastAsia="Times New Roman" w:cs="Times New Roman"/>
                <w:noProof/>
                <w:sz w:val="24"/>
                <w:szCs w:val="24"/>
              </w:rPr>
            </w:pPr>
            <w:r>
              <w:rPr>
                <w:noProof/>
              </w:rPr>
              <w:t>A4.1.1 Investiții în sprijinul reformei instituțiilor de pe piața forței de muncă</w:t>
            </w:r>
          </w:p>
        </w:tc>
        <w:tc>
          <w:tcPr>
            <w:tcW w:w="1275" w:type="dxa"/>
            <w:shd w:val="clear" w:color="auto" w:fill="C6EFCE"/>
            <w:hideMark/>
          </w:tcPr>
          <w:p w14:paraId="1216C7C1"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Etapa de referință</w:t>
            </w:r>
          </w:p>
        </w:tc>
        <w:tc>
          <w:tcPr>
            <w:tcW w:w="3686" w:type="dxa"/>
            <w:shd w:val="clear" w:color="auto" w:fill="C6EFCE"/>
            <w:hideMark/>
          </w:tcPr>
          <w:p w14:paraId="1216C7C2" w14:textId="77777777" w:rsidR="00A60DDE" w:rsidRDefault="00095506">
            <w:pPr>
              <w:pStyle w:val="P68B1DB1-Normal87"/>
              <w:spacing w:line="240" w:lineRule="auto"/>
              <w:textAlignment w:val="baseline"/>
              <w:rPr>
                <w:noProof/>
              </w:rPr>
            </w:pPr>
            <w:r>
              <w:rPr>
                <w:noProof/>
              </w:rPr>
              <w:t>Digitalizarea serviciilor publice de ocupare a forței de muncă (SPOFM)</w:t>
            </w:r>
          </w:p>
        </w:tc>
      </w:tr>
      <w:tr w:rsidR="00A60DDE" w14:paraId="1216C7C8" w14:textId="77777777">
        <w:trPr>
          <w:trHeight w:val="300"/>
          <w:jc w:val="center"/>
        </w:trPr>
        <w:tc>
          <w:tcPr>
            <w:tcW w:w="1277" w:type="dxa"/>
            <w:shd w:val="clear" w:color="auto" w:fill="C6EFCE"/>
            <w:hideMark/>
          </w:tcPr>
          <w:p w14:paraId="1216C7C4"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A56G </w:t>
            </w:r>
          </w:p>
        </w:tc>
        <w:tc>
          <w:tcPr>
            <w:tcW w:w="3402" w:type="dxa"/>
            <w:shd w:val="clear" w:color="auto" w:fill="C6EFCE"/>
            <w:hideMark/>
          </w:tcPr>
          <w:p w14:paraId="1216C7C5" w14:textId="77777777" w:rsidR="00A60DDE" w:rsidRDefault="00095506">
            <w:pPr>
              <w:pStyle w:val="P68B1DB1-Normal85"/>
              <w:spacing w:line="240" w:lineRule="auto"/>
              <w:textAlignment w:val="baseline"/>
              <w:rPr>
                <w:rFonts w:eastAsia="Times New Roman" w:cs="Times New Roman"/>
                <w:noProof/>
                <w:sz w:val="24"/>
                <w:szCs w:val="24"/>
              </w:rPr>
            </w:pPr>
            <w:r>
              <w:rPr>
                <w:noProof/>
              </w:rPr>
              <w:t>A4.1.1 Investiții în sprijinul reformei instituțiilor de pe piața forței de muncă</w:t>
            </w:r>
          </w:p>
        </w:tc>
        <w:tc>
          <w:tcPr>
            <w:tcW w:w="1275" w:type="dxa"/>
            <w:shd w:val="clear" w:color="auto" w:fill="C6EFCE"/>
            <w:hideMark/>
          </w:tcPr>
          <w:p w14:paraId="1216C7C6"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Etapa de referință</w:t>
            </w:r>
          </w:p>
        </w:tc>
        <w:tc>
          <w:tcPr>
            <w:tcW w:w="3686" w:type="dxa"/>
            <w:shd w:val="clear" w:color="auto" w:fill="C6EFCE"/>
            <w:hideMark/>
          </w:tcPr>
          <w:p w14:paraId="1216C7C7" w14:textId="77777777" w:rsidR="00A60DDE" w:rsidRDefault="00095506">
            <w:pPr>
              <w:pStyle w:val="P68B1DB1-Normal87"/>
              <w:spacing w:line="240" w:lineRule="auto"/>
              <w:textAlignment w:val="baseline"/>
              <w:rPr>
                <w:noProof/>
              </w:rPr>
            </w:pPr>
            <w:r>
              <w:rPr>
                <w:noProof/>
              </w:rPr>
              <w:t>Cursuri de formare privind aplicarea noilor proceduri</w:t>
            </w:r>
          </w:p>
        </w:tc>
      </w:tr>
      <w:tr w:rsidR="00A60DDE" w14:paraId="1216C7CD" w14:textId="77777777">
        <w:trPr>
          <w:trHeight w:val="300"/>
          <w:jc w:val="center"/>
        </w:trPr>
        <w:tc>
          <w:tcPr>
            <w:tcW w:w="1277" w:type="dxa"/>
            <w:shd w:val="clear" w:color="auto" w:fill="C6EFCE"/>
            <w:hideMark/>
          </w:tcPr>
          <w:p w14:paraId="1216C7C9"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A61G </w:t>
            </w:r>
          </w:p>
        </w:tc>
        <w:tc>
          <w:tcPr>
            <w:tcW w:w="3402" w:type="dxa"/>
            <w:shd w:val="clear" w:color="auto" w:fill="C6EFCE"/>
            <w:hideMark/>
          </w:tcPr>
          <w:p w14:paraId="1216C7CA" w14:textId="77777777" w:rsidR="00A60DDE" w:rsidRDefault="00095506">
            <w:pPr>
              <w:pStyle w:val="P68B1DB1-Normal85"/>
              <w:spacing w:line="240" w:lineRule="auto"/>
              <w:textAlignment w:val="baseline"/>
              <w:rPr>
                <w:rFonts w:eastAsia="Times New Roman" w:cs="Times New Roman"/>
                <w:noProof/>
              </w:rPr>
            </w:pPr>
            <w:r>
              <w:rPr>
                <w:noProof/>
              </w:rPr>
              <w:t>A4.2.1 Sprijin pentru structurile de îngrijire a copiilor cu vârsta de până la trei ani în cadrul categoriei „Copil mic activ” (fostul Maluch+)</w:t>
            </w:r>
          </w:p>
        </w:tc>
        <w:tc>
          <w:tcPr>
            <w:tcW w:w="1275" w:type="dxa"/>
            <w:shd w:val="clear" w:color="auto" w:fill="C6EFCE"/>
            <w:hideMark/>
          </w:tcPr>
          <w:p w14:paraId="1216C7CB"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CC" w14:textId="77777777" w:rsidR="00A60DDE" w:rsidRDefault="00095506">
            <w:pPr>
              <w:pStyle w:val="P68B1DB1-Normal87"/>
              <w:spacing w:line="240" w:lineRule="auto"/>
              <w:textAlignment w:val="baseline"/>
              <w:rPr>
                <w:noProof/>
              </w:rPr>
            </w:pPr>
            <w:r>
              <w:rPr>
                <w:noProof/>
              </w:rPr>
              <w:t>Construirea sau renovarea sau adaptarea structurilor de îngrijire a copiilor cu vârsta de până la trei ani</w:t>
            </w:r>
          </w:p>
        </w:tc>
      </w:tr>
      <w:tr w:rsidR="00A60DDE" w14:paraId="4B5A8DFC" w14:textId="77777777">
        <w:trPr>
          <w:trHeight w:val="300"/>
          <w:jc w:val="center"/>
        </w:trPr>
        <w:tc>
          <w:tcPr>
            <w:tcW w:w="1277" w:type="dxa"/>
            <w:shd w:val="clear" w:color="auto" w:fill="C6EFCE"/>
            <w:hideMark/>
          </w:tcPr>
          <w:p w14:paraId="6F04B112" w14:textId="77777777" w:rsidR="00A60DDE" w:rsidRDefault="00095506">
            <w:pPr>
              <w:pStyle w:val="P68B1DB1-Normal85"/>
              <w:spacing w:line="240" w:lineRule="auto"/>
              <w:jc w:val="center"/>
              <w:rPr>
                <w:rFonts w:eastAsia="Times New Roman" w:cs="Times New Roman"/>
                <w:noProof/>
                <w:sz w:val="24"/>
                <w:szCs w:val="24"/>
              </w:rPr>
            </w:pPr>
            <w:r>
              <w:rPr>
                <w:noProof/>
              </w:rPr>
              <w:t xml:space="preserve">A70G </w:t>
            </w:r>
          </w:p>
        </w:tc>
        <w:tc>
          <w:tcPr>
            <w:tcW w:w="3402" w:type="dxa"/>
            <w:shd w:val="clear" w:color="auto" w:fill="C6EFCE"/>
            <w:hideMark/>
          </w:tcPr>
          <w:p w14:paraId="786DFBEB" w14:textId="77777777" w:rsidR="00A60DDE" w:rsidRDefault="00095506">
            <w:pPr>
              <w:pStyle w:val="P68B1DB1-Normal85"/>
              <w:spacing w:line="240" w:lineRule="auto"/>
              <w:rPr>
                <w:rFonts w:eastAsia="Times New Roman" w:cs="Times New Roman"/>
                <w:noProof/>
                <w:sz w:val="24"/>
                <w:szCs w:val="24"/>
              </w:rPr>
            </w:pPr>
            <w:r>
              <w:rPr>
                <w:noProof/>
              </w:rPr>
              <w:t>A4.6 Creșterea participării pe piața muncii a anumitor grupuri prin dezvoltarea îngrijirii pe termen lung</w:t>
            </w:r>
          </w:p>
        </w:tc>
        <w:tc>
          <w:tcPr>
            <w:tcW w:w="1275" w:type="dxa"/>
            <w:shd w:val="clear" w:color="auto" w:fill="C6EFCE"/>
            <w:hideMark/>
          </w:tcPr>
          <w:p w14:paraId="1194C1F7" w14:textId="77777777" w:rsidR="00A60DDE" w:rsidRDefault="00095506">
            <w:pPr>
              <w:pStyle w:val="P68B1DB1-Normal85"/>
              <w:spacing w:line="240" w:lineRule="auto"/>
              <w:jc w:val="center"/>
              <w:rPr>
                <w:rFonts w:eastAsia="Times New Roman" w:cs="Times New Roman"/>
                <w:noProof/>
                <w:sz w:val="24"/>
                <w:szCs w:val="24"/>
              </w:rPr>
            </w:pPr>
            <w:r>
              <w:rPr>
                <w:noProof/>
              </w:rPr>
              <w:t>Etapa de referință</w:t>
            </w:r>
          </w:p>
        </w:tc>
        <w:tc>
          <w:tcPr>
            <w:tcW w:w="3686" w:type="dxa"/>
            <w:shd w:val="clear" w:color="auto" w:fill="C6EFCE"/>
            <w:hideMark/>
          </w:tcPr>
          <w:p w14:paraId="3F36BF05" w14:textId="1FD487FD" w:rsidR="00A60DDE" w:rsidRDefault="00095506">
            <w:pPr>
              <w:pStyle w:val="P68B1DB1-Normal85"/>
              <w:spacing w:line="240" w:lineRule="auto"/>
              <w:rPr>
                <w:rFonts w:eastAsia="Times New Roman" w:cs="Times New Roman"/>
                <w:noProof/>
                <w:sz w:val="24"/>
                <w:szCs w:val="24"/>
              </w:rPr>
            </w:pPr>
            <w:r>
              <w:rPr>
                <w:noProof/>
              </w:rPr>
              <w:t>Intrarea în vigoare a actului (actelor) juridic(e) și publicarea documentelor fără caracter legislativ</w:t>
            </w:r>
          </w:p>
        </w:tc>
      </w:tr>
      <w:tr w:rsidR="00A60DDE" w14:paraId="1216C7D2" w14:textId="77777777">
        <w:trPr>
          <w:trHeight w:val="300"/>
          <w:jc w:val="center"/>
        </w:trPr>
        <w:tc>
          <w:tcPr>
            <w:tcW w:w="1277" w:type="dxa"/>
            <w:shd w:val="clear" w:color="auto" w:fill="C6EFCE"/>
            <w:hideMark/>
          </w:tcPr>
          <w:p w14:paraId="1216C7CE" w14:textId="77777777" w:rsidR="00A60DDE" w:rsidRDefault="00095506">
            <w:pPr>
              <w:pStyle w:val="P68B1DB1-Normal85"/>
              <w:spacing w:line="240" w:lineRule="auto"/>
              <w:jc w:val="center"/>
              <w:textAlignment w:val="baseline"/>
              <w:rPr>
                <w:rFonts w:eastAsia="Times New Roman" w:cs="Times New Roman"/>
                <w:noProof/>
              </w:rPr>
            </w:pPr>
            <w:r>
              <w:rPr>
                <w:noProof/>
              </w:rPr>
              <w:t>A74G </w:t>
            </w:r>
          </w:p>
        </w:tc>
        <w:tc>
          <w:tcPr>
            <w:tcW w:w="3402" w:type="dxa"/>
            <w:shd w:val="clear" w:color="auto" w:fill="C6EFCE"/>
            <w:hideMark/>
          </w:tcPr>
          <w:p w14:paraId="1216C7CF" w14:textId="77777777" w:rsidR="00A60DDE" w:rsidRDefault="00095506">
            <w:pPr>
              <w:pStyle w:val="P68B1DB1-Normal85"/>
              <w:spacing w:line="240" w:lineRule="auto"/>
              <w:textAlignment w:val="baseline"/>
              <w:rPr>
                <w:rFonts w:eastAsia="Times New Roman" w:cs="Times New Roman"/>
                <w:noProof/>
              </w:rPr>
            </w:pPr>
            <w:r>
              <w:rPr>
                <w:noProof/>
              </w:rPr>
              <w:t>A5.1 Contribuția la compartimentul pentru statele membre în cadrul programului InvestEU</w:t>
            </w:r>
          </w:p>
        </w:tc>
        <w:tc>
          <w:tcPr>
            <w:tcW w:w="1275" w:type="dxa"/>
            <w:shd w:val="clear" w:color="auto" w:fill="C6EFCE"/>
            <w:hideMark/>
          </w:tcPr>
          <w:p w14:paraId="1216C7D0" w14:textId="77777777" w:rsidR="00A60DDE" w:rsidRDefault="00095506">
            <w:pPr>
              <w:pStyle w:val="P68B1DB1-Normal85"/>
              <w:spacing w:line="240" w:lineRule="auto"/>
              <w:jc w:val="center"/>
              <w:textAlignment w:val="baseline"/>
              <w:rPr>
                <w:rFonts w:eastAsia="Times New Roman" w:cs="Times New Roman"/>
                <w:noProof/>
              </w:rPr>
            </w:pPr>
            <w:r>
              <w:rPr>
                <w:noProof/>
              </w:rPr>
              <w:t>Țintă</w:t>
            </w:r>
          </w:p>
        </w:tc>
        <w:tc>
          <w:tcPr>
            <w:tcW w:w="3686" w:type="dxa"/>
            <w:shd w:val="clear" w:color="auto" w:fill="C6EFCE"/>
            <w:hideMark/>
          </w:tcPr>
          <w:p w14:paraId="1216C7D1" w14:textId="77777777" w:rsidR="00A60DDE" w:rsidRDefault="00095506">
            <w:pPr>
              <w:pStyle w:val="P68B1DB1-Normal87"/>
              <w:spacing w:line="240" w:lineRule="auto"/>
              <w:textAlignment w:val="baseline"/>
              <w:rPr>
                <w:noProof/>
              </w:rPr>
            </w:pPr>
            <w:r>
              <w:rPr>
                <w:noProof/>
              </w:rPr>
              <w:t>Operațiuni de finanțare sau de investiții aprobate de Comitetul pentru investiții al InvestEU</w:t>
            </w:r>
          </w:p>
        </w:tc>
      </w:tr>
      <w:tr w:rsidR="00A60DDE" w14:paraId="1216C7D7" w14:textId="77777777">
        <w:trPr>
          <w:trHeight w:val="300"/>
          <w:jc w:val="center"/>
        </w:trPr>
        <w:tc>
          <w:tcPr>
            <w:tcW w:w="1277" w:type="dxa"/>
            <w:shd w:val="clear" w:color="auto" w:fill="C6EFCE"/>
          </w:tcPr>
          <w:p w14:paraId="1216C7D3" w14:textId="77777777" w:rsidR="00A60DDE" w:rsidRDefault="00095506">
            <w:pPr>
              <w:pStyle w:val="P68B1DB1-Normal85"/>
              <w:spacing w:line="240" w:lineRule="auto"/>
              <w:jc w:val="center"/>
              <w:textAlignment w:val="baseline"/>
              <w:rPr>
                <w:noProof/>
              </w:rPr>
            </w:pPr>
            <w:r>
              <w:rPr>
                <w:noProof/>
              </w:rPr>
              <w:t>A75G</w:t>
            </w:r>
          </w:p>
        </w:tc>
        <w:tc>
          <w:tcPr>
            <w:tcW w:w="3402" w:type="dxa"/>
            <w:shd w:val="clear" w:color="auto" w:fill="C6EFCE"/>
          </w:tcPr>
          <w:p w14:paraId="1216C7D4" w14:textId="77777777" w:rsidR="00A60DDE" w:rsidRDefault="00095506">
            <w:pPr>
              <w:spacing w:line="240" w:lineRule="auto"/>
              <w:textAlignment w:val="baseline"/>
              <w:rPr>
                <w:rFonts w:ascii="Times New Roman" w:hAnsi="Times New Roman"/>
                <w:noProof/>
              </w:rPr>
            </w:pPr>
            <w:r>
              <w:rPr>
                <w:rFonts w:ascii="Times New Roman" w:hAnsi="Times New Roman"/>
                <w:noProof/>
              </w:rPr>
              <w:t>A6.1 Contribuția voluntară la Programul UE privind conectivitatea securizată (IRIS</w:t>
            </w:r>
            <w:r>
              <w:rPr>
                <w:rFonts w:ascii="Times New Roman" w:eastAsia="Times New Roman" w:hAnsi="Times New Roman" w:cs="Times New Roman"/>
                <w:noProof/>
                <w:u w:val="single"/>
                <w:vertAlign w:val="superscript"/>
              </w:rPr>
              <w:t xml:space="preserve"> 2</w:t>
            </w:r>
            <w:r>
              <w:rPr>
                <w:rFonts w:ascii="Times New Roman" w:eastAsia="Times New Roman" w:hAnsi="Times New Roman" w:cs="Times New Roman"/>
                <w:noProof/>
                <w:u w:val="single"/>
              </w:rPr>
              <w:t>)</w:t>
            </w:r>
          </w:p>
        </w:tc>
        <w:tc>
          <w:tcPr>
            <w:tcW w:w="1275" w:type="dxa"/>
            <w:shd w:val="clear" w:color="auto" w:fill="C6EFCE"/>
          </w:tcPr>
          <w:p w14:paraId="1216C7D5" w14:textId="77777777" w:rsidR="00A60DDE" w:rsidRDefault="00095506">
            <w:pPr>
              <w:pStyle w:val="P68B1DB1-Normal85"/>
              <w:spacing w:line="240" w:lineRule="auto"/>
              <w:jc w:val="center"/>
              <w:textAlignment w:val="baseline"/>
              <w:rPr>
                <w:noProof/>
              </w:rPr>
            </w:pPr>
            <w:r>
              <w:rPr>
                <w:noProof/>
              </w:rPr>
              <w:t>Etapa de referință</w:t>
            </w:r>
          </w:p>
        </w:tc>
        <w:tc>
          <w:tcPr>
            <w:tcW w:w="3686" w:type="dxa"/>
            <w:shd w:val="clear" w:color="auto" w:fill="C6EFCE"/>
          </w:tcPr>
          <w:p w14:paraId="1216C7D6" w14:textId="77777777" w:rsidR="00A60DDE" w:rsidRDefault="00095506">
            <w:pPr>
              <w:pStyle w:val="P68B1DB1-Normal87"/>
              <w:spacing w:line="240" w:lineRule="auto"/>
              <w:textAlignment w:val="baseline"/>
              <w:rPr>
                <w:noProof/>
              </w:rPr>
            </w:pPr>
            <w:r>
              <w:rPr>
                <w:noProof/>
              </w:rPr>
              <w:t>Semnarea acordului de contribuție între guvernul Poloniei și Comisia Europeană și atribuirea unei contribuții voluntare la Programul UE privind conectivitatea securizată (IRIS</w:t>
            </w:r>
            <w:r>
              <w:rPr>
                <w:noProof/>
                <w:vertAlign w:val="superscript"/>
              </w:rPr>
              <w:t xml:space="preserve"> 2</w:t>
            </w:r>
            <w:r>
              <w:rPr>
                <w:noProof/>
              </w:rPr>
              <w:t>)</w:t>
            </w:r>
          </w:p>
        </w:tc>
      </w:tr>
      <w:tr w:rsidR="00A60DDE" w14:paraId="1216C7DC" w14:textId="77777777">
        <w:trPr>
          <w:trHeight w:val="300"/>
          <w:jc w:val="center"/>
        </w:trPr>
        <w:tc>
          <w:tcPr>
            <w:tcW w:w="1277" w:type="dxa"/>
            <w:shd w:val="clear" w:color="auto" w:fill="C6EFCE"/>
            <w:hideMark/>
          </w:tcPr>
          <w:p w14:paraId="1216C7D8"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B7G </w:t>
            </w:r>
          </w:p>
        </w:tc>
        <w:tc>
          <w:tcPr>
            <w:tcW w:w="3402" w:type="dxa"/>
            <w:shd w:val="clear" w:color="auto" w:fill="C6EFCE"/>
            <w:hideMark/>
          </w:tcPr>
          <w:p w14:paraId="1216C7D9" w14:textId="77777777" w:rsidR="00A60DDE" w:rsidRDefault="00095506">
            <w:pPr>
              <w:pStyle w:val="P68B1DB1-Normal85"/>
              <w:spacing w:line="240" w:lineRule="auto"/>
              <w:textAlignment w:val="baseline"/>
              <w:rPr>
                <w:rFonts w:eastAsia="Times New Roman" w:cs="Times New Roman"/>
                <w:noProof/>
              </w:rPr>
            </w:pPr>
            <w:r>
              <w:rPr>
                <w:noProof/>
              </w:rPr>
              <w:t>B1.1.1 Investiții în surse de căldură în sisteme de termoficare</w:t>
            </w:r>
          </w:p>
        </w:tc>
        <w:tc>
          <w:tcPr>
            <w:tcW w:w="1275" w:type="dxa"/>
            <w:shd w:val="clear" w:color="auto" w:fill="C6EFCE"/>
            <w:hideMark/>
          </w:tcPr>
          <w:p w14:paraId="1216C7DA"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DB" w14:textId="77777777" w:rsidR="00A60DDE" w:rsidRDefault="00095506">
            <w:pPr>
              <w:pStyle w:val="P68B1DB1-Normal87"/>
              <w:spacing w:line="240" w:lineRule="auto"/>
              <w:textAlignment w:val="baseline"/>
              <w:rPr>
                <w:noProof/>
              </w:rPr>
            </w:pPr>
            <w:r>
              <w:rPr>
                <w:noProof/>
              </w:rPr>
              <w:t>T1 – Surse de căldură în sistemele de încălzire centralizată</w:t>
            </w:r>
          </w:p>
        </w:tc>
      </w:tr>
      <w:tr w:rsidR="00A60DDE" w14:paraId="1216C7E1" w14:textId="77777777">
        <w:trPr>
          <w:trHeight w:val="300"/>
          <w:jc w:val="center"/>
        </w:trPr>
        <w:tc>
          <w:tcPr>
            <w:tcW w:w="1277" w:type="dxa"/>
            <w:shd w:val="clear" w:color="auto" w:fill="C6EFCE"/>
            <w:hideMark/>
          </w:tcPr>
          <w:p w14:paraId="1216C7DD"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B9G </w:t>
            </w:r>
          </w:p>
        </w:tc>
        <w:tc>
          <w:tcPr>
            <w:tcW w:w="3402" w:type="dxa"/>
            <w:shd w:val="clear" w:color="auto" w:fill="C6EFCE"/>
            <w:hideMark/>
          </w:tcPr>
          <w:p w14:paraId="1216C7DE" w14:textId="77777777" w:rsidR="00A60DDE" w:rsidRDefault="00095506">
            <w:pPr>
              <w:pStyle w:val="P68B1DB1-Normal85"/>
              <w:spacing w:line="240" w:lineRule="auto"/>
              <w:textAlignment w:val="baseline"/>
              <w:rPr>
                <w:rFonts w:eastAsia="Times New Roman" w:cs="Times New Roman"/>
                <w:noProof/>
              </w:rPr>
            </w:pPr>
            <w:r>
              <w:rPr>
                <w:noProof/>
              </w:rPr>
              <w:t>B1.1.2 Înlocuirea surselor de căldură și îmbunătățirea eficienței energetice în clădirile rezidențiale unifamiliale</w:t>
            </w:r>
          </w:p>
        </w:tc>
        <w:tc>
          <w:tcPr>
            <w:tcW w:w="1275" w:type="dxa"/>
            <w:shd w:val="clear" w:color="auto" w:fill="C6EFCE"/>
            <w:hideMark/>
          </w:tcPr>
          <w:p w14:paraId="1216C7DF"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E0" w14:textId="77777777" w:rsidR="00A60DDE" w:rsidRDefault="00095506">
            <w:pPr>
              <w:pStyle w:val="P68B1DB1-Normal87"/>
              <w:spacing w:line="240" w:lineRule="auto"/>
              <w:textAlignment w:val="baseline"/>
              <w:rPr>
                <w:noProof/>
              </w:rPr>
            </w:pPr>
            <w:r>
              <w:rPr>
                <w:noProof/>
              </w:rPr>
              <w:t>Înlocuirea sursei de căldură, instalarea surselor regenerabile de energie și modernizarea termică</w:t>
            </w:r>
          </w:p>
        </w:tc>
      </w:tr>
      <w:tr w:rsidR="00A60DDE" w14:paraId="1216C7E6" w14:textId="77777777">
        <w:trPr>
          <w:trHeight w:val="300"/>
          <w:jc w:val="center"/>
        </w:trPr>
        <w:tc>
          <w:tcPr>
            <w:tcW w:w="1277" w:type="dxa"/>
            <w:shd w:val="clear" w:color="auto" w:fill="C6EFCE"/>
            <w:hideMark/>
          </w:tcPr>
          <w:p w14:paraId="1216C7E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 B12G </w:t>
            </w:r>
          </w:p>
        </w:tc>
        <w:tc>
          <w:tcPr>
            <w:tcW w:w="3402" w:type="dxa"/>
            <w:shd w:val="clear" w:color="auto" w:fill="C6EFCE"/>
            <w:hideMark/>
          </w:tcPr>
          <w:p w14:paraId="1216C7E3" w14:textId="77777777" w:rsidR="00A60DDE" w:rsidRDefault="00095506">
            <w:pPr>
              <w:pStyle w:val="P68B1DB1-Normal85"/>
              <w:spacing w:line="240" w:lineRule="auto"/>
              <w:textAlignment w:val="baseline"/>
              <w:rPr>
                <w:rFonts w:eastAsia="Times New Roman" w:cs="Times New Roman"/>
                <w:noProof/>
              </w:rPr>
            </w:pPr>
            <w:r>
              <w:rPr>
                <w:noProof/>
              </w:rPr>
              <w:t>B1.1.3 Modernizarea termică a instituțiilor de învățământ</w:t>
            </w:r>
          </w:p>
        </w:tc>
        <w:tc>
          <w:tcPr>
            <w:tcW w:w="1275" w:type="dxa"/>
            <w:shd w:val="clear" w:color="auto" w:fill="C6EFCE"/>
            <w:hideMark/>
          </w:tcPr>
          <w:p w14:paraId="1216C7E4"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E5" w14:textId="77777777" w:rsidR="00A60DDE" w:rsidRDefault="00095506">
            <w:pPr>
              <w:pStyle w:val="P68B1DB1-Normal87"/>
              <w:spacing w:line="240" w:lineRule="auto"/>
              <w:textAlignment w:val="baseline"/>
              <w:rPr>
                <w:noProof/>
              </w:rPr>
            </w:pPr>
            <w:r>
              <w:rPr>
                <w:noProof/>
              </w:rPr>
              <w:t>Numărul de clădiri ale instituțiilor de învățământ cu contracte semnate pentru instalații sau modernizări ale surselor de căldură, instalații din surse regenerabile de energie sau modernizări termice.</w:t>
            </w:r>
          </w:p>
        </w:tc>
      </w:tr>
      <w:tr w:rsidR="00A60DDE" w14:paraId="1216C7EB" w14:textId="77777777">
        <w:trPr>
          <w:trHeight w:val="300"/>
          <w:jc w:val="center"/>
        </w:trPr>
        <w:tc>
          <w:tcPr>
            <w:tcW w:w="1277" w:type="dxa"/>
            <w:shd w:val="clear" w:color="auto" w:fill="C6EFCE"/>
            <w:hideMark/>
          </w:tcPr>
          <w:p w14:paraId="1216C7E7" w14:textId="77777777" w:rsidR="00A60DDE" w:rsidRDefault="00095506">
            <w:pPr>
              <w:pStyle w:val="P68B1DB1-Normal85"/>
              <w:spacing w:line="240" w:lineRule="auto"/>
              <w:jc w:val="center"/>
              <w:rPr>
                <w:noProof/>
              </w:rPr>
            </w:pPr>
            <w:r>
              <w:rPr>
                <w:noProof/>
              </w:rPr>
              <w:t>B15G</w:t>
            </w:r>
          </w:p>
        </w:tc>
        <w:tc>
          <w:tcPr>
            <w:tcW w:w="3402" w:type="dxa"/>
            <w:shd w:val="clear" w:color="auto" w:fill="C6EFCE"/>
            <w:hideMark/>
          </w:tcPr>
          <w:p w14:paraId="1216C7E8" w14:textId="77777777" w:rsidR="00A60DDE" w:rsidRDefault="00095506">
            <w:pPr>
              <w:pStyle w:val="P68B1DB1-Normal85"/>
              <w:spacing w:line="240" w:lineRule="auto"/>
              <w:rPr>
                <w:noProof/>
              </w:rPr>
            </w:pPr>
            <w:r>
              <w:rPr>
                <w:noProof/>
              </w:rPr>
              <w:t>B1.1.4 Creșterea eficienței energetice a facilităților de activitate socială</w:t>
            </w:r>
          </w:p>
        </w:tc>
        <w:tc>
          <w:tcPr>
            <w:tcW w:w="1275" w:type="dxa"/>
            <w:shd w:val="clear" w:color="auto" w:fill="C6EFCE"/>
            <w:hideMark/>
          </w:tcPr>
          <w:p w14:paraId="1216C7E9" w14:textId="77777777" w:rsidR="00A60DDE" w:rsidRDefault="00095506">
            <w:pPr>
              <w:pStyle w:val="P68B1DB1-Normal85"/>
              <w:spacing w:line="240" w:lineRule="auto"/>
              <w:jc w:val="center"/>
              <w:rPr>
                <w:noProof/>
              </w:rPr>
            </w:pPr>
            <w:r>
              <w:rPr>
                <w:noProof/>
              </w:rPr>
              <w:t>Țintă</w:t>
            </w:r>
          </w:p>
        </w:tc>
        <w:tc>
          <w:tcPr>
            <w:tcW w:w="3686" w:type="dxa"/>
            <w:shd w:val="clear" w:color="auto" w:fill="C6EFCE"/>
            <w:hideMark/>
          </w:tcPr>
          <w:p w14:paraId="1216C7EA" w14:textId="158B88BB" w:rsidR="00A60DDE" w:rsidRDefault="00095506">
            <w:pPr>
              <w:pStyle w:val="P68B1DB1-Normal87"/>
              <w:spacing w:line="240" w:lineRule="auto"/>
              <w:rPr>
                <w:noProof/>
              </w:rPr>
            </w:pPr>
            <w:r>
              <w:rPr>
                <w:noProof/>
              </w:rPr>
              <w:t>Termo</w:t>
            </w:r>
            <w:r w:rsidR="005631E2">
              <w:rPr>
                <w:noProof/>
              </w:rPr>
              <w:t>-</w:t>
            </w:r>
            <w:r>
              <w:rPr>
                <w:noProof/>
              </w:rPr>
              <w:t xml:space="preserve">modernizarea facilităților de activitate socială </w:t>
            </w:r>
          </w:p>
        </w:tc>
      </w:tr>
      <w:tr w:rsidR="00A60DDE" w14:paraId="1216C7F0" w14:textId="77777777">
        <w:trPr>
          <w:trHeight w:val="300"/>
          <w:jc w:val="center"/>
        </w:trPr>
        <w:tc>
          <w:tcPr>
            <w:tcW w:w="1277" w:type="dxa"/>
            <w:shd w:val="clear" w:color="auto" w:fill="C6EFCE"/>
            <w:hideMark/>
          </w:tcPr>
          <w:p w14:paraId="1216C7EC"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B20G </w:t>
            </w:r>
          </w:p>
        </w:tc>
        <w:tc>
          <w:tcPr>
            <w:tcW w:w="3402" w:type="dxa"/>
            <w:shd w:val="clear" w:color="auto" w:fill="C6EFCE"/>
            <w:hideMark/>
          </w:tcPr>
          <w:p w14:paraId="1216C7ED" w14:textId="77777777" w:rsidR="00A60DDE" w:rsidRDefault="00095506">
            <w:pPr>
              <w:pStyle w:val="P68B1DB1-Normal85"/>
              <w:spacing w:line="240" w:lineRule="auto"/>
              <w:textAlignment w:val="baseline"/>
              <w:rPr>
                <w:rFonts w:eastAsia="Times New Roman" w:cs="Times New Roman"/>
                <w:noProof/>
              </w:rPr>
            </w:pPr>
            <w:r>
              <w:rPr>
                <w:noProof/>
              </w:rPr>
              <w:t>B2.1.1 Investiții în hidrogen, producția, stocarea și transportul hidrogenului</w:t>
            </w:r>
          </w:p>
        </w:tc>
        <w:tc>
          <w:tcPr>
            <w:tcW w:w="1275" w:type="dxa"/>
            <w:shd w:val="clear" w:color="auto" w:fill="C6EFCE"/>
            <w:hideMark/>
          </w:tcPr>
          <w:p w14:paraId="1216C7EE"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EF" w14:textId="6049F426" w:rsidR="00A60DDE" w:rsidRDefault="00095506">
            <w:pPr>
              <w:pStyle w:val="P68B1DB1-Normal87"/>
              <w:spacing w:line="240" w:lineRule="auto"/>
              <w:textAlignment w:val="baseline"/>
              <w:rPr>
                <w:noProof/>
              </w:rPr>
            </w:pPr>
            <w:r>
              <w:rPr>
                <w:noProof/>
              </w:rPr>
              <w:t>Proiect(e) de cercetare și inovare</w:t>
            </w:r>
          </w:p>
        </w:tc>
      </w:tr>
      <w:tr w:rsidR="00A60DDE" w14:paraId="1216C7F5" w14:textId="77777777">
        <w:trPr>
          <w:trHeight w:val="300"/>
          <w:jc w:val="center"/>
        </w:trPr>
        <w:tc>
          <w:tcPr>
            <w:tcW w:w="1277" w:type="dxa"/>
            <w:shd w:val="clear" w:color="auto" w:fill="C6EFCE"/>
            <w:hideMark/>
          </w:tcPr>
          <w:p w14:paraId="1216C7F1"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B37G </w:t>
            </w:r>
          </w:p>
        </w:tc>
        <w:tc>
          <w:tcPr>
            <w:tcW w:w="3402" w:type="dxa"/>
            <w:shd w:val="clear" w:color="auto" w:fill="C6EFCE"/>
            <w:hideMark/>
          </w:tcPr>
          <w:p w14:paraId="1216C7F2" w14:textId="77777777" w:rsidR="00A60DDE" w:rsidRDefault="00095506">
            <w:pPr>
              <w:pStyle w:val="P68B1DB1-Normal85"/>
              <w:spacing w:line="240" w:lineRule="auto"/>
              <w:textAlignment w:val="baseline"/>
              <w:rPr>
                <w:rFonts w:eastAsia="Times New Roman" w:cs="Times New Roman"/>
                <w:noProof/>
              </w:rPr>
            </w:pPr>
            <w:r>
              <w:rPr>
                <w:noProof/>
              </w:rPr>
              <w:t>B2.2.3 Construirea infrastructurii terminalelor offshore</w:t>
            </w:r>
          </w:p>
        </w:tc>
        <w:tc>
          <w:tcPr>
            <w:tcW w:w="1275" w:type="dxa"/>
            <w:shd w:val="clear" w:color="auto" w:fill="C6EFCE"/>
            <w:hideMark/>
          </w:tcPr>
          <w:p w14:paraId="1216C7F3"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7F4" w14:textId="1028484C" w:rsidR="00A60DDE" w:rsidRDefault="00095506">
            <w:pPr>
              <w:pStyle w:val="P68B1DB1-Normal87"/>
              <w:spacing w:line="240" w:lineRule="auto"/>
              <w:textAlignment w:val="baseline"/>
              <w:rPr>
                <w:noProof/>
              </w:rPr>
            </w:pPr>
            <w:r>
              <w:rPr>
                <w:noProof/>
              </w:rPr>
              <w:t>Construirea unui nou terminal pentru instalațiile eoliene offshore</w:t>
            </w:r>
          </w:p>
        </w:tc>
      </w:tr>
      <w:tr w:rsidR="00A60DDE" w14:paraId="1216C7FA" w14:textId="77777777">
        <w:trPr>
          <w:trHeight w:val="300"/>
          <w:jc w:val="center"/>
        </w:trPr>
        <w:tc>
          <w:tcPr>
            <w:tcW w:w="1277" w:type="dxa"/>
            <w:shd w:val="clear" w:color="auto" w:fill="C6EFCE"/>
            <w:hideMark/>
          </w:tcPr>
          <w:p w14:paraId="1216C7F6"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B38G </w:t>
            </w:r>
          </w:p>
        </w:tc>
        <w:tc>
          <w:tcPr>
            <w:tcW w:w="3402" w:type="dxa"/>
            <w:shd w:val="clear" w:color="auto" w:fill="C6EFCE"/>
            <w:hideMark/>
          </w:tcPr>
          <w:p w14:paraId="1216C7F7" w14:textId="77777777" w:rsidR="00A60DDE" w:rsidRDefault="00095506">
            <w:pPr>
              <w:pStyle w:val="P68B1DB1-Normal85"/>
              <w:spacing w:line="240" w:lineRule="auto"/>
              <w:textAlignment w:val="baseline"/>
              <w:rPr>
                <w:rFonts w:eastAsia="Times New Roman" w:cs="Times New Roman"/>
                <w:noProof/>
              </w:rPr>
            </w:pPr>
            <w:r>
              <w:rPr>
                <w:noProof/>
              </w:rPr>
              <w:t>B2.2.3 Construirea infrastructurii terminalelor offshore</w:t>
            </w:r>
          </w:p>
        </w:tc>
        <w:tc>
          <w:tcPr>
            <w:tcW w:w="1275" w:type="dxa"/>
            <w:shd w:val="clear" w:color="auto" w:fill="C6EFCE"/>
            <w:hideMark/>
          </w:tcPr>
          <w:p w14:paraId="1216C7F8"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F9" w14:textId="77777777" w:rsidR="00A60DDE" w:rsidRDefault="00095506">
            <w:pPr>
              <w:pStyle w:val="P68B1DB1-Normal87"/>
              <w:spacing w:line="240" w:lineRule="auto"/>
              <w:rPr>
                <w:noProof/>
              </w:rPr>
            </w:pPr>
            <w:r>
              <w:rPr>
                <w:noProof/>
              </w:rPr>
              <w:t>Lucrări de construcție pentru modernizarea/extinderea instalațiilor din porturile Łeba, Ustka și Darłowo</w:t>
            </w:r>
          </w:p>
        </w:tc>
      </w:tr>
      <w:tr w:rsidR="00A60DDE" w14:paraId="1216C7FF" w14:textId="77777777">
        <w:trPr>
          <w:trHeight w:val="405"/>
          <w:jc w:val="center"/>
        </w:trPr>
        <w:tc>
          <w:tcPr>
            <w:tcW w:w="1277" w:type="dxa"/>
            <w:shd w:val="clear" w:color="auto" w:fill="C6EFCE"/>
          </w:tcPr>
          <w:p w14:paraId="1216C7FB" w14:textId="77777777" w:rsidR="00A60DDE" w:rsidRDefault="00095506">
            <w:pPr>
              <w:pStyle w:val="P68B1DB1-Normal85"/>
              <w:spacing w:line="240" w:lineRule="auto"/>
              <w:ind w:right="30"/>
              <w:jc w:val="center"/>
              <w:textAlignment w:val="baseline"/>
              <w:rPr>
                <w:noProof/>
              </w:rPr>
            </w:pPr>
            <w:r>
              <w:rPr>
                <w:noProof/>
              </w:rPr>
              <w:t>B41aG</w:t>
            </w:r>
          </w:p>
        </w:tc>
        <w:tc>
          <w:tcPr>
            <w:tcW w:w="3402" w:type="dxa"/>
            <w:shd w:val="clear" w:color="auto" w:fill="C6EFCE"/>
          </w:tcPr>
          <w:p w14:paraId="1216C7FC" w14:textId="208ED608" w:rsidR="00A60DDE" w:rsidRDefault="00095506">
            <w:pPr>
              <w:pStyle w:val="P68B1DB1-Normal85"/>
              <w:spacing w:line="240" w:lineRule="auto"/>
              <w:textAlignment w:val="baseline"/>
              <w:rPr>
                <w:noProof/>
              </w:rPr>
            </w:pPr>
            <w:r>
              <w:rPr>
                <w:noProof/>
              </w:rPr>
              <w:t>B3.1.1 Investiții în infrastructurile de apă uzată și de alimentare cu apă</w:t>
            </w:r>
          </w:p>
        </w:tc>
        <w:tc>
          <w:tcPr>
            <w:tcW w:w="1275" w:type="dxa"/>
            <w:shd w:val="clear" w:color="auto" w:fill="C6EFCE"/>
          </w:tcPr>
          <w:p w14:paraId="1216C7FD" w14:textId="77777777" w:rsidR="00A60DDE" w:rsidRDefault="00095506">
            <w:pPr>
              <w:pStyle w:val="P68B1DB1-Normal85"/>
              <w:spacing w:line="240" w:lineRule="auto"/>
              <w:ind w:right="30"/>
              <w:jc w:val="center"/>
              <w:textAlignment w:val="baseline"/>
              <w:rPr>
                <w:noProof/>
              </w:rPr>
            </w:pPr>
            <w:r>
              <w:rPr>
                <w:noProof/>
              </w:rPr>
              <w:t>Țintă</w:t>
            </w:r>
          </w:p>
        </w:tc>
        <w:tc>
          <w:tcPr>
            <w:tcW w:w="3686" w:type="dxa"/>
            <w:shd w:val="clear" w:color="auto" w:fill="C6EFCE"/>
          </w:tcPr>
          <w:p w14:paraId="1216C7FE" w14:textId="22B5BFF5" w:rsidR="00A60DDE" w:rsidRDefault="00095506">
            <w:pPr>
              <w:pStyle w:val="P68B1DB1-Normal85"/>
              <w:spacing w:line="240" w:lineRule="auto"/>
              <w:textAlignment w:val="baseline"/>
              <w:rPr>
                <w:noProof/>
              </w:rPr>
            </w:pPr>
            <w:r>
              <w:rPr>
                <w:noProof/>
              </w:rPr>
              <w:t xml:space="preserve">Sprijin pentru apele uzate și alimentarea cu apă </w:t>
            </w:r>
          </w:p>
        </w:tc>
      </w:tr>
      <w:tr w:rsidR="00A60DDE" w14:paraId="1216C804" w14:textId="77777777">
        <w:trPr>
          <w:trHeight w:val="300"/>
          <w:jc w:val="center"/>
        </w:trPr>
        <w:tc>
          <w:tcPr>
            <w:tcW w:w="1277" w:type="dxa"/>
            <w:shd w:val="clear" w:color="auto" w:fill="C6EFCE"/>
            <w:hideMark/>
          </w:tcPr>
          <w:p w14:paraId="1216C800" w14:textId="77777777" w:rsidR="00A60DDE" w:rsidRDefault="00095506">
            <w:pPr>
              <w:pStyle w:val="P68B1DB1-Normal85"/>
              <w:spacing w:line="240" w:lineRule="auto"/>
              <w:ind w:right="30"/>
              <w:jc w:val="center"/>
              <w:textAlignment w:val="baseline"/>
              <w:rPr>
                <w:rFonts w:eastAsia="Times New Roman" w:cs="Times New Roman"/>
                <w:noProof/>
              </w:rPr>
            </w:pPr>
            <w:r>
              <w:rPr>
                <w:noProof/>
              </w:rPr>
              <w:t>B43G </w:t>
            </w:r>
          </w:p>
        </w:tc>
        <w:tc>
          <w:tcPr>
            <w:tcW w:w="3402" w:type="dxa"/>
            <w:shd w:val="clear" w:color="auto" w:fill="C6EFCE"/>
            <w:hideMark/>
          </w:tcPr>
          <w:p w14:paraId="1216C801" w14:textId="77777777" w:rsidR="00A60DDE" w:rsidRDefault="00095506">
            <w:pPr>
              <w:pStyle w:val="P68B1DB1-Normal85"/>
              <w:spacing w:line="240" w:lineRule="auto"/>
              <w:textAlignment w:val="baseline"/>
              <w:rPr>
                <w:rFonts w:eastAsia="Times New Roman" w:cs="Times New Roman"/>
                <w:noProof/>
              </w:rPr>
            </w:pPr>
            <w:r>
              <w:rPr>
                <w:noProof/>
              </w:rPr>
              <w:t>B1.1.5 Investiții în eficiența energetică a clădirilor rezidențiale cu mai multe apartamente</w:t>
            </w:r>
          </w:p>
        </w:tc>
        <w:tc>
          <w:tcPr>
            <w:tcW w:w="1275" w:type="dxa"/>
            <w:shd w:val="clear" w:color="auto" w:fill="C6EFCE"/>
            <w:hideMark/>
          </w:tcPr>
          <w:p w14:paraId="1216C80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03" w14:textId="77777777" w:rsidR="00A60DDE" w:rsidRDefault="00095506">
            <w:pPr>
              <w:pStyle w:val="P68B1DB1-Normal87"/>
              <w:spacing w:line="240" w:lineRule="auto"/>
              <w:textAlignment w:val="baseline"/>
              <w:rPr>
                <w:noProof/>
              </w:rPr>
            </w:pPr>
            <w:r>
              <w:rPr>
                <w:noProof/>
              </w:rPr>
              <w:t>T2 – Instalații de energie din surse regenerabile sau modernizări termice în clădiri cu mai multe apartamente</w:t>
            </w:r>
          </w:p>
        </w:tc>
      </w:tr>
      <w:tr w:rsidR="00A60DDE" w14:paraId="2098A0A7" w14:textId="77777777">
        <w:trPr>
          <w:trHeight w:val="300"/>
          <w:jc w:val="center"/>
        </w:trPr>
        <w:tc>
          <w:tcPr>
            <w:tcW w:w="1277" w:type="dxa"/>
            <w:shd w:val="clear" w:color="auto" w:fill="C6EFCE"/>
            <w:hideMark/>
          </w:tcPr>
          <w:p w14:paraId="1EA53CC0" w14:textId="0A7381C6" w:rsidR="00A60DDE" w:rsidRDefault="00095506">
            <w:pPr>
              <w:pStyle w:val="P68B1DB1-Normal85"/>
              <w:spacing w:line="240" w:lineRule="auto"/>
              <w:jc w:val="center"/>
              <w:rPr>
                <w:noProof/>
              </w:rPr>
            </w:pPr>
            <w:r>
              <w:rPr>
                <w:noProof/>
              </w:rPr>
              <w:t>B44G</w:t>
            </w:r>
          </w:p>
        </w:tc>
        <w:tc>
          <w:tcPr>
            <w:tcW w:w="3402" w:type="dxa"/>
            <w:shd w:val="clear" w:color="auto" w:fill="C6EFCE"/>
            <w:hideMark/>
          </w:tcPr>
          <w:p w14:paraId="2BE8EEF7" w14:textId="0BAF2AE5" w:rsidR="00A60DDE" w:rsidRDefault="00095506">
            <w:pPr>
              <w:pStyle w:val="P68B1DB1-Normal85"/>
              <w:spacing w:line="240" w:lineRule="auto"/>
              <w:rPr>
                <w:noProof/>
              </w:rPr>
            </w:pPr>
            <w:r>
              <w:rPr>
                <w:noProof/>
              </w:rPr>
              <w:t>B4.1 Reducerea dependenței de cărbune</w:t>
            </w:r>
          </w:p>
        </w:tc>
        <w:tc>
          <w:tcPr>
            <w:tcW w:w="1275" w:type="dxa"/>
            <w:shd w:val="clear" w:color="auto" w:fill="C6EFCE"/>
            <w:hideMark/>
          </w:tcPr>
          <w:p w14:paraId="034F954F" w14:textId="7FF9E872" w:rsidR="00A60DDE" w:rsidRDefault="00095506">
            <w:pPr>
              <w:pStyle w:val="P68B1DB1-Normal85"/>
              <w:spacing w:line="240" w:lineRule="auto"/>
              <w:jc w:val="center"/>
              <w:rPr>
                <w:noProof/>
              </w:rPr>
            </w:pPr>
            <w:r>
              <w:rPr>
                <w:noProof/>
              </w:rPr>
              <w:t>Etapa de referință</w:t>
            </w:r>
          </w:p>
        </w:tc>
        <w:tc>
          <w:tcPr>
            <w:tcW w:w="3686" w:type="dxa"/>
            <w:shd w:val="clear" w:color="auto" w:fill="C6EFCE"/>
            <w:hideMark/>
          </w:tcPr>
          <w:p w14:paraId="7C0C1348" w14:textId="21593089" w:rsidR="00A60DDE" w:rsidRDefault="00095506">
            <w:pPr>
              <w:pStyle w:val="P68B1DB1-Normal87"/>
              <w:spacing w:line="240" w:lineRule="auto"/>
              <w:rPr>
                <w:noProof/>
              </w:rPr>
            </w:pPr>
            <w:r>
              <w:rPr>
                <w:noProof/>
              </w:rPr>
              <w:t xml:space="preserve">Fondul de transformare a încălzirii centralizate </w:t>
            </w:r>
          </w:p>
        </w:tc>
      </w:tr>
      <w:tr w:rsidR="00A60DDE" w14:paraId="3434E7F2" w14:textId="77777777">
        <w:trPr>
          <w:trHeight w:val="300"/>
          <w:jc w:val="center"/>
        </w:trPr>
        <w:tc>
          <w:tcPr>
            <w:tcW w:w="1277" w:type="dxa"/>
            <w:shd w:val="clear" w:color="auto" w:fill="C6EFCE"/>
            <w:hideMark/>
          </w:tcPr>
          <w:p w14:paraId="35B3B561" w14:textId="7D5B0EF5" w:rsidR="00A60DDE" w:rsidRDefault="00095506">
            <w:pPr>
              <w:pStyle w:val="P68B1DB1-Normal85"/>
              <w:spacing w:line="240" w:lineRule="auto"/>
              <w:jc w:val="center"/>
              <w:rPr>
                <w:noProof/>
              </w:rPr>
            </w:pPr>
            <w:r>
              <w:rPr>
                <w:noProof/>
              </w:rPr>
              <w:t>B45G</w:t>
            </w:r>
          </w:p>
        </w:tc>
        <w:tc>
          <w:tcPr>
            <w:tcW w:w="3402" w:type="dxa"/>
            <w:shd w:val="clear" w:color="auto" w:fill="C6EFCE"/>
            <w:hideMark/>
          </w:tcPr>
          <w:p w14:paraId="549D6423" w14:textId="3E7AE960" w:rsidR="00A60DDE" w:rsidRDefault="00095506">
            <w:pPr>
              <w:pStyle w:val="P68B1DB1-Normal85"/>
              <w:spacing w:line="240" w:lineRule="auto"/>
              <w:rPr>
                <w:noProof/>
              </w:rPr>
            </w:pPr>
            <w:r>
              <w:rPr>
                <w:noProof/>
              </w:rPr>
              <w:t xml:space="preserve">B4.1 Reducerea dependenței de cărbune </w:t>
            </w:r>
          </w:p>
        </w:tc>
        <w:tc>
          <w:tcPr>
            <w:tcW w:w="1275" w:type="dxa"/>
            <w:shd w:val="clear" w:color="auto" w:fill="C6EFCE"/>
            <w:hideMark/>
          </w:tcPr>
          <w:p w14:paraId="4290565B" w14:textId="6A688F8E" w:rsidR="00A60DDE" w:rsidRDefault="00095506">
            <w:pPr>
              <w:pStyle w:val="P68B1DB1-Normal85"/>
              <w:spacing w:line="240" w:lineRule="auto"/>
              <w:jc w:val="center"/>
              <w:rPr>
                <w:noProof/>
              </w:rPr>
            </w:pPr>
            <w:r>
              <w:rPr>
                <w:noProof/>
              </w:rPr>
              <w:t>Etapa de referință</w:t>
            </w:r>
          </w:p>
        </w:tc>
        <w:tc>
          <w:tcPr>
            <w:tcW w:w="3686" w:type="dxa"/>
            <w:shd w:val="clear" w:color="auto" w:fill="C6EFCE"/>
            <w:hideMark/>
          </w:tcPr>
          <w:p w14:paraId="2A0CF02B" w14:textId="6D07AA2D" w:rsidR="00A60DDE" w:rsidRDefault="00095506">
            <w:pPr>
              <w:pStyle w:val="P68B1DB1-Normal87"/>
              <w:spacing w:line="240" w:lineRule="auto"/>
              <w:rPr>
                <w:noProof/>
              </w:rPr>
            </w:pPr>
            <w:r>
              <w:rPr>
                <w:noProof/>
              </w:rPr>
              <w:t>Intrarea în vigoare a modificărilor la Legea privind funcționarea industriei miniere a cărbunelui superior</w:t>
            </w:r>
          </w:p>
        </w:tc>
      </w:tr>
      <w:tr w:rsidR="00A60DDE" w14:paraId="1216C809" w14:textId="77777777">
        <w:trPr>
          <w:trHeight w:val="300"/>
          <w:jc w:val="center"/>
        </w:trPr>
        <w:tc>
          <w:tcPr>
            <w:tcW w:w="1277" w:type="dxa"/>
            <w:shd w:val="clear" w:color="auto" w:fill="C6EFCE"/>
            <w:hideMark/>
          </w:tcPr>
          <w:p w14:paraId="1216C805"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C6G </w:t>
            </w:r>
          </w:p>
        </w:tc>
        <w:tc>
          <w:tcPr>
            <w:tcW w:w="3402" w:type="dxa"/>
            <w:shd w:val="clear" w:color="auto" w:fill="C6EFCE"/>
            <w:hideMark/>
          </w:tcPr>
          <w:p w14:paraId="1216C806" w14:textId="77777777" w:rsidR="00A60DDE" w:rsidRDefault="00095506">
            <w:pPr>
              <w:pStyle w:val="P68B1DB1-Normal85"/>
              <w:spacing w:line="240" w:lineRule="auto"/>
              <w:textAlignment w:val="baseline"/>
              <w:rPr>
                <w:rFonts w:eastAsia="Times New Roman" w:cs="Times New Roman"/>
                <w:noProof/>
              </w:rPr>
            </w:pPr>
            <w:r>
              <w:rPr>
                <w:noProof/>
              </w:rPr>
              <w:t>C1.1.1 Accesul la rețeaua în bandă largă</w:t>
            </w:r>
          </w:p>
        </w:tc>
        <w:tc>
          <w:tcPr>
            <w:tcW w:w="1275" w:type="dxa"/>
            <w:shd w:val="clear" w:color="auto" w:fill="C6EFCE"/>
            <w:hideMark/>
          </w:tcPr>
          <w:p w14:paraId="1216C807"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08" w14:textId="2E27DC74" w:rsidR="00A60DDE" w:rsidRDefault="00095506">
            <w:pPr>
              <w:pStyle w:val="P68B1DB1-Normal87"/>
              <w:spacing w:line="240" w:lineRule="auto"/>
              <w:textAlignment w:val="baseline"/>
              <w:rPr>
                <w:noProof/>
              </w:rPr>
            </w:pPr>
            <w:r>
              <w:rPr>
                <w:noProof/>
              </w:rPr>
              <w:t>Unități rezidențiale cu acces la bandă largă de 100 Mb/s</w:t>
            </w:r>
          </w:p>
        </w:tc>
      </w:tr>
      <w:tr w:rsidR="00A60DDE" w14:paraId="1216C813" w14:textId="77777777">
        <w:trPr>
          <w:trHeight w:val="300"/>
          <w:jc w:val="center"/>
        </w:trPr>
        <w:tc>
          <w:tcPr>
            <w:tcW w:w="1277" w:type="dxa"/>
            <w:shd w:val="clear" w:color="auto" w:fill="C6EFCE"/>
            <w:hideMark/>
          </w:tcPr>
          <w:p w14:paraId="1216C80F"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C12G </w:t>
            </w:r>
          </w:p>
        </w:tc>
        <w:tc>
          <w:tcPr>
            <w:tcW w:w="3402" w:type="dxa"/>
            <w:shd w:val="clear" w:color="auto" w:fill="C6EFCE"/>
            <w:hideMark/>
          </w:tcPr>
          <w:p w14:paraId="1216C810" w14:textId="77777777" w:rsidR="00A60DDE" w:rsidRDefault="00095506">
            <w:pPr>
              <w:pStyle w:val="P68B1DB1-Normal85"/>
              <w:spacing w:line="240" w:lineRule="auto"/>
              <w:textAlignment w:val="baseline"/>
              <w:rPr>
                <w:rFonts w:eastAsia="Times New Roman" w:cs="Times New Roman"/>
                <w:noProof/>
              </w:rPr>
            </w:pPr>
            <w:r>
              <w:rPr>
                <w:noProof/>
              </w:rPr>
              <w:t>C2.1.1 Servicii electronice publice și soluții informatice pentru administrația publică</w:t>
            </w:r>
          </w:p>
        </w:tc>
        <w:tc>
          <w:tcPr>
            <w:tcW w:w="1275" w:type="dxa"/>
            <w:shd w:val="clear" w:color="auto" w:fill="C6EFCE"/>
            <w:hideMark/>
          </w:tcPr>
          <w:p w14:paraId="1216C811"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12" w14:textId="77777777" w:rsidR="00A60DDE" w:rsidRDefault="00095506">
            <w:pPr>
              <w:pStyle w:val="P68B1DB1-Normal87"/>
              <w:spacing w:line="240" w:lineRule="auto"/>
              <w:rPr>
                <w:noProof/>
              </w:rPr>
            </w:pPr>
            <w:r>
              <w:rPr>
                <w:noProof/>
              </w:rPr>
              <w:t>Servicii electronice publice</w:t>
            </w:r>
          </w:p>
        </w:tc>
      </w:tr>
      <w:tr w:rsidR="00A60DDE" w14:paraId="1216C818" w14:textId="77777777">
        <w:trPr>
          <w:trHeight w:val="300"/>
          <w:jc w:val="center"/>
        </w:trPr>
        <w:tc>
          <w:tcPr>
            <w:tcW w:w="1277" w:type="dxa"/>
            <w:shd w:val="clear" w:color="auto" w:fill="C6EFCE"/>
            <w:hideMark/>
          </w:tcPr>
          <w:p w14:paraId="1216C814"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C13aG </w:t>
            </w:r>
          </w:p>
        </w:tc>
        <w:tc>
          <w:tcPr>
            <w:tcW w:w="3402" w:type="dxa"/>
            <w:shd w:val="clear" w:color="auto" w:fill="C6EFCE"/>
            <w:hideMark/>
          </w:tcPr>
          <w:p w14:paraId="1216C815" w14:textId="77777777" w:rsidR="00A60DDE" w:rsidRDefault="00095506">
            <w:pPr>
              <w:pStyle w:val="P68B1DB1-Normal85"/>
              <w:spacing w:line="240" w:lineRule="auto"/>
              <w:textAlignment w:val="baseline"/>
              <w:rPr>
                <w:rFonts w:eastAsia="Times New Roman" w:cs="Times New Roman"/>
                <w:noProof/>
              </w:rPr>
            </w:pPr>
            <w:r>
              <w:rPr>
                <w:noProof/>
              </w:rPr>
              <w:t>C2.1.1 Servicii electronice publice și soluții informatice pentru administrația publică</w:t>
            </w:r>
          </w:p>
        </w:tc>
        <w:tc>
          <w:tcPr>
            <w:tcW w:w="1275" w:type="dxa"/>
            <w:shd w:val="clear" w:color="auto" w:fill="C6EFCE"/>
            <w:hideMark/>
          </w:tcPr>
          <w:p w14:paraId="1216C816"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17" w14:textId="77777777" w:rsidR="00A60DDE" w:rsidRDefault="00095506">
            <w:pPr>
              <w:pStyle w:val="P68B1DB1-Normal87"/>
              <w:spacing w:line="240" w:lineRule="auto"/>
              <w:textAlignment w:val="baseline"/>
              <w:rPr>
                <w:noProof/>
              </w:rPr>
            </w:pPr>
            <w:r>
              <w:rPr>
                <w:noProof/>
              </w:rPr>
              <w:t>Sisteme informatice publice</w:t>
            </w:r>
          </w:p>
        </w:tc>
      </w:tr>
      <w:tr w:rsidR="00A60DDE" w14:paraId="1216C81D" w14:textId="77777777">
        <w:trPr>
          <w:trHeight w:val="300"/>
          <w:jc w:val="center"/>
        </w:trPr>
        <w:tc>
          <w:tcPr>
            <w:tcW w:w="1277" w:type="dxa"/>
            <w:shd w:val="clear" w:color="auto" w:fill="C6EFCE"/>
            <w:hideMark/>
          </w:tcPr>
          <w:p w14:paraId="1216C819" w14:textId="77777777" w:rsidR="00A60DDE" w:rsidRDefault="00095506">
            <w:pPr>
              <w:pStyle w:val="P68B1DB1-Normal85"/>
              <w:spacing w:line="240" w:lineRule="auto"/>
              <w:jc w:val="center"/>
              <w:rPr>
                <w:noProof/>
              </w:rPr>
            </w:pPr>
            <w:r>
              <w:rPr>
                <w:noProof/>
              </w:rPr>
              <w:t>C13bG</w:t>
            </w:r>
          </w:p>
        </w:tc>
        <w:tc>
          <w:tcPr>
            <w:tcW w:w="3402" w:type="dxa"/>
            <w:shd w:val="clear" w:color="auto" w:fill="C6EFCE"/>
            <w:hideMark/>
          </w:tcPr>
          <w:p w14:paraId="1216C81A" w14:textId="77777777" w:rsidR="00A60DDE" w:rsidRDefault="00095506">
            <w:pPr>
              <w:pStyle w:val="P68B1DB1-Normal85"/>
              <w:spacing w:line="240" w:lineRule="auto"/>
              <w:rPr>
                <w:noProof/>
              </w:rPr>
            </w:pPr>
            <w:r>
              <w:rPr>
                <w:noProof/>
              </w:rPr>
              <w:t>C2.1.1 Servicii electronice publice și soluții informatice pentru administrația publică</w:t>
            </w:r>
          </w:p>
        </w:tc>
        <w:tc>
          <w:tcPr>
            <w:tcW w:w="1275" w:type="dxa"/>
            <w:shd w:val="clear" w:color="auto" w:fill="C6EFCE"/>
            <w:hideMark/>
          </w:tcPr>
          <w:p w14:paraId="1216C81B" w14:textId="77777777" w:rsidR="00A60DDE" w:rsidRDefault="00095506">
            <w:pPr>
              <w:pStyle w:val="P68B1DB1-Normal85"/>
              <w:spacing w:line="240" w:lineRule="auto"/>
              <w:jc w:val="center"/>
              <w:rPr>
                <w:noProof/>
              </w:rPr>
            </w:pPr>
            <w:r>
              <w:rPr>
                <w:noProof/>
              </w:rPr>
              <w:t>Etapa de referință</w:t>
            </w:r>
          </w:p>
        </w:tc>
        <w:tc>
          <w:tcPr>
            <w:tcW w:w="3686" w:type="dxa"/>
            <w:shd w:val="clear" w:color="auto" w:fill="C6EFCE"/>
            <w:hideMark/>
          </w:tcPr>
          <w:p w14:paraId="1216C81C" w14:textId="77777777" w:rsidR="00A60DDE" w:rsidRDefault="00095506">
            <w:pPr>
              <w:pStyle w:val="P68B1DB1-Normal87"/>
              <w:spacing w:line="240" w:lineRule="auto"/>
              <w:rPr>
                <w:noProof/>
              </w:rPr>
            </w:pPr>
            <w:r>
              <w:rPr>
                <w:noProof/>
              </w:rPr>
              <w:t>Digitalizarea administrației publice</w:t>
            </w:r>
          </w:p>
        </w:tc>
      </w:tr>
      <w:tr w:rsidR="00A60DDE" w14:paraId="1216C822" w14:textId="77777777">
        <w:trPr>
          <w:trHeight w:val="300"/>
          <w:jc w:val="center"/>
        </w:trPr>
        <w:tc>
          <w:tcPr>
            <w:tcW w:w="1277" w:type="dxa"/>
            <w:shd w:val="clear" w:color="auto" w:fill="C6EFCE"/>
            <w:hideMark/>
          </w:tcPr>
          <w:p w14:paraId="1216C81E" w14:textId="77777777" w:rsidR="00A60DDE" w:rsidRDefault="00095506">
            <w:pPr>
              <w:pStyle w:val="P68B1DB1-Normal85"/>
              <w:spacing w:line="240" w:lineRule="auto"/>
              <w:ind w:right="30"/>
              <w:jc w:val="center"/>
              <w:textAlignment w:val="baseline"/>
              <w:rPr>
                <w:rFonts w:eastAsia="Times New Roman" w:cs="Times New Roman"/>
                <w:noProof/>
              </w:rPr>
            </w:pPr>
            <w:r>
              <w:rPr>
                <w:noProof/>
              </w:rPr>
              <w:t>C13cG </w:t>
            </w:r>
          </w:p>
        </w:tc>
        <w:tc>
          <w:tcPr>
            <w:tcW w:w="3402" w:type="dxa"/>
            <w:shd w:val="clear" w:color="auto" w:fill="C6EFCE"/>
            <w:hideMark/>
          </w:tcPr>
          <w:p w14:paraId="1216C81F" w14:textId="77777777" w:rsidR="00A60DDE" w:rsidRDefault="00095506">
            <w:pPr>
              <w:pStyle w:val="P68B1DB1-Normal85"/>
              <w:spacing w:line="240" w:lineRule="auto"/>
              <w:textAlignment w:val="baseline"/>
              <w:rPr>
                <w:rFonts w:eastAsia="Times New Roman" w:cs="Times New Roman"/>
                <w:noProof/>
              </w:rPr>
            </w:pPr>
            <w:r>
              <w:rPr>
                <w:noProof/>
              </w:rPr>
              <w:t>C2.1.1 Servicii electronice publice și soluții informatice pentru administrația publică</w:t>
            </w:r>
          </w:p>
        </w:tc>
        <w:tc>
          <w:tcPr>
            <w:tcW w:w="1275" w:type="dxa"/>
            <w:shd w:val="clear" w:color="auto" w:fill="C6EFCE"/>
            <w:hideMark/>
          </w:tcPr>
          <w:p w14:paraId="1216C820"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21" w14:textId="77777777" w:rsidR="00A60DDE" w:rsidRDefault="00095506">
            <w:pPr>
              <w:pStyle w:val="P68B1DB1-Normal87"/>
              <w:spacing w:line="240" w:lineRule="auto"/>
              <w:textAlignment w:val="baseline"/>
              <w:rPr>
                <w:noProof/>
              </w:rPr>
            </w:pPr>
            <w:r>
              <w:rPr>
                <w:noProof/>
              </w:rPr>
              <w:t>Lansarea sistemului național de facturi electronice</w:t>
            </w:r>
          </w:p>
        </w:tc>
      </w:tr>
      <w:tr w:rsidR="00A60DDE" w14:paraId="1216C827" w14:textId="77777777">
        <w:trPr>
          <w:trHeight w:val="300"/>
          <w:jc w:val="center"/>
        </w:trPr>
        <w:tc>
          <w:tcPr>
            <w:tcW w:w="1277" w:type="dxa"/>
            <w:shd w:val="clear" w:color="auto" w:fill="C6EFCE"/>
            <w:hideMark/>
          </w:tcPr>
          <w:p w14:paraId="1216C823" w14:textId="77777777" w:rsidR="00A60DDE" w:rsidRDefault="00095506">
            <w:pPr>
              <w:pStyle w:val="P68B1DB1-Normal85"/>
              <w:spacing w:line="240" w:lineRule="auto"/>
              <w:ind w:right="30"/>
              <w:jc w:val="center"/>
              <w:textAlignment w:val="baseline"/>
              <w:rPr>
                <w:rFonts w:eastAsia="Times New Roman" w:cs="Times New Roman"/>
                <w:noProof/>
              </w:rPr>
            </w:pPr>
            <w:r>
              <w:rPr>
                <w:noProof/>
              </w:rPr>
              <w:t>C13dG </w:t>
            </w:r>
          </w:p>
        </w:tc>
        <w:tc>
          <w:tcPr>
            <w:tcW w:w="3402" w:type="dxa"/>
            <w:shd w:val="clear" w:color="auto" w:fill="C6EFCE"/>
            <w:hideMark/>
          </w:tcPr>
          <w:p w14:paraId="1216C824" w14:textId="77777777" w:rsidR="00A60DDE" w:rsidRDefault="00095506">
            <w:pPr>
              <w:pStyle w:val="P68B1DB1-Normal85"/>
              <w:textAlignment w:val="baseline"/>
              <w:rPr>
                <w:noProof/>
              </w:rPr>
            </w:pPr>
            <w:r>
              <w:rPr>
                <w:noProof/>
              </w:rPr>
              <w:t xml:space="preserve">C2.1.1 Servicii electronice publice și soluții informatice pentru administrația publică </w:t>
            </w:r>
          </w:p>
        </w:tc>
        <w:tc>
          <w:tcPr>
            <w:tcW w:w="1275" w:type="dxa"/>
            <w:shd w:val="clear" w:color="auto" w:fill="C6EFCE"/>
            <w:hideMark/>
          </w:tcPr>
          <w:p w14:paraId="1216C825"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 </w:t>
            </w:r>
          </w:p>
        </w:tc>
        <w:tc>
          <w:tcPr>
            <w:tcW w:w="3686" w:type="dxa"/>
            <w:shd w:val="clear" w:color="auto" w:fill="C6EFCE"/>
            <w:hideMark/>
          </w:tcPr>
          <w:p w14:paraId="1216C826" w14:textId="77777777" w:rsidR="00A60DDE" w:rsidRDefault="00095506">
            <w:pPr>
              <w:pStyle w:val="P68B1DB1-Normal87"/>
              <w:spacing w:line="240" w:lineRule="auto"/>
              <w:textAlignment w:val="baseline"/>
              <w:rPr>
                <w:noProof/>
              </w:rPr>
            </w:pPr>
            <w:r>
              <w:rPr>
                <w:noProof/>
              </w:rPr>
              <w:t>Lansarea de servicii electronice noi sau modernizate în cadrul e-Tax Office</w:t>
            </w:r>
          </w:p>
        </w:tc>
      </w:tr>
      <w:tr w:rsidR="00A60DDE" w14:paraId="1216C82C" w14:textId="77777777">
        <w:trPr>
          <w:trHeight w:val="300"/>
          <w:jc w:val="center"/>
        </w:trPr>
        <w:tc>
          <w:tcPr>
            <w:tcW w:w="1277" w:type="dxa"/>
            <w:shd w:val="clear" w:color="auto" w:fill="C6EFCE"/>
            <w:hideMark/>
          </w:tcPr>
          <w:p w14:paraId="1216C828"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C20G </w:t>
            </w:r>
          </w:p>
        </w:tc>
        <w:tc>
          <w:tcPr>
            <w:tcW w:w="3402" w:type="dxa"/>
            <w:shd w:val="clear" w:color="auto" w:fill="C6EFCE"/>
            <w:hideMark/>
          </w:tcPr>
          <w:p w14:paraId="1216C829" w14:textId="77777777" w:rsidR="00A60DDE" w:rsidRDefault="00095506">
            <w:pPr>
              <w:pStyle w:val="P68B1DB1-Normal85"/>
              <w:spacing w:line="240" w:lineRule="auto"/>
              <w:textAlignment w:val="baseline"/>
              <w:rPr>
                <w:rFonts w:eastAsia="Times New Roman" w:cs="Times New Roman"/>
                <w:noProof/>
              </w:rPr>
            </w:pPr>
            <w:r>
              <w:rPr>
                <w:noProof/>
              </w:rPr>
              <w:t>C2.1.3 Competențe electronice</w:t>
            </w:r>
          </w:p>
        </w:tc>
        <w:tc>
          <w:tcPr>
            <w:tcW w:w="1275" w:type="dxa"/>
            <w:shd w:val="clear" w:color="auto" w:fill="C6EFCE"/>
            <w:hideMark/>
          </w:tcPr>
          <w:p w14:paraId="1216C82A"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2B" w14:textId="77777777" w:rsidR="00A60DDE" w:rsidRDefault="00095506">
            <w:pPr>
              <w:pStyle w:val="P68B1DB1-Normal87"/>
              <w:spacing w:line="240" w:lineRule="auto"/>
              <w:textAlignment w:val="baseline"/>
              <w:rPr>
                <w:noProof/>
              </w:rPr>
            </w:pPr>
            <w:r>
              <w:rPr>
                <w:noProof/>
              </w:rPr>
              <w:t>Cursuri de formare privind competențele digitale</w:t>
            </w:r>
          </w:p>
        </w:tc>
      </w:tr>
      <w:tr w:rsidR="00A60DDE" w14:paraId="1216C831" w14:textId="77777777">
        <w:trPr>
          <w:trHeight w:val="300"/>
          <w:jc w:val="center"/>
        </w:trPr>
        <w:tc>
          <w:tcPr>
            <w:tcW w:w="1277" w:type="dxa"/>
            <w:shd w:val="clear" w:color="auto" w:fill="C6EFCE"/>
            <w:hideMark/>
          </w:tcPr>
          <w:p w14:paraId="1216C82D"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C23G </w:t>
            </w:r>
          </w:p>
        </w:tc>
        <w:tc>
          <w:tcPr>
            <w:tcW w:w="3402" w:type="dxa"/>
            <w:shd w:val="clear" w:color="auto" w:fill="C6EFCE"/>
            <w:hideMark/>
          </w:tcPr>
          <w:p w14:paraId="1216C82E" w14:textId="77777777" w:rsidR="00A60DDE" w:rsidRDefault="00095506">
            <w:pPr>
              <w:pStyle w:val="P68B1DB1-Normal85"/>
              <w:spacing w:line="240" w:lineRule="auto"/>
              <w:textAlignment w:val="baseline"/>
              <w:rPr>
                <w:rFonts w:eastAsia="Times New Roman" w:cs="Times New Roman"/>
                <w:noProof/>
              </w:rPr>
            </w:pPr>
            <w:r>
              <w:rPr>
                <w:noProof/>
              </w:rPr>
              <w:t>C3.1.1 Securitate cibernetică – CyberPL, infrastructura de prelucrare a datelor și optimizarea infrastructurii serviciilor de aplicare a legii</w:t>
            </w:r>
          </w:p>
        </w:tc>
        <w:tc>
          <w:tcPr>
            <w:tcW w:w="1275" w:type="dxa"/>
            <w:shd w:val="clear" w:color="auto" w:fill="C6EFCE"/>
            <w:hideMark/>
          </w:tcPr>
          <w:p w14:paraId="1216C82F"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30" w14:textId="77777777" w:rsidR="00A60DDE" w:rsidRDefault="00095506">
            <w:pPr>
              <w:pStyle w:val="P68B1DB1-Normal87"/>
              <w:spacing w:line="240" w:lineRule="auto"/>
              <w:textAlignment w:val="baseline"/>
              <w:rPr>
                <w:noProof/>
              </w:rPr>
            </w:pPr>
            <w:r>
              <w:rPr>
                <w:noProof/>
              </w:rPr>
              <w:t>Acțiuni în domeniul securității cibernetice</w:t>
            </w:r>
          </w:p>
        </w:tc>
      </w:tr>
      <w:tr w:rsidR="00A60DDE" w14:paraId="1216C836" w14:textId="77777777">
        <w:trPr>
          <w:trHeight w:val="300"/>
          <w:jc w:val="center"/>
        </w:trPr>
        <w:tc>
          <w:tcPr>
            <w:tcW w:w="1277" w:type="dxa"/>
            <w:shd w:val="clear" w:color="auto" w:fill="C6EFCE"/>
            <w:hideMark/>
          </w:tcPr>
          <w:p w14:paraId="1216C83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C25G </w:t>
            </w:r>
          </w:p>
        </w:tc>
        <w:tc>
          <w:tcPr>
            <w:tcW w:w="3402" w:type="dxa"/>
            <w:shd w:val="clear" w:color="auto" w:fill="C6EFCE"/>
            <w:hideMark/>
          </w:tcPr>
          <w:p w14:paraId="1216C833" w14:textId="77777777" w:rsidR="00A60DDE" w:rsidRDefault="00095506">
            <w:pPr>
              <w:pStyle w:val="P68B1DB1-Normal85"/>
              <w:spacing w:line="240" w:lineRule="auto"/>
              <w:textAlignment w:val="baseline"/>
              <w:rPr>
                <w:rFonts w:eastAsia="Times New Roman" w:cs="Times New Roman"/>
                <w:noProof/>
              </w:rPr>
            </w:pPr>
            <w:r>
              <w:rPr>
                <w:noProof/>
              </w:rPr>
              <w:t>C3.1.1 Securitate cibernetică – CyberPL, infrastructura de prelucrare a datelor și optimizarea infrastructurii serviciilor de aplicare a legii</w:t>
            </w:r>
          </w:p>
        </w:tc>
        <w:tc>
          <w:tcPr>
            <w:tcW w:w="1275" w:type="dxa"/>
            <w:shd w:val="clear" w:color="auto" w:fill="C6EFCE"/>
            <w:hideMark/>
          </w:tcPr>
          <w:p w14:paraId="1216C834"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35" w14:textId="77777777" w:rsidR="00A60DDE" w:rsidRDefault="00095506">
            <w:pPr>
              <w:pStyle w:val="P68B1DB1-Normal87"/>
              <w:spacing w:line="240" w:lineRule="auto"/>
              <w:textAlignment w:val="baseline"/>
              <w:rPr>
                <w:noProof/>
              </w:rPr>
            </w:pPr>
            <w:r>
              <w:rPr>
                <w:noProof/>
              </w:rPr>
              <w:t>Construirea unei clădiri a unui centru de date</w:t>
            </w:r>
          </w:p>
        </w:tc>
      </w:tr>
      <w:tr w:rsidR="00A60DDE" w14:paraId="1216C83B" w14:textId="77777777">
        <w:trPr>
          <w:trHeight w:val="300"/>
          <w:jc w:val="center"/>
        </w:trPr>
        <w:tc>
          <w:tcPr>
            <w:tcW w:w="1277" w:type="dxa"/>
            <w:shd w:val="clear" w:color="auto" w:fill="C6EFCE"/>
            <w:hideMark/>
          </w:tcPr>
          <w:p w14:paraId="1216C837"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D6G </w:t>
            </w:r>
          </w:p>
        </w:tc>
        <w:tc>
          <w:tcPr>
            <w:tcW w:w="3402" w:type="dxa"/>
            <w:shd w:val="clear" w:color="auto" w:fill="C6EFCE"/>
            <w:hideMark/>
          </w:tcPr>
          <w:p w14:paraId="1216C838" w14:textId="77777777" w:rsidR="00A60DDE" w:rsidRDefault="00095506">
            <w:pPr>
              <w:pStyle w:val="P68B1DB1-Normal85"/>
              <w:spacing w:line="240" w:lineRule="auto"/>
              <w:textAlignment w:val="baseline"/>
              <w:rPr>
                <w:rFonts w:eastAsia="Times New Roman" w:cs="Times New Roman"/>
                <w:noProof/>
              </w:rPr>
            </w:pPr>
            <w:r>
              <w:rPr>
                <w:noProof/>
              </w:rPr>
              <w:t>D1.1 Îmbunătățirea eficacității, accesibilității și calității serviciilor de sănătate</w:t>
            </w:r>
          </w:p>
        </w:tc>
        <w:tc>
          <w:tcPr>
            <w:tcW w:w="1275" w:type="dxa"/>
            <w:shd w:val="clear" w:color="auto" w:fill="C6EFCE"/>
            <w:hideMark/>
          </w:tcPr>
          <w:p w14:paraId="1216C839"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3A" w14:textId="77777777" w:rsidR="00A60DDE" w:rsidRDefault="00095506">
            <w:pPr>
              <w:pStyle w:val="P68B1DB1-Normal87"/>
              <w:spacing w:line="240" w:lineRule="auto"/>
              <w:textAlignment w:val="baseline"/>
              <w:rPr>
                <w:noProof/>
              </w:rPr>
            </w:pPr>
            <w:r>
              <w:rPr>
                <w:noProof/>
              </w:rPr>
              <w:t>Intrarea în vigoare a actului (actelor) juridic(e) care permite (permit) furnizarea de servicii de e-sănătate</w:t>
            </w:r>
          </w:p>
        </w:tc>
      </w:tr>
      <w:tr w:rsidR="00A60DDE" w14:paraId="1216C840" w14:textId="77777777">
        <w:trPr>
          <w:trHeight w:val="300"/>
          <w:jc w:val="center"/>
        </w:trPr>
        <w:tc>
          <w:tcPr>
            <w:tcW w:w="1277" w:type="dxa"/>
            <w:shd w:val="clear" w:color="auto" w:fill="C6EFCE"/>
            <w:hideMark/>
          </w:tcPr>
          <w:p w14:paraId="1216C83C"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D13G </w:t>
            </w:r>
          </w:p>
        </w:tc>
        <w:tc>
          <w:tcPr>
            <w:tcW w:w="3402" w:type="dxa"/>
            <w:shd w:val="clear" w:color="auto" w:fill="C6EFCE"/>
            <w:hideMark/>
          </w:tcPr>
          <w:p w14:paraId="1216C83D" w14:textId="77777777" w:rsidR="00A60DDE" w:rsidRDefault="00095506">
            <w:pPr>
              <w:pStyle w:val="P68B1DB1-Normal85"/>
              <w:spacing w:line="240" w:lineRule="auto"/>
              <w:textAlignment w:val="baseline"/>
              <w:rPr>
                <w:rFonts w:eastAsia="Times New Roman" w:cs="Times New Roman"/>
                <w:noProof/>
              </w:rPr>
            </w:pPr>
            <w:r>
              <w:rPr>
                <w:noProof/>
              </w:rPr>
              <w:t>D1.1.1 Modernizarea centrelor de îngrijire foarte specializate și a altor furnizori de servicii medicale</w:t>
            </w:r>
          </w:p>
        </w:tc>
        <w:tc>
          <w:tcPr>
            <w:tcW w:w="1275" w:type="dxa"/>
            <w:shd w:val="clear" w:color="auto" w:fill="C6EFCE"/>
            <w:hideMark/>
          </w:tcPr>
          <w:p w14:paraId="1216C83E"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3F" w14:textId="45252F95" w:rsidR="00A60DDE" w:rsidRDefault="00095506">
            <w:pPr>
              <w:pStyle w:val="P68B1DB1-Normal87"/>
              <w:spacing w:line="240" w:lineRule="auto"/>
              <w:rPr>
                <w:noProof/>
              </w:rPr>
            </w:pPr>
            <w:r>
              <w:rPr>
                <w:noProof/>
              </w:rPr>
              <w:t>Spitale ale Rețelei Naționale Oncologice cu investiții în construcții sau reconstrucție sau echipamente medicale achiziționate</w:t>
            </w:r>
          </w:p>
        </w:tc>
      </w:tr>
      <w:tr w:rsidR="00A60DDE" w14:paraId="1216C845" w14:textId="77777777">
        <w:trPr>
          <w:trHeight w:val="300"/>
          <w:jc w:val="center"/>
        </w:trPr>
        <w:tc>
          <w:tcPr>
            <w:tcW w:w="1277" w:type="dxa"/>
            <w:shd w:val="clear" w:color="auto" w:fill="C6EFCE"/>
            <w:hideMark/>
          </w:tcPr>
          <w:p w14:paraId="1216C841"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D14G </w:t>
            </w:r>
          </w:p>
        </w:tc>
        <w:tc>
          <w:tcPr>
            <w:tcW w:w="3402" w:type="dxa"/>
            <w:shd w:val="clear" w:color="auto" w:fill="C6EFCE"/>
            <w:hideMark/>
          </w:tcPr>
          <w:p w14:paraId="1216C842" w14:textId="77777777" w:rsidR="00A60DDE" w:rsidRDefault="00095506">
            <w:pPr>
              <w:pStyle w:val="P68B1DB1-Normal85"/>
              <w:spacing w:line="240" w:lineRule="auto"/>
              <w:textAlignment w:val="baseline"/>
              <w:rPr>
                <w:rFonts w:eastAsia="Times New Roman" w:cs="Times New Roman"/>
                <w:noProof/>
              </w:rPr>
            </w:pPr>
            <w:r>
              <w:rPr>
                <w:noProof/>
              </w:rPr>
              <w:t>D1.1.1 Modernizarea centrelor de îngrijire foarte specializate și a altor furnizori de servicii medicale</w:t>
            </w:r>
          </w:p>
        </w:tc>
        <w:tc>
          <w:tcPr>
            <w:tcW w:w="1275" w:type="dxa"/>
            <w:shd w:val="clear" w:color="auto" w:fill="C6EFCE"/>
            <w:hideMark/>
          </w:tcPr>
          <w:p w14:paraId="1216C843"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44" w14:textId="3E9F4C22" w:rsidR="00A60DDE" w:rsidRDefault="00095506">
            <w:pPr>
              <w:pStyle w:val="P68B1DB1-Normal87"/>
              <w:spacing w:line="240" w:lineRule="auto"/>
              <w:rPr>
                <w:noProof/>
              </w:rPr>
            </w:pPr>
            <w:r>
              <w:rPr>
                <w:noProof/>
              </w:rPr>
              <w:t>Spitale ale Rețelei Naționale Cardiologice cu investiții în construcții sau reconstrucție sau echipamente medicale achiziționate</w:t>
            </w:r>
          </w:p>
        </w:tc>
      </w:tr>
      <w:tr w:rsidR="00A60DDE" w14:paraId="1216C84A" w14:textId="77777777">
        <w:trPr>
          <w:trHeight w:val="300"/>
          <w:jc w:val="center"/>
        </w:trPr>
        <w:tc>
          <w:tcPr>
            <w:tcW w:w="1277" w:type="dxa"/>
            <w:shd w:val="clear" w:color="auto" w:fill="C6EFCE"/>
            <w:hideMark/>
          </w:tcPr>
          <w:p w14:paraId="1216C846"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D15G </w:t>
            </w:r>
          </w:p>
        </w:tc>
        <w:tc>
          <w:tcPr>
            <w:tcW w:w="3402" w:type="dxa"/>
            <w:shd w:val="clear" w:color="auto" w:fill="C6EFCE"/>
            <w:hideMark/>
          </w:tcPr>
          <w:p w14:paraId="1216C847" w14:textId="77777777" w:rsidR="00A60DDE" w:rsidRDefault="00095506">
            <w:pPr>
              <w:pStyle w:val="P68B1DB1-Normal85"/>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48"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49" w14:textId="77777777" w:rsidR="00A60DDE" w:rsidRDefault="00095506">
            <w:pPr>
              <w:pStyle w:val="P68B1DB1-Normal87"/>
              <w:spacing w:line="240" w:lineRule="auto"/>
              <w:textAlignment w:val="baseline"/>
              <w:rPr>
                <w:noProof/>
              </w:rPr>
            </w:pPr>
            <w:r>
              <w:rPr>
                <w:noProof/>
              </w:rPr>
              <w:t>Lansarea unui instrument de analiză a sănătății pacienților</w:t>
            </w:r>
          </w:p>
        </w:tc>
      </w:tr>
      <w:tr w:rsidR="00A60DDE" w14:paraId="1216C84F" w14:textId="77777777">
        <w:trPr>
          <w:trHeight w:val="300"/>
          <w:jc w:val="center"/>
        </w:trPr>
        <w:tc>
          <w:tcPr>
            <w:tcW w:w="1277" w:type="dxa"/>
            <w:shd w:val="clear" w:color="auto" w:fill="C6EFCE"/>
          </w:tcPr>
          <w:p w14:paraId="1216C84B" w14:textId="77777777" w:rsidR="00A60DDE" w:rsidRDefault="00095506">
            <w:pPr>
              <w:pStyle w:val="P68B1DB1-Normal85"/>
              <w:spacing w:line="240" w:lineRule="auto"/>
              <w:ind w:right="30"/>
              <w:jc w:val="center"/>
              <w:textAlignment w:val="baseline"/>
              <w:rPr>
                <w:noProof/>
              </w:rPr>
            </w:pPr>
            <w:r>
              <w:rPr>
                <w:noProof/>
              </w:rPr>
              <w:t xml:space="preserve">D17G </w:t>
            </w:r>
          </w:p>
        </w:tc>
        <w:tc>
          <w:tcPr>
            <w:tcW w:w="3402" w:type="dxa"/>
            <w:shd w:val="clear" w:color="auto" w:fill="C6EFCE"/>
          </w:tcPr>
          <w:p w14:paraId="1216C84C" w14:textId="77777777" w:rsidR="00A60DDE" w:rsidRDefault="00095506">
            <w:pPr>
              <w:pStyle w:val="P68B1DB1-Normal85"/>
              <w:spacing w:line="240" w:lineRule="auto"/>
              <w:textAlignment w:val="baseline"/>
              <w:rPr>
                <w:noProof/>
              </w:rPr>
            </w:pPr>
            <w:r>
              <w:rPr>
                <w:noProof/>
              </w:rPr>
              <w:t>D1.1.2 Transformarea digitală a asistenței medicale</w:t>
            </w:r>
          </w:p>
        </w:tc>
        <w:tc>
          <w:tcPr>
            <w:tcW w:w="1275" w:type="dxa"/>
            <w:shd w:val="clear" w:color="auto" w:fill="C6EFCE"/>
          </w:tcPr>
          <w:p w14:paraId="1216C84D" w14:textId="77777777" w:rsidR="00A60DDE" w:rsidRDefault="00095506">
            <w:pPr>
              <w:pStyle w:val="P68B1DB1-Normal85"/>
              <w:spacing w:line="240" w:lineRule="auto"/>
              <w:ind w:right="30"/>
              <w:jc w:val="center"/>
              <w:textAlignment w:val="baseline"/>
              <w:rPr>
                <w:noProof/>
              </w:rPr>
            </w:pPr>
            <w:r>
              <w:rPr>
                <w:noProof/>
              </w:rPr>
              <w:t>Etapa de referință</w:t>
            </w:r>
          </w:p>
        </w:tc>
        <w:tc>
          <w:tcPr>
            <w:tcW w:w="3686" w:type="dxa"/>
            <w:shd w:val="clear" w:color="auto" w:fill="C6EFCE"/>
          </w:tcPr>
          <w:p w14:paraId="1216C84E" w14:textId="77777777" w:rsidR="00A60DDE" w:rsidRDefault="00095506">
            <w:pPr>
              <w:pStyle w:val="P68B1DB1-Normal85"/>
              <w:spacing w:line="240" w:lineRule="auto"/>
              <w:textAlignment w:val="baseline"/>
              <w:rPr>
                <w:noProof/>
              </w:rPr>
            </w:pPr>
            <w:r>
              <w:rPr>
                <w:noProof/>
              </w:rPr>
              <w:t>Centrul de digitalizare a documentației medicale</w:t>
            </w:r>
          </w:p>
        </w:tc>
      </w:tr>
      <w:tr w:rsidR="00A60DDE" w14:paraId="1216C854" w14:textId="77777777">
        <w:trPr>
          <w:trHeight w:val="300"/>
          <w:jc w:val="center"/>
        </w:trPr>
        <w:tc>
          <w:tcPr>
            <w:tcW w:w="1277" w:type="dxa"/>
            <w:shd w:val="clear" w:color="auto" w:fill="C6EFCE"/>
            <w:hideMark/>
          </w:tcPr>
          <w:p w14:paraId="1216C850"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D18G </w:t>
            </w:r>
          </w:p>
        </w:tc>
        <w:tc>
          <w:tcPr>
            <w:tcW w:w="3402" w:type="dxa"/>
            <w:shd w:val="clear" w:color="auto" w:fill="C6EFCE"/>
            <w:hideMark/>
          </w:tcPr>
          <w:p w14:paraId="1216C851" w14:textId="77777777" w:rsidR="00A60DDE" w:rsidRDefault="00095506">
            <w:pPr>
              <w:pStyle w:val="P68B1DB1-Normal85"/>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5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53" w14:textId="77777777" w:rsidR="00A60DDE" w:rsidRDefault="00095506">
            <w:pPr>
              <w:pStyle w:val="P68B1DB1-Normal87"/>
              <w:spacing w:line="240" w:lineRule="auto"/>
              <w:textAlignment w:val="baseline"/>
              <w:rPr>
                <w:noProof/>
              </w:rPr>
            </w:pPr>
            <w:r>
              <w:rPr>
                <w:noProof/>
              </w:rPr>
              <w:t>Rapoartele de externare din spital digitalizate</w:t>
            </w:r>
          </w:p>
        </w:tc>
      </w:tr>
      <w:tr w:rsidR="00A60DDE" w14:paraId="1216C859" w14:textId="77777777">
        <w:trPr>
          <w:trHeight w:val="300"/>
          <w:jc w:val="center"/>
        </w:trPr>
        <w:tc>
          <w:tcPr>
            <w:tcW w:w="1277" w:type="dxa"/>
            <w:shd w:val="clear" w:color="auto" w:fill="C6EFCE"/>
            <w:hideMark/>
          </w:tcPr>
          <w:p w14:paraId="1216C855"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D20G </w:t>
            </w:r>
          </w:p>
        </w:tc>
        <w:tc>
          <w:tcPr>
            <w:tcW w:w="3402" w:type="dxa"/>
            <w:shd w:val="clear" w:color="auto" w:fill="C6EFCE"/>
            <w:hideMark/>
          </w:tcPr>
          <w:p w14:paraId="1216C856" w14:textId="77777777" w:rsidR="00A60DDE" w:rsidRDefault="00095506">
            <w:pPr>
              <w:pStyle w:val="P68B1DB1-Normal85"/>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57"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58" w14:textId="77777777" w:rsidR="00A60DDE" w:rsidRDefault="00095506">
            <w:pPr>
              <w:pStyle w:val="P68B1DB1-Normal87"/>
              <w:spacing w:line="240" w:lineRule="auto"/>
              <w:textAlignment w:val="baseline"/>
              <w:rPr>
                <w:noProof/>
              </w:rPr>
            </w:pPr>
            <w:r>
              <w:rPr>
                <w:noProof/>
              </w:rPr>
              <w:t>Noi modele digitale pentru documentele medicale</w:t>
            </w:r>
          </w:p>
        </w:tc>
      </w:tr>
      <w:tr w:rsidR="00A60DDE" w14:paraId="1216C85E" w14:textId="77777777">
        <w:trPr>
          <w:trHeight w:val="300"/>
          <w:jc w:val="center"/>
        </w:trPr>
        <w:tc>
          <w:tcPr>
            <w:tcW w:w="1277" w:type="dxa"/>
            <w:shd w:val="clear" w:color="auto" w:fill="C6EFCE"/>
            <w:hideMark/>
          </w:tcPr>
          <w:p w14:paraId="1216C85A"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D21G </w:t>
            </w:r>
          </w:p>
        </w:tc>
        <w:tc>
          <w:tcPr>
            <w:tcW w:w="3402" w:type="dxa"/>
            <w:shd w:val="clear" w:color="auto" w:fill="C6EFCE"/>
            <w:hideMark/>
          </w:tcPr>
          <w:p w14:paraId="1216C85B" w14:textId="77777777" w:rsidR="00A60DDE" w:rsidRDefault="00095506">
            <w:pPr>
              <w:pStyle w:val="P68B1DB1-Normal85"/>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5C"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5D" w14:textId="77777777" w:rsidR="00A60DDE" w:rsidRDefault="00095506">
            <w:pPr>
              <w:pStyle w:val="P68B1DB1-Normal87"/>
              <w:spacing w:line="240" w:lineRule="auto"/>
              <w:textAlignment w:val="baseline"/>
              <w:rPr>
                <w:noProof/>
              </w:rPr>
            </w:pPr>
            <w:r>
              <w:rPr>
                <w:noProof/>
              </w:rPr>
              <w:t>Lansarea unui instrument de sprijin bazat pe IA pentru medici</w:t>
            </w:r>
          </w:p>
        </w:tc>
      </w:tr>
      <w:tr w:rsidR="00A60DDE" w14:paraId="1216C863" w14:textId="77777777">
        <w:trPr>
          <w:trHeight w:val="300"/>
          <w:jc w:val="center"/>
        </w:trPr>
        <w:tc>
          <w:tcPr>
            <w:tcW w:w="1277" w:type="dxa"/>
            <w:shd w:val="clear" w:color="auto" w:fill="C6EFCE"/>
            <w:hideMark/>
          </w:tcPr>
          <w:p w14:paraId="1216C85F"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D30G </w:t>
            </w:r>
          </w:p>
        </w:tc>
        <w:tc>
          <w:tcPr>
            <w:tcW w:w="3402" w:type="dxa"/>
            <w:shd w:val="clear" w:color="auto" w:fill="C6EFCE"/>
            <w:hideMark/>
          </w:tcPr>
          <w:p w14:paraId="1216C860" w14:textId="45FDC5AB" w:rsidR="00A60DDE" w:rsidRDefault="00095506">
            <w:pPr>
              <w:pStyle w:val="P68B1DB1-Normal85"/>
              <w:spacing w:line="240" w:lineRule="auto"/>
              <w:textAlignment w:val="baseline"/>
              <w:rPr>
                <w:rFonts w:eastAsia="Times New Roman" w:cs="Times New Roman"/>
                <w:noProof/>
              </w:rPr>
            </w:pPr>
            <w:r>
              <w:rPr>
                <w:noProof/>
              </w:rPr>
              <w:t>D2.1.1. Investiții legate de modernizarea și modernizarea unităților de învățământ și de creșterea numărului de admiteri la studii medicale</w:t>
            </w:r>
          </w:p>
        </w:tc>
        <w:tc>
          <w:tcPr>
            <w:tcW w:w="1275" w:type="dxa"/>
            <w:shd w:val="clear" w:color="auto" w:fill="C6EFCE"/>
            <w:hideMark/>
          </w:tcPr>
          <w:p w14:paraId="1216C861"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62" w14:textId="77777777" w:rsidR="00A60DDE" w:rsidRDefault="00095506">
            <w:pPr>
              <w:pStyle w:val="P68B1DB1-Normal87"/>
              <w:spacing w:line="240" w:lineRule="auto"/>
              <w:textAlignment w:val="baseline"/>
              <w:rPr>
                <w:noProof/>
              </w:rPr>
            </w:pPr>
            <w:r>
              <w:rPr>
                <w:noProof/>
              </w:rPr>
              <w:t>Burse sau cofinanțare pentru studenții la medicină</w:t>
            </w:r>
          </w:p>
        </w:tc>
      </w:tr>
      <w:tr w:rsidR="00A60DDE" w14:paraId="1216C868" w14:textId="77777777">
        <w:trPr>
          <w:trHeight w:val="300"/>
          <w:jc w:val="center"/>
        </w:trPr>
        <w:tc>
          <w:tcPr>
            <w:tcW w:w="1277" w:type="dxa"/>
            <w:shd w:val="clear" w:color="auto" w:fill="C6EFCE"/>
          </w:tcPr>
          <w:p w14:paraId="1216C864" w14:textId="77777777" w:rsidR="00A60DDE" w:rsidRDefault="00095506">
            <w:pPr>
              <w:pStyle w:val="P68B1DB1-Normal85"/>
              <w:spacing w:line="240" w:lineRule="auto"/>
              <w:ind w:right="30"/>
              <w:jc w:val="center"/>
              <w:textAlignment w:val="baseline"/>
              <w:rPr>
                <w:noProof/>
              </w:rPr>
            </w:pPr>
            <w:r>
              <w:rPr>
                <w:noProof/>
              </w:rPr>
              <w:t xml:space="preserve">D31G </w:t>
            </w:r>
          </w:p>
        </w:tc>
        <w:tc>
          <w:tcPr>
            <w:tcW w:w="3402" w:type="dxa"/>
            <w:shd w:val="clear" w:color="auto" w:fill="C6EFCE"/>
          </w:tcPr>
          <w:p w14:paraId="1216C865" w14:textId="36D07CCF" w:rsidR="00A60DDE" w:rsidRDefault="00095506">
            <w:pPr>
              <w:pStyle w:val="P68B1DB1-Normal85"/>
              <w:spacing w:line="240" w:lineRule="auto"/>
              <w:textAlignment w:val="baseline"/>
              <w:rPr>
                <w:noProof/>
              </w:rPr>
            </w:pPr>
            <w:r>
              <w:rPr>
                <w:noProof/>
              </w:rPr>
              <w:t>D2.1.1. Investiții legate de modernizarea și modernizarea unităților de învățământ și de creșterea numărului de admiteri la studii medicale</w:t>
            </w:r>
          </w:p>
        </w:tc>
        <w:tc>
          <w:tcPr>
            <w:tcW w:w="1275" w:type="dxa"/>
            <w:shd w:val="clear" w:color="auto" w:fill="C6EFCE"/>
          </w:tcPr>
          <w:p w14:paraId="1216C866" w14:textId="77777777" w:rsidR="00A60DDE" w:rsidRDefault="00095506">
            <w:pPr>
              <w:pStyle w:val="P68B1DB1-Normal85"/>
              <w:spacing w:line="240" w:lineRule="auto"/>
              <w:ind w:right="30"/>
              <w:jc w:val="center"/>
              <w:textAlignment w:val="baseline"/>
              <w:rPr>
                <w:noProof/>
              </w:rPr>
            </w:pPr>
            <w:r>
              <w:rPr>
                <w:noProof/>
              </w:rPr>
              <w:t>Țintă</w:t>
            </w:r>
          </w:p>
        </w:tc>
        <w:tc>
          <w:tcPr>
            <w:tcW w:w="3686" w:type="dxa"/>
            <w:shd w:val="clear" w:color="auto" w:fill="C6EFCE"/>
          </w:tcPr>
          <w:p w14:paraId="1216C867" w14:textId="7F0598E8" w:rsidR="00A60DDE" w:rsidRDefault="00095506">
            <w:pPr>
              <w:pStyle w:val="P68B1DB1-Normal85"/>
              <w:spacing w:line="240" w:lineRule="auto"/>
              <w:textAlignment w:val="baseline"/>
              <w:rPr>
                <w:noProof/>
              </w:rPr>
            </w:pPr>
            <w:r>
              <w:rPr>
                <w:noProof/>
              </w:rPr>
              <w:t xml:space="preserve">Unități de învățământ medical, biblioteci sau cămine studențești construite sau reconstruite sau renovate sau modernizate </w:t>
            </w:r>
          </w:p>
        </w:tc>
      </w:tr>
      <w:tr w:rsidR="00A60DDE" w14:paraId="1216C86D" w14:textId="77777777">
        <w:trPr>
          <w:trHeight w:val="300"/>
          <w:jc w:val="center"/>
        </w:trPr>
        <w:tc>
          <w:tcPr>
            <w:tcW w:w="1277" w:type="dxa"/>
            <w:shd w:val="clear" w:color="auto" w:fill="C6EFCE"/>
            <w:hideMark/>
          </w:tcPr>
          <w:p w14:paraId="1216C869"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D36G </w:t>
            </w:r>
          </w:p>
        </w:tc>
        <w:tc>
          <w:tcPr>
            <w:tcW w:w="3402" w:type="dxa"/>
            <w:shd w:val="clear" w:color="auto" w:fill="C6EFCE"/>
            <w:hideMark/>
          </w:tcPr>
          <w:p w14:paraId="1216C86A" w14:textId="71580C3B" w:rsidR="00A60DDE" w:rsidRDefault="00095506">
            <w:pPr>
              <w:pStyle w:val="P68B1DB1-Normal85"/>
              <w:spacing w:line="240" w:lineRule="auto"/>
              <w:textAlignment w:val="baseline"/>
              <w:rPr>
                <w:rFonts w:eastAsia="Times New Roman" w:cs="Times New Roman"/>
                <w:noProof/>
              </w:rPr>
            </w:pPr>
            <w:r>
              <w:rPr>
                <w:noProof/>
              </w:rPr>
              <w:t>D3.1.1 Cercetarea în sectorul biomedical și înființarea sau dezvoltarea de centre de sprijin pentru studiile clinice</w:t>
            </w:r>
          </w:p>
        </w:tc>
        <w:tc>
          <w:tcPr>
            <w:tcW w:w="1275" w:type="dxa"/>
            <w:shd w:val="clear" w:color="auto" w:fill="C6EFCE"/>
            <w:hideMark/>
          </w:tcPr>
          <w:p w14:paraId="1216C86B"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6C" w14:textId="3ED1D54D" w:rsidR="00A60DDE" w:rsidRDefault="00095506">
            <w:pPr>
              <w:pStyle w:val="P68B1DB1-Normal87"/>
              <w:spacing w:line="240" w:lineRule="auto"/>
              <w:textAlignment w:val="baseline"/>
              <w:rPr>
                <w:noProof/>
              </w:rPr>
            </w:pPr>
            <w:r>
              <w:rPr>
                <w:noProof/>
              </w:rPr>
              <w:t>Proiecte de cercetare în sectorul biomedical pentru unități de cercetare sau antreprenori</w:t>
            </w:r>
          </w:p>
        </w:tc>
      </w:tr>
      <w:tr w:rsidR="00A60DDE" w14:paraId="1216C872" w14:textId="77777777">
        <w:trPr>
          <w:trHeight w:val="300"/>
          <w:jc w:val="center"/>
        </w:trPr>
        <w:tc>
          <w:tcPr>
            <w:tcW w:w="1277" w:type="dxa"/>
            <w:shd w:val="clear" w:color="auto" w:fill="C6EFCE"/>
            <w:hideMark/>
          </w:tcPr>
          <w:p w14:paraId="1216C86E"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D37G </w:t>
            </w:r>
          </w:p>
        </w:tc>
        <w:tc>
          <w:tcPr>
            <w:tcW w:w="3402" w:type="dxa"/>
            <w:shd w:val="clear" w:color="auto" w:fill="C6EFCE"/>
            <w:hideMark/>
          </w:tcPr>
          <w:p w14:paraId="1216C86F" w14:textId="65F1C52D" w:rsidR="00A60DDE" w:rsidRDefault="00095506">
            <w:pPr>
              <w:pStyle w:val="P68B1DB1-Normal85"/>
              <w:spacing w:line="240" w:lineRule="auto"/>
              <w:textAlignment w:val="baseline"/>
              <w:rPr>
                <w:rFonts w:eastAsia="Times New Roman" w:cs="Times New Roman"/>
                <w:noProof/>
              </w:rPr>
            </w:pPr>
            <w:r>
              <w:rPr>
                <w:noProof/>
              </w:rPr>
              <w:t>D3.1.1 Cercetarea în sectorul biomedical și înființarea sau dezvoltarea de centre de sprijin pentru studiile clinice</w:t>
            </w:r>
          </w:p>
        </w:tc>
        <w:tc>
          <w:tcPr>
            <w:tcW w:w="1275" w:type="dxa"/>
            <w:shd w:val="clear" w:color="auto" w:fill="C6EFCE"/>
            <w:hideMark/>
          </w:tcPr>
          <w:p w14:paraId="1216C870"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71" w14:textId="3A46CF4A" w:rsidR="00A60DDE" w:rsidRDefault="00095506">
            <w:pPr>
              <w:pStyle w:val="P68B1DB1-Normal87"/>
              <w:spacing w:line="240" w:lineRule="auto"/>
              <w:textAlignment w:val="baseline"/>
              <w:rPr>
                <w:noProof/>
              </w:rPr>
            </w:pPr>
            <w:r>
              <w:rPr>
                <w:noProof/>
              </w:rPr>
              <w:t>Centre de asistență pentru studii clinice</w:t>
            </w:r>
          </w:p>
        </w:tc>
      </w:tr>
      <w:tr w:rsidR="00A60DDE" w14:paraId="1216C877" w14:textId="77777777">
        <w:trPr>
          <w:trHeight w:val="300"/>
          <w:jc w:val="center"/>
        </w:trPr>
        <w:tc>
          <w:tcPr>
            <w:tcW w:w="1277" w:type="dxa"/>
            <w:shd w:val="clear" w:color="auto" w:fill="C6EFCE"/>
            <w:hideMark/>
          </w:tcPr>
          <w:p w14:paraId="1216C873"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D40G </w:t>
            </w:r>
          </w:p>
        </w:tc>
        <w:tc>
          <w:tcPr>
            <w:tcW w:w="3402" w:type="dxa"/>
            <w:shd w:val="clear" w:color="auto" w:fill="C6EFCE"/>
            <w:hideMark/>
          </w:tcPr>
          <w:p w14:paraId="1216C874" w14:textId="77777777" w:rsidR="00A60DDE" w:rsidRDefault="00095506">
            <w:pPr>
              <w:pStyle w:val="P68B1DB1-Normal85"/>
              <w:spacing w:line="240" w:lineRule="auto"/>
              <w:textAlignment w:val="baseline"/>
              <w:rPr>
                <w:rFonts w:eastAsia="Times New Roman" w:cs="Times New Roman"/>
                <w:noProof/>
              </w:rPr>
            </w:pPr>
            <w:r>
              <w:rPr>
                <w:noProof/>
              </w:rPr>
              <w:t>D4.1.1 Creșterea furnizării de servicii de îngrijire pe termen lung prin modernizarea entităților medicale la nivel districtual</w:t>
            </w:r>
          </w:p>
        </w:tc>
        <w:tc>
          <w:tcPr>
            <w:tcW w:w="1275" w:type="dxa"/>
            <w:shd w:val="clear" w:color="auto" w:fill="C6EFCE"/>
            <w:hideMark/>
          </w:tcPr>
          <w:p w14:paraId="1216C875"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76" w14:textId="11DDEEA9" w:rsidR="00A60DDE" w:rsidRDefault="00095506">
            <w:pPr>
              <w:pStyle w:val="P68B1DB1-Normal87"/>
              <w:spacing w:line="240" w:lineRule="auto"/>
              <w:textAlignment w:val="baseline"/>
              <w:rPr>
                <w:noProof/>
              </w:rPr>
            </w:pPr>
            <w:r>
              <w:rPr>
                <w:noProof/>
              </w:rPr>
              <w:t>Spitale cu investiții în construcții sau renovări sau echipamente medicale achiziționate</w:t>
            </w:r>
          </w:p>
        </w:tc>
      </w:tr>
      <w:tr w:rsidR="00A60DDE" w14:paraId="1216C886" w14:textId="77777777">
        <w:trPr>
          <w:trHeight w:val="300"/>
          <w:jc w:val="center"/>
        </w:trPr>
        <w:tc>
          <w:tcPr>
            <w:tcW w:w="1277" w:type="dxa"/>
            <w:shd w:val="clear" w:color="auto" w:fill="C6EFCE"/>
            <w:hideMark/>
          </w:tcPr>
          <w:p w14:paraId="1216C88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E4cG </w:t>
            </w:r>
          </w:p>
        </w:tc>
        <w:tc>
          <w:tcPr>
            <w:tcW w:w="3402" w:type="dxa"/>
            <w:shd w:val="clear" w:color="auto" w:fill="C6EFCE"/>
            <w:hideMark/>
          </w:tcPr>
          <w:p w14:paraId="1216C883" w14:textId="77777777" w:rsidR="00A60DDE" w:rsidRDefault="00095506">
            <w:pPr>
              <w:pStyle w:val="P68B1DB1-Normal85"/>
              <w:spacing w:line="240" w:lineRule="auto"/>
              <w:textAlignment w:val="baseline"/>
              <w:rPr>
                <w:rFonts w:eastAsia="Times New Roman" w:cs="Times New Roman"/>
                <w:noProof/>
              </w:rPr>
            </w:pPr>
            <w:r>
              <w:rPr>
                <w:noProof/>
              </w:rPr>
              <w:t>E1.1 Creșterea utilizării transportului ecologic</w:t>
            </w:r>
          </w:p>
        </w:tc>
        <w:tc>
          <w:tcPr>
            <w:tcW w:w="1275" w:type="dxa"/>
            <w:shd w:val="clear" w:color="auto" w:fill="C6EFCE"/>
            <w:hideMark/>
          </w:tcPr>
          <w:p w14:paraId="1216C884"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85" w14:textId="498B1C87" w:rsidR="00A60DDE" w:rsidRDefault="00095506">
            <w:pPr>
              <w:pStyle w:val="P68B1DB1-Normal87"/>
              <w:spacing w:line="240" w:lineRule="auto"/>
              <w:textAlignment w:val="baseline"/>
              <w:rPr>
                <w:noProof/>
              </w:rPr>
            </w:pPr>
            <w:r>
              <w:rPr>
                <w:noProof/>
              </w:rPr>
              <w:t>Plata (plățile) fondurilor</w:t>
            </w:r>
          </w:p>
        </w:tc>
      </w:tr>
      <w:tr w:rsidR="00A60DDE" w14:paraId="1216C88B" w14:textId="77777777">
        <w:trPr>
          <w:trHeight w:val="300"/>
          <w:jc w:val="center"/>
        </w:trPr>
        <w:tc>
          <w:tcPr>
            <w:tcW w:w="1277" w:type="dxa"/>
            <w:shd w:val="clear" w:color="auto" w:fill="C6EFCE"/>
          </w:tcPr>
          <w:p w14:paraId="1216C887" w14:textId="77777777" w:rsidR="00A60DDE" w:rsidRDefault="00095506">
            <w:pPr>
              <w:pStyle w:val="P68B1DB1-Normal85"/>
              <w:spacing w:line="240" w:lineRule="auto"/>
              <w:ind w:right="30"/>
              <w:jc w:val="center"/>
              <w:textAlignment w:val="baseline"/>
              <w:rPr>
                <w:noProof/>
              </w:rPr>
            </w:pPr>
            <w:r>
              <w:rPr>
                <w:noProof/>
              </w:rPr>
              <w:t>E7G</w:t>
            </w:r>
          </w:p>
        </w:tc>
        <w:tc>
          <w:tcPr>
            <w:tcW w:w="3402" w:type="dxa"/>
            <w:shd w:val="clear" w:color="auto" w:fill="C6EFCE"/>
          </w:tcPr>
          <w:p w14:paraId="1216C888" w14:textId="77777777" w:rsidR="00A60DDE" w:rsidRDefault="00095506">
            <w:pPr>
              <w:pStyle w:val="P68B1DB1-Normal85"/>
              <w:spacing w:line="240" w:lineRule="auto"/>
              <w:textAlignment w:val="baseline"/>
              <w:rPr>
                <w:noProof/>
              </w:rPr>
            </w:pPr>
            <w:r>
              <w:rPr>
                <w:noProof/>
              </w:rPr>
              <w:t>E.1.1 Creșterea utilizării transportului ecologic</w:t>
            </w:r>
          </w:p>
        </w:tc>
        <w:tc>
          <w:tcPr>
            <w:tcW w:w="1275" w:type="dxa"/>
            <w:shd w:val="clear" w:color="auto" w:fill="C6EFCE"/>
          </w:tcPr>
          <w:p w14:paraId="1216C889" w14:textId="77777777" w:rsidR="00A60DDE" w:rsidRDefault="00095506">
            <w:pPr>
              <w:pStyle w:val="P68B1DB1-Normal85"/>
              <w:spacing w:line="240" w:lineRule="auto"/>
              <w:ind w:right="30"/>
              <w:jc w:val="center"/>
              <w:textAlignment w:val="baseline"/>
              <w:rPr>
                <w:noProof/>
              </w:rPr>
            </w:pPr>
            <w:r>
              <w:rPr>
                <w:noProof/>
              </w:rPr>
              <w:t>Țintă</w:t>
            </w:r>
          </w:p>
        </w:tc>
        <w:tc>
          <w:tcPr>
            <w:tcW w:w="3686" w:type="dxa"/>
            <w:shd w:val="clear" w:color="auto" w:fill="C6EFCE"/>
          </w:tcPr>
          <w:p w14:paraId="1216C88A" w14:textId="77777777" w:rsidR="00A60DDE" w:rsidRDefault="00095506">
            <w:pPr>
              <w:pStyle w:val="P68B1DB1-Normal87"/>
              <w:spacing w:line="240" w:lineRule="auto"/>
              <w:textAlignment w:val="baseline"/>
              <w:rPr>
                <w:noProof/>
              </w:rPr>
            </w:pPr>
            <w:r>
              <w:rPr>
                <w:noProof/>
              </w:rPr>
              <w:t xml:space="preserve">Vehicule electrice. </w:t>
            </w:r>
          </w:p>
        </w:tc>
      </w:tr>
      <w:tr w:rsidR="00A60DDE" w14:paraId="1216C890" w14:textId="77777777">
        <w:trPr>
          <w:trHeight w:val="300"/>
          <w:jc w:val="center"/>
        </w:trPr>
        <w:tc>
          <w:tcPr>
            <w:tcW w:w="1277" w:type="dxa"/>
            <w:shd w:val="clear" w:color="auto" w:fill="C6EFCE"/>
            <w:hideMark/>
          </w:tcPr>
          <w:p w14:paraId="1216C88C"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E14G </w:t>
            </w:r>
          </w:p>
        </w:tc>
        <w:tc>
          <w:tcPr>
            <w:tcW w:w="3402" w:type="dxa"/>
            <w:shd w:val="clear" w:color="auto" w:fill="C6EFCE"/>
            <w:hideMark/>
          </w:tcPr>
          <w:p w14:paraId="1216C88D" w14:textId="77777777" w:rsidR="00A60DDE" w:rsidRDefault="00095506">
            <w:pPr>
              <w:pStyle w:val="P68B1DB1-Normal85"/>
              <w:spacing w:line="240" w:lineRule="auto"/>
              <w:textAlignment w:val="baseline"/>
              <w:rPr>
                <w:rFonts w:eastAsia="Times New Roman" w:cs="Times New Roman"/>
                <w:noProof/>
              </w:rPr>
            </w:pPr>
            <w:r>
              <w:rPr>
                <w:noProof/>
              </w:rPr>
              <w:t>E1.1.2 Autobuze și tramvaie cu emisii zero și cu emisii scăzute</w:t>
            </w:r>
          </w:p>
        </w:tc>
        <w:tc>
          <w:tcPr>
            <w:tcW w:w="1275" w:type="dxa"/>
            <w:shd w:val="clear" w:color="auto" w:fill="C6EFCE"/>
            <w:hideMark/>
          </w:tcPr>
          <w:p w14:paraId="1216C88E"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8F" w14:textId="77777777" w:rsidR="00A60DDE" w:rsidRDefault="00095506">
            <w:pPr>
              <w:pStyle w:val="P68B1DB1-Normal87"/>
              <w:spacing w:line="240" w:lineRule="auto"/>
              <w:textAlignment w:val="baseline"/>
              <w:rPr>
                <w:noProof/>
              </w:rPr>
            </w:pPr>
            <w:r>
              <w:rPr>
                <w:noProof/>
              </w:rPr>
              <w:t>Autobuze și tramvaie cu emisii zero și cu emisii scăzute</w:t>
            </w:r>
          </w:p>
        </w:tc>
      </w:tr>
      <w:tr w:rsidR="00A60DDE" w14:paraId="1216C895" w14:textId="77777777">
        <w:trPr>
          <w:trHeight w:val="300"/>
          <w:jc w:val="center"/>
        </w:trPr>
        <w:tc>
          <w:tcPr>
            <w:tcW w:w="1277" w:type="dxa"/>
            <w:shd w:val="clear" w:color="auto" w:fill="C6EFCE"/>
            <w:hideMark/>
          </w:tcPr>
          <w:p w14:paraId="1216C891"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E18G </w:t>
            </w:r>
          </w:p>
        </w:tc>
        <w:tc>
          <w:tcPr>
            <w:tcW w:w="3402" w:type="dxa"/>
            <w:shd w:val="clear" w:color="auto" w:fill="C6EFCE"/>
            <w:hideMark/>
          </w:tcPr>
          <w:p w14:paraId="1216C892" w14:textId="02D473D8" w:rsidR="00A60DDE" w:rsidRDefault="00095506">
            <w:pPr>
              <w:pStyle w:val="P68B1DB1-Normal85"/>
              <w:spacing w:line="240" w:lineRule="auto"/>
              <w:textAlignment w:val="baseline"/>
              <w:rPr>
                <w:rFonts w:eastAsia="Times New Roman" w:cs="Times New Roman"/>
                <w:noProof/>
              </w:rPr>
            </w:pPr>
            <w:r>
              <w:rPr>
                <w:noProof/>
              </w:rPr>
              <w:t>E2.1.1 Linii de cale ferată</w:t>
            </w:r>
          </w:p>
        </w:tc>
        <w:tc>
          <w:tcPr>
            <w:tcW w:w="1275" w:type="dxa"/>
            <w:shd w:val="clear" w:color="auto" w:fill="C6EFCE"/>
            <w:hideMark/>
          </w:tcPr>
          <w:p w14:paraId="1216C893"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94" w14:textId="40291F8C" w:rsidR="00A60DDE" w:rsidRDefault="00095506">
            <w:pPr>
              <w:pStyle w:val="P68B1DB1-Normal87"/>
              <w:spacing w:line="240" w:lineRule="auto"/>
              <w:textAlignment w:val="baseline"/>
              <w:rPr>
                <w:noProof/>
              </w:rPr>
            </w:pPr>
            <w:r>
              <w:rPr>
                <w:noProof/>
              </w:rPr>
              <w:t>Lucrări pe 500 km de linii de cale ferată</w:t>
            </w:r>
          </w:p>
        </w:tc>
      </w:tr>
      <w:tr w:rsidR="00A60DDE" w14:paraId="1216C89A" w14:textId="77777777">
        <w:trPr>
          <w:trHeight w:val="300"/>
          <w:jc w:val="center"/>
        </w:trPr>
        <w:tc>
          <w:tcPr>
            <w:tcW w:w="1277" w:type="dxa"/>
            <w:shd w:val="clear" w:color="auto" w:fill="C6EFCE"/>
            <w:hideMark/>
          </w:tcPr>
          <w:p w14:paraId="1216C896"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E18aG </w:t>
            </w:r>
          </w:p>
        </w:tc>
        <w:tc>
          <w:tcPr>
            <w:tcW w:w="3402" w:type="dxa"/>
            <w:shd w:val="clear" w:color="auto" w:fill="C6EFCE"/>
            <w:hideMark/>
          </w:tcPr>
          <w:p w14:paraId="1216C897" w14:textId="2B6CE0BD" w:rsidR="00A60DDE" w:rsidRDefault="00095506">
            <w:pPr>
              <w:pStyle w:val="P68B1DB1-Normal85"/>
              <w:spacing w:line="240" w:lineRule="auto"/>
              <w:textAlignment w:val="baseline"/>
              <w:rPr>
                <w:rFonts w:eastAsia="Times New Roman" w:cs="Times New Roman"/>
                <w:noProof/>
              </w:rPr>
            </w:pPr>
            <w:r>
              <w:rPr>
                <w:noProof/>
              </w:rPr>
              <w:t>E2.1.1 Linii de cale ferată</w:t>
            </w:r>
          </w:p>
        </w:tc>
        <w:tc>
          <w:tcPr>
            <w:tcW w:w="1275" w:type="dxa"/>
            <w:shd w:val="clear" w:color="auto" w:fill="C6EFCE"/>
            <w:hideMark/>
          </w:tcPr>
          <w:p w14:paraId="1216C898" w14:textId="77777777" w:rsidR="00A60DDE" w:rsidRDefault="00095506">
            <w:pPr>
              <w:pStyle w:val="P68B1DB1-Normal85"/>
              <w:spacing w:line="240" w:lineRule="auto"/>
              <w:jc w:val="center"/>
              <w:textAlignment w:val="baseline"/>
              <w:rPr>
                <w:rFonts w:eastAsia="Times New Roman" w:cs="Times New Roman"/>
                <w:noProof/>
              </w:rPr>
            </w:pPr>
            <w:r>
              <w:rPr>
                <w:noProof/>
              </w:rPr>
              <w:t>Țintă</w:t>
            </w:r>
          </w:p>
        </w:tc>
        <w:tc>
          <w:tcPr>
            <w:tcW w:w="3686" w:type="dxa"/>
            <w:shd w:val="clear" w:color="auto" w:fill="C6EFCE"/>
            <w:hideMark/>
          </w:tcPr>
          <w:p w14:paraId="1216C899" w14:textId="3E5343F0" w:rsidR="00A60DDE" w:rsidRDefault="00095506">
            <w:pPr>
              <w:pStyle w:val="P68B1DB1-Normal87"/>
              <w:spacing w:line="240" w:lineRule="auto"/>
              <w:textAlignment w:val="baseline"/>
              <w:rPr>
                <w:noProof/>
              </w:rPr>
            </w:pPr>
            <w:r>
              <w:rPr>
                <w:noProof/>
              </w:rPr>
              <w:t xml:space="preserve">Lucrări la 180 de treceri la nivel sau alte blocaje </w:t>
            </w:r>
          </w:p>
        </w:tc>
      </w:tr>
      <w:tr w:rsidR="00A60DDE" w14:paraId="1216C89F" w14:textId="77777777">
        <w:trPr>
          <w:trHeight w:val="300"/>
          <w:jc w:val="center"/>
        </w:trPr>
        <w:tc>
          <w:tcPr>
            <w:tcW w:w="1277" w:type="dxa"/>
            <w:shd w:val="clear" w:color="auto" w:fill="C6EFCE"/>
            <w:hideMark/>
          </w:tcPr>
          <w:p w14:paraId="1216C89B"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E20G </w:t>
            </w:r>
          </w:p>
        </w:tc>
        <w:tc>
          <w:tcPr>
            <w:tcW w:w="3402" w:type="dxa"/>
            <w:shd w:val="clear" w:color="auto" w:fill="C6EFCE"/>
            <w:hideMark/>
          </w:tcPr>
          <w:p w14:paraId="1216C89C" w14:textId="77777777" w:rsidR="00A60DDE" w:rsidRDefault="00095506">
            <w:pPr>
              <w:pStyle w:val="P68B1DB1-Normal85"/>
              <w:spacing w:line="240" w:lineRule="auto"/>
              <w:textAlignment w:val="baseline"/>
              <w:rPr>
                <w:rFonts w:eastAsia="Times New Roman" w:cs="Times New Roman"/>
                <w:noProof/>
              </w:rPr>
            </w:pPr>
            <w:r>
              <w:rPr>
                <w:noProof/>
              </w:rPr>
              <w:t>E2.1.2 Materialul rulant pentru transportul feroviar de călători</w:t>
            </w:r>
          </w:p>
        </w:tc>
        <w:tc>
          <w:tcPr>
            <w:tcW w:w="1275" w:type="dxa"/>
            <w:shd w:val="clear" w:color="auto" w:fill="C6EFCE"/>
            <w:hideMark/>
          </w:tcPr>
          <w:p w14:paraId="1216C89D"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9E" w14:textId="3246F14B" w:rsidR="00A60DDE" w:rsidRDefault="00095506">
            <w:pPr>
              <w:pStyle w:val="P68B1DB1-Normal87"/>
              <w:spacing w:line="240" w:lineRule="auto"/>
              <w:textAlignment w:val="baseline"/>
              <w:rPr>
                <w:noProof/>
              </w:rPr>
            </w:pPr>
            <w:r>
              <w:rPr>
                <w:noProof/>
              </w:rPr>
              <w:t>Materialul feroviar rulant</w:t>
            </w:r>
          </w:p>
        </w:tc>
      </w:tr>
      <w:tr w:rsidR="00A60DDE" w14:paraId="1216C8A4" w14:textId="77777777">
        <w:trPr>
          <w:trHeight w:val="300"/>
          <w:jc w:val="center"/>
        </w:trPr>
        <w:tc>
          <w:tcPr>
            <w:tcW w:w="1277" w:type="dxa"/>
            <w:shd w:val="clear" w:color="auto" w:fill="C6EFCE"/>
            <w:hideMark/>
          </w:tcPr>
          <w:p w14:paraId="1216C8A0"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E22G </w:t>
            </w:r>
          </w:p>
        </w:tc>
        <w:tc>
          <w:tcPr>
            <w:tcW w:w="3402" w:type="dxa"/>
            <w:shd w:val="clear" w:color="auto" w:fill="C6EFCE"/>
            <w:hideMark/>
          </w:tcPr>
          <w:p w14:paraId="1216C8A1" w14:textId="77777777" w:rsidR="00A60DDE" w:rsidRDefault="00095506">
            <w:pPr>
              <w:pStyle w:val="P68B1DB1-Normal85"/>
              <w:spacing w:line="240" w:lineRule="auto"/>
              <w:textAlignment w:val="baseline"/>
              <w:rPr>
                <w:rFonts w:eastAsia="Times New Roman" w:cs="Times New Roman"/>
                <w:noProof/>
              </w:rPr>
            </w:pPr>
            <w:r>
              <w:rPr>
                <w:noProof/>
              </w:rPr>
              <w:t>E2.1.3 Proiecte intermodale</w:t>
            </w:r>
          </w:p>
        </w:tc>
        <w:tc>
          <w:tcPr>
            <w:tcW w:w="1275" w:type="dxa"/>
            <w:shd w:val="clear" w:color="auto" w:fill="C6EFCE"/>
            <w:hideMark/>
          </w:tcPr>
          <w:p w14:paraId="1216C8A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A3" w14:textId="77777777" w:rsidR="00A60DDE" w:rsidRDefault="00095506">
            <w:pPr>
              <w:pStyle w:val="P68B1DB1-Normal87"/>
              <w:spacing w:line="240" w:lineRule="auto"/>
              <w:textAlignment w:val="baseline"/>
              <w:rPr>
                <w:noProof/>
              </w:rPr>
            </w:pPr>
            <w:r>
              <w:rPr>
                <w:noProof/>
              </w:rPr>
              <w:t>Investiții în terminale intermodale și material rulant</w:t>
            </w:r>
          </w:p>
        </w:tc>
      </w:tr>
      <w:tr w:rsidR="00A60DDE" w14:paraId="1216C8A9" w14:textId="77777777">
        <w:trPr>
          <w:trHeight w:val="300"/>
          <w:jc w:val="center"/>
        </w:trPr>
        <w:tc>
          <w:tcPr>
            <w:tcW w:w="1277" w:type="dxa"/>
            <w:shd w:val="clear" w:color="auto" w:fill="C6EFCE"/>
            <w:hideMark/>
          </w:tcPr>
          <w:p w14:paraId="1216C8A5"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E25G </w:t>
            </w:r>
          </w:p>
        </w:tc>
        <w:tc>
          <w:tcPr>
            <w:tcW w:w="3402" w:type="dxa"/>
            <w:shd w:val="clear" w:color="auto" w:fill="C6EFCE"/>
            <w:hideMark/>
          </w:tcPr>
          <w:p w14:paraId="1216C8A6" w14:textId="77777777" w:rsidR="00A60DDE" w:rsidRDefault="00095506">
            <w:pPr>
              <w:pStyle w:val="P68B1DB1-Normal85"/>
              <w:spacing w:line="240" w:lineRule="auto"/>
              <w:textAlignment w:val="baseline"/>
              <w:rPr>
                <w:rFonts w:eastAsia="Times New Roman" w:cs="Times New Roman"/>
                <w:noProof/>
              </w:rPr>
            </w:pPr>
            <w:r>
              <w:rPr>
                <w:noProof/>
              </w:rPr>
              <w:t>E2.2.1 Investiții în siguranța transporturilor</w:t>
            </w:r>
          </w:p>
        </w:tc>
        <w:tc>
          <w:tcPr>
            <w:tcW w:w="1275" w:type="dxa"/>
            <w:shd w:val="clear" w:color="auto" w:fill="C6EFCE"/>
            <w:hideMark/>
          </w:tcPr>
          <w:p w14:paraId="1216C8A7"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A8" w14:textId="3E219B22" w:rsidR="00A60DDE" w:rsidRDefault="00095506">
            <w:pPr>
              <w:pStyle w:val="P68B1DB1-Normal87"/>
              <w:spacing w:line="240" w:lineRule="auto"/>
              <w:textAlignment w:val="baseline"/>
              <w:rPr>
                <w:noProof/>
              </w:rPr>
            </w:pPr>
            <w:r>
              <w:rPr>
                <w:noProof/>
              </w:rPr>
              <w:t>Lucrări privind punctele de acces în materie de siguranță rutieră, instalarea de dispozitive de supraveghere rutieră</w:t>
            </w:r>
          </w:p>
        </w:tc>
      </w:tr>
      <w:tr w:rsidR="00A60DDE" w14:paraId="1983E461" w14:textId="77777777">
        <w:trPr>
          <w:trHeight w:val="300"/>
          <w:jc w:val="center"/>
        </w:trPr>
        <w:tc>
          <w:tcPr>
            <w:tcW w:w="1277" w:type="dxa"/>
            <w:shd w:val="clear" w:color="auto" w:fill="C6EFCE"/>
          </w:tcPr>
          <w:p w14:paraId="28A321C6" w14:textId="5179D639" w:rsidR="00A60DDE" w:rsidRDefault="00095506">
            <w:pPr>
              <w:pStyle w:val="P68B1DB1-Normal85"/>
              <w:spacing w:line="240" w:lineRule="auto"/>
              <w:ind w:right="30"/>
              <w:jc w:val="center"/>
              <w:textAlignment w:val="baseline"/>
              <w:rPr>
                <w:noProof/>
              </w:rPr>
            </w:pPr>
            <w:r>
              <w:rPr>
                <w:noProof/>
              </w:rPr>
              <w:t>E25aG</w:t>
            </w:r>
          </w:p>
        </w:tc>
        <w:tc>
          <w:tcPr>
            <w:tcW w:w="3402" w:type="dxa"/>
            <w:shd w:val="clear" w:color="auto" w:fill="C6EFCE"/>
          </w:tcPr>
          <w:p w14:paraId="15536061" w14:textId="6E64CAFC" w:rsidR="00A60DDE" w:rsidRDefault="00095506">
            <w:pPr>
              <w:pStyle w:val="P68B1DB1-Normal85"/>
              <w:spacing w:line="240" w:lineRule="auto"/>
              <w:textAlignment w:val="baseline"/>
              <w:rPr>
                <w:noProof/>
              </w:rPr>
            </w:pPr>
            <w:r>
              <w:rPr>
                <w:noProof/>
              </w:rPr>
              <w:t>E2.2.1 Investiții în siguranța transporturilor</w:t>
            </w:r>
          </w:p>
        </w:tc>
        <w:tc>
          <w:tcPr>
            <w:tcW w:w="1275" w:type="dxa"/>
            <w:shd w:val="clear" w:color="auto" w:fill="C6EFCE"/>
          </w:tcPr>
          <w:p w14:paraId="3AA52C99" w14:textId="733F32AC" w:rsidR="00A60DDE" w:rsidRDefault="00095506">
            <w:pPr>
              <w:pStyle w:val="P68B1DB1-Normal85"/>
              <w:spacing w:line="240" w:lineRule="auto"/>
              <w:ind w:right="30"/>
              <w:jc w:val="center"/>
              <w:textAlignment w:val="baseline"/>
              <w:rPr>
                <w:noProof/>
              </w:rPr>
            </w:pPr>
            <w:r>
              <w:rPr>
                <w:noProof/>
              </w:rPr>
              <w:t>Țintă</w:t>
            </w:r>
          </w:p>
        </w:tc>
        <w:tc>
          <w:tcPr>
            <w:tcW w:w="3686" w:type="dxa"/>
            <w:shd w:val="clear" w:color="auto" w:fill="C6EFCE"/>
          </w:tcPr>
          <w:p w14:paraId="6DACCEBC" w14:textId="2359D399" w:rsidR="00A60DDE" w:rsidRDefault="00095506">
            <w:pPr>
              <w:pStyle w:val="P68B1DB1-Normal87"/>
              <w:spacing w:line="240" w:lineRule="auto"/>
              <w:textAlignment w:val="baseline"/>
              <w:rPr>
                <w:noProof/>
              </w:rPr>
            </w:pPr>
            <w:r>
              <w:rPr>
                <w:noProof/>
              </w:rPr>
              <w:t>Construcția sau reconstrucția drumurilor naționale, inclusiv a șoselelor ocolitoare </w:t>
            </w:r>
          </w:p>
        </w:tc>
      </w:tr>
      <w:tr w:rsidR="00A60DDE" w14:paraId="1216C8AE" w14:textId="77777777">
        <w:trPr>
          <w:trHeight w:val="300"/>
          <w:jc w:val="center"/>
        </w:trPr>
        <w:tc>
          <w:tcPr>
            <w:tcW w:w="1277" w:type="dxa"/>
            <w:shd w:val="clear" w:color="auto" w:fill="C6EFCE"/>
            <w:hideMark/>
          </w:tcPr>
          <w:p w14:paraId="1216C8AA"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E28G </w:t>
            </w:r>
          </w:p>
        </w:tc>
        <w:tc>
          <w:tcPr>
            <w:tcW w:w="3402" w:type="dxa"/>
            <w:shd w:val="clear" w:color="auto" w:fill="C6EFCE"/>
            <w:hideMark/>
          </w:tcPr>
          <w:p w14:paraId="1216C8AB" w14:textId="77777777" w:rsidR="00A60DDE" w:rsidRDefault="00095506">
            <w:pPr>
              <w:pStyle w:val="P68B1DB1-Normal85"/>
              <w:spacing w:line="240" w:lineRule="auto"/>
              <w:textAlignment w:val="baseline"/>
              <w:rPr>
                <w:rFonts w:eastAsia="Times New Roman" w:cs="Times New Roman"/>
                <w:noProof/>
              </w:rPr>
            </w:pPr>
            <w:r>
              <w:rPr>
                <w:noProof/>
              </w:rPr>
              <w:t>E2.2.2 Digitalizarea transporturilor</w:t>
            </w:r>
          </w:p>
        </w:tc>
        <w:tc>
          <w:tcPr>
            <w:tcW w:w="1275" w:type="dxa"/>
            <w:shd w:val="clear" w:color="auto" w:fill="C6EFCE"/>
            <w:hideMark/>
          </w:tcPr>
          <w:p w14:paraId="1216C8AC"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AD" w14:textId="77777777" w:rsidR="00A60DDE" w:rsidRDefault="00095506">
            <w:pPr>
              <w:pStyle w:val="P68B1DB1-Normal87"/>
              <w:spacing w:line="240" w:lineRule="auto"/>
              <w:textAlignment w:val="baseline"/>
              <w:rPr>
                <w:noProof/>
              </w:rPr>
            </w:pPr>
            <w:r>
              <w:rPr>
                <w:noProof/>
              </w:rPr>
              <w:t>Instalarea sau actualizarea unităților ERTMS de la bord, instalarea SDIP, introducerea controlului automat al punctelor de control feroviar și lucrări la sistemele de trecere la nivel</w:t>
            </w:r>
          </w:p>
        </w:tc>
      </w:tr>
      <w:tr w:rsidR="00A60DDE" w14:paraId="1216C8B8" w14:textId="77777777">
        <w:trPr>
          <w:trHeight w:val="300"/>
          <w:jc w:val="center"/>
        </w:trPr>
        <w:tc>
          <w:tcPr>
            <w:tcW w:w="1277" w:type="dxa"/>
            <w:shd w:val="clear" w:color="auto" w:fill="C6EFCE"/>
            <w:hideMark/>
          </w:tcPr>
          <w:p w14:paraId="1216C8B4"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G6G </w:t>
            </w:r>
          </w:p>
        </w:tc>
        <w:tc>
          <w:tcPr>
            <w:tcW w:w="3402" w:type="dxa"/>
            <w:shd w:val="clear" w:color="auto" w:fill="C6EFCE"/>
            <w:hideMark/>
          </w:tcPr>
          <w:p w14:paraId="1216C8B5" w14:textId="77777777" w:rsidR="00A60DDE" w:rsidRDefault="00095506">
            <w:pPr>
              <w:pStyle w:val="P68B1DB1-Normal85"/>
              <w:spacing w:line="240" w:lineRule="auto"/>
              <w:textAlignment w:val="baseline"/>
              <w:rPr>
                <w:rFonts w:eastAsia="Times New Roman" w:cs="Times New Roman"/>
                <w:noProof/>
              </w:rPr>
            </w:pPr>
            <w:r>
              <w:rPr>
                <w:noProof/>
              </w:rPr>
              <w:t>G1.1.3 Sisteme de stocare a energiei (sprijin nerambursabil)</w:t>
            </w:r>
          </w:p>
        </w:tc>
        <w:tc>
          <w:tcPr>
            <w:tcW w:w="1275" w:type="dxa"/>
            <w:shd w:val="clear" w:color="auto" w:fill="C6EFCE"/>
            <w:hideMark/>
          </w:tcPr>
          <w:p w14:paraId="1216C8B6"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B7" w14:textId="77777777" w:rsidR="00A60DDE" w:rsidRDefault="00095506">
            <w:pPr>
              <w:pStyle w:val="P68B1DB1-Normal87"/>
              <w:spacing w:line="240" w:lineRule="auto"/>
              <w:textAlignment w:val="baseline"/>
              <w:rPr>
                <w:noProof/>
              </w:rPr>
            </w:pPr>
            <w:r>
              <w:rPr>
                <w:noProof/>
              </w:rPr>
              <w:t>Instalarea sistemului (sistemelor) de stocare a energiei bateriei (BESS) și a cablului (cablurilor) de înaltă tensiune</w:t>
            </w:r>
          </w:p>
        </w:tc>
      </w:tr>
      <w:tr w:rsidR="00A60DDE" w14:paraId="1216C8BD" w14:textId="77777777">
        <w:trPr>
          <w:trHeight w:val="300"/>
          <w:jc w:val="center"/>
        </w:trPr>
        <w:tc>
          <w:tcPr>
            <w:tcW w:w="1277" w:type="dxa"/>
            <w:shd w:val="clear" w:color="auto" w:fill="C6EFCE"/>
            <w:hideMark/>
          </w:tcPr>
          <w:p w14:paraId="1216C8B9"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G11G </w:t>
            </w:r>
          </w:p>
        </w:tc>
        <w:tc>
          <w:tcPr>
            <w:tcW w:w="3402" w:type="dxa"/>
            <w:shd w:val="clear" w:color="auto" w:fill="C6EFCE"/>
            <w:hideMark/>
          </w:tcPr>
          <w:p w14:paraId="1216C8BA" w14:textId="77777777" w:rsidR="00A60DDE" w:rsidRDefault="00095506">
            <w:pPr>
              <w:pStyle w:val="P68B1DB1-Normal85"/>
              <w:spacing w:line="240" w:lineRule="auto"/>
              <w:textAlignment w:val="baseline"/>
              <w:rPr>
                <w:rFonts w:eastAsia="Times New Roman" w:cs="Times New Roman"/>
                <w:noProof/>
              </w:rPr>
            </w:pPr>
            <w:r>
              <w:rPr>
                <w:noProof/>
              </w:rPr>
              <w:t>G1.1.4 Sprijin pentru instituțiile care pun în aplicare reformele și investițiile REPowerEU</w:t>
            </w:r>
          </w:p>
        </w:tc>
        <w:tc>
          <w:tcPr>
            <w:tcW w:w="1275" w:type="dxa"/>
            <w:shd w:val="clear" w:color="auto" w:fill="C6EFCE"/>
            <w:hideMark/>
          </w:tcPr>
          <w:p w14:paraId="1216C8BB" w14:textId="77777777" w:rsidR="00A60DDE" w:rsidRDefault="00095506">
            <w:pPr>
              <w:pStyle w:val="P68B1DB1-Normal85"/>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BC" w14:textId="77777777" w:rsidR="00A60DDE" w:rsidRDefault="00095506">
            <w:pPr>
              <w:pStyle w:val="P68B1DB1-Normal87"/>
              <w:spacing w:line="240" w:lineRule="auto"/>
              <w:textAlignment w:val="baseline"/>
              <w:rPr>
                <w:noProof/>
              </w:rPr>
            </w:pPr>
            <w:r>
              <w:rPr>
                <w:noProof/>
              </w:rPr>
              <w:t>Instrumentul informatic pentru Oficiul de Reglementare în Domeniul Energiei</w:t>
            </w:r>
          </w:p>
        </w:tc>
      </w:tr>
      <w:tr w:rsidR="00A60DDE" w14:paraId="1216C8C2" w14:textId="77777777">
        <w:trPr>
          <w:trHeight w:val="300"/>
          <w:jc w:val="center"/>
        </w:trPr>
        <w:tc>
          <w:tcPr>
            <w:tcW w:w="1277" w:type="dxa"/>
            <w:shd w:val="clear" w:color="auto" w:fill="C6EFCE"/>
            <w:hideMark/>
          </w:tcPr>
          <w:p w14:paraId="1216C8BE"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G17G </w:t>
            </w:r>
          </w:p>
        </w:tc>
        <w:tc>
          <w:tcPr>
            <w:tcW w:w="3402" w:type="dxa"/>
            <w:shd w:val="clear" w:color="auto" w:fill="C6EFCE"/>
            <w:hideMark/>
          </w:tcPr>
          <w:p w14:paraId="1216C8BF" w14:textId="77777777" w:rsidR="00A60DDE" w:rsidRDefault="00095506">
            <w:pPr>
              <w:pStyle w:val="P68B1DB1-Normal85"/>
              <w:spacing w:line="240" w:lineRule="auto"/>
              <w:textAlignment w:val="baseline"/>
              <w:rPr>
                <w:rFonts w:eastAsia="Times New Roman" w:cs="Times New Roman"/>
                <w:noProof/>
              </w:rPr>
            </w:pPr>
            <w:r>
              <w:rPr>
                <w:noProof/>
              </w:rPr>
              <w:t>G1.2.3 Rețelele de transport și infrastructura inteligentă de energie electrică</w:t>
            </w:r>
          </w:p>
        </w:tc>
        <w:tc>
          <w:tcPr>
            <w:tcW w:w="1275" w:type="dxa"/>
            <w:shd w:val="clear" w:color="auto" w:fill="C6EFCE"/>
            <w:hideMark/>
          </w:tcPr>
          <w:p w14:paraId="1216C8C0"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C1" w14:textId="5AAA62D2" w:rsidR="00A60DDE" w:rsidRDefault="00095506">
            <w:pPr>
              <w:pStyle w:val="P68B1DB1-Normal87"/>
              <w:spacing w:after="0" w:line="240" w:lineRule="auto"/>
              <w:textAlignment w:val="baseline"/>
              <w:rPr>
                <w:noProof/>
              </w:rPr>
            </w:pPr>
            <w:r>
              <w:rPr>
                <w:noProof/>
              </w:rPr>
              <w:t>Lungimea rețelei construite, modernizate sau modernizate de transport al energiei electrice (km)</w:t>
            </w:r>
          </w:p>
        </w:tc>
      </w:tr>
      <w:tr w:rsidR="00A60DDE" w14:paraId="1216C8C7" w14:textId="77777777">
        <w:trPr>
          <w:trHeight w:val="300"/>
          <w:jc w:val="center"/>
        </w:trPr>
        <w:tc>
          <w:tcPr>
            <w:tcW w:w="1277" w:type="dxa"/>
            <w:shd w:val="clear" w:color="auto" w:fill="C6EFCE"/>
            <w:hideMark/>
          </w:tcPr>
          <w:p w14:paraId="1216C8C3"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G19G </w:t>
            </w:r>
          </w:p>
        </w:tc>
        <w:tc>
          <w:tcPr>
            <w:tcW w:w="3402" w:type="dxa"/>
            <w:shd w:val="clear" w:color="auto" w:fill="C6EFCE"/>
            <w:hideMark/>
          </w:tcPr>
          <w:p w14:paraId="1216C8C4" w14:textId="77777777" w:rsidR="00A60DDE" w:rsidRDefault="00095506">
            <w:pPr>
              <w:pStyle w:val="P68B1DB1-Normal85"/>
              <w:spacing w:line="240" w:lineRule="auto"/>
              <w:textAlignment w:val="baseline"/>
              <w:rPr>
                <w:rFonts w:eastAsia="Times New Roman" w:cs="Times New Roman"/>
                <w:noProof/>
              </w:rPr>
            </w:pPr>
            <w:r>
              <w:rPr>
                <w:noProof/>
              </w:rPr>
              <w:t>G1.2.3. Rețelele de transport și infrastructura inteligentă de energie electrică</w:t>
            </w:r>
          </w:p>
        </w:tc>
        <w:tc>
          <w:tcPr>
            <w:tcW w:w="1275" w:type="dxa"/>
            <w:shd w:val="clear" w:color="auto" w:fill="C6EFCE"/>
            <w:hideMark/>
          </w:tcPr>
          <w:p w14:paraId="1216C8C5"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C6" w14:textId="33CAFFA2" w:rsidR="00A60DDE" w:rsidRDefault="00095506">
            <w:pPr>
              <w:pStyle w:val="P68B1DB1-Normal87"/>
              <w:spacing w:after="0" w:line="240" w:lineRule="auto"/>
              <w:textAlignment w:val="baseline"/>
              <w:rPr>
                <w:noProof/>
              </w:rPr>
            </w:pPr>
            <w:r>
              <w:rPr>
                <w:noProof/>
              </w:rPr>
              <w:t>Lungimea rețelei construite, modernizate sau modernizate de transport al energiei electrice (km)</w:t>
            </w:r>
          </w:p>
        </w:tc>
      </w:tr>
      <w:tr w:rsidR="00A60DDE" w14:paraId="1216C8CC" w14:textId="77777777">
        <w:trPr>
          <w:trHeight w:val="300"/>
          <w:jc w:val="center"/>
        </w:trPr>
        <w:tc>
          <w:tcPr>
            <w:tcW w:w="1277" w:type="dxa"/>
            <w:shd w:val="clear" w:color="auto" w:fill="C6EFCE"/>
            <w:hideMark/>
          </w:tcPr>
          <w:p w14:paraId="1216C8C8"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G20G </w:t>
            </w:r>
          </w:p>
        </w:tc>
        <w:tc>
          <w:tcPr>
            <w:tcW w:w="3402" w:type="dxa"/>
            <w:shd w:val="clear" w:color="auto" w:fill="C6EFCE"/>
            <w:hideMark/>
          </w:tcPr>
          <w:p w14:paraId="1216C8C9" w14:textId="77777777" w:rsidR="00A60DDE" w:rsidRDefault="00095506">
            <w:pPr>
              <w:pStyle w:val="P68B1DB1-Normal85"/>
              <w:spacing w:line="240" w:lineRule="auto"/>
              <w:textAlignment w:val="baseline"/>
              <w:rPr>
                <w:rFonts w:eastAsia="Times New Roman" w:cs="Times New Roman"/>
                <w:noProof/>
              </w:rPr>
            </w:pPr>
            <w:r>
              <w:rPr>
                <w:noProof/>
              </w:rPr>
              <w:t>G1.2.3 Rețelele de transport și infrastructura inteligentă de energie electrică</w:t>
            </w:r>
          </w:p>
        </w:tc>
        <w:tc>
          <w:tcPr>
            <w:tcW w:w="1275" w:type="dxa"/>
            <w:shd w:val="clear" w:color="auto" w:fill="C6EFCE"/>
            <w:hideMark/>
          </w:tcPr>
          <w:p w14:paraId="1216C8CA"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CB" w14:textId="77777777" w:rsidR="00A60DDE" w:rsidRDefault="00095506">
            <w:pPr>
              <w:pStyle w:val="P68B1DB1-Normal87"/>
              <w:spacing w:line="240" w:lineRule="auto"/>
              <w:textAlignment w:val="baseline"/>
              <w:rPr>
                <w:noProof/>
              </w:rPr>
            </w:pPr>
            <w:r>
              <w:rPr>
                <w:noProof/>
              </w:rPr>
              <w:t>(Sub)stații extinse, modernizate sau noi în cadrul rețelei de transport</w:t>
            </w:r>
          </w:p>
        </w:tc>
      </w:tr>
      <w:tr w:rsidR="00A60DDE" w14:paraId="1216C8D1" w14:textId="77777777">
        <w:trPr>
          <w:trHeight w:val="300"/>
          <w:jc w:val="center"/>
        </w:trPr>
        <w:tc>
          <w:tcPr>
            <w:tcW w:w="1277" w:type="dxa"/>
            <w:shd w:val="clear" w:color="auto" w:fill="C6EFCE"/>
            <w:hideMark/>
          </w:tcPr>
          <w:p w14:paraId="1216C8CD"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G24G </w:t>
            </w:r>
          </w:p>
        </w:tc>
        <w:tc>
          <w:tcPr>
            <w:tcW w:w="3402" w:type="dxa"/>
            <w:shd w:val="clear" w:color="auto" w:fill="C6EFCE"/>
            <w:hideMark/>
          </w:tcPr>
          <w:p w14:paraId="1216C8CE" w14:textId="77777777" w:rsidR="00A60DDE" w:rsidRDefault="00095506">
            <w:pPr>
              <w:pStyle w:val="P68B1DB1-Normal85"/>
              <w:spacing w:line="240" w:lineRule="auto"/>
              <w:textAlignment w:val="baseline"/>
              <w:rPr>
                <w:rFonts w:eastAsia="Times New Roman" w:cs="Times New Roman"/>
                <w:noProof/>
              </w:rPr>
            </w:pPr>
            <w:r>
              <w:rPr>
                <w:noProof/>
              </w:rPr>
              <w:t>G1.2.4 Construirea sau modernizarea rețelelor de distribuție a energiei electrice</w:t>
            </w:r>
          </w:p>
        </w:tc>
        <w:tc>
          <w:tcPr>
            <w:tcW w:w="1275" w:type="dxa"/>
            <w:shd w:val="clear" w:color="auto" w:fill="C6EFCE"/>
            <w:hideMark/>
          </w:tcPr>
          <w:p w14:paraId="1216C8CF"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D0" w14:textId="2A133626" w:rsidR="00A60DDE" w:rsidRDefault="00095506">
            <w:pPr>
              <w:pStyle w:val="P68B1DB1-Normal87"/>
              <w:spacing w:line="240" w:lineRule="auto"/>
              <w:textAlignment w:val="baseline"/>
              <w:rPr>
                <w:noProof/>
              </w:rPr>
            </w:pPr>
            <w:r>
              <w:rPr>
                <w:noProof/>
              </w:rPr>
              <w:t>Lungimea rețelei de distribuție construite, modernizate sau modernizate (km)</w:t>
            </w:r>
          </w:p>
        </w:tc>
      </w:tr>
      <w:tr w:rsidR="00A60DDE" w14:paraId="1216C8D6" w14:textId="77777777">
        <w:trPr>
          <w:trHeight w:val="300"/>
          <w:jc w:val="center"/>
        </w:trPr>
        <w:tc>
          <w:tcPr>
            <w:tcW w:w="1277" w:type="dxa"/>
            <w:shd w:val="clear" w:color="auto" w:fill="C6EFCE"/>
            <w:hideMark/>
          </w:tcPr>
          <w:p w14:paraId="1216C8D2"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G27G </w:t>
            </w:r>
          </w:p>
        </w:tc>
        <w:tc>
          <w:tcPr>
            <w:tcW w:w="3402" w:type="dxa"/>
            <w:shd w:val="clear" w:color="auto" w:fill="C6EFCE"/>
            <w:hideMark/>
          </w:tcPr>
          <w:p w14:paraId="1216C8D3" w14:textId="77777777" w:rsidR="00A60DDE" w:rsidRDefault="00095506">
            <w:pPr>
              <w:pStyle w:val="P68B1DB1-Normal85"/>
              <w:spacing w:line="240" w:lineRule="auto"/>
              <w:textAlignment w:val="baseline"/>
              <w:rPr>
                <w:rFonts w:eastAsia="Times New Roman" w:cs="Times New Roman"/>
                <w:noProof/>
              </w:rPr>
            </w:pPr>
            <w:r>
              <w:rPr>
                <w:noProof/>
              </w:rPr>
              <w:t>G1.3.2 Transportul în comun cu emisii zero (autobuze)</w:t>
            </w:r>
          </w:p>
        </w:tc>
        <w:tc>
          <w:tcPr>
            <w:tcW w:w="1275" w:type="dxa"/>
            <w:shd w:val="clear" w:color="auto" w:fill="C6EFCE"/>
            <w:hideMark/>
          </w:tcPr>
          <w:p w14:paraId="1216C8D4"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D5" w14:textId="6AD91987" w:rsidR="00A60DDE" w:rsidRDefault="00095506">
            <w:pPr>
              <w:pStyle w:val="P68B1DB1-Normal87"/>
              <w:spacing w:line="240" w:lineRule="auto"/>
              <w:textAlignment w:val="baseline"/>
              <w:rPr>
                <w:noProof/>
              </w:rPr>
            </w:pPr>
            <w:r>
              <w:rPr>
                <w:noProof/>
              </w:rPr>
              <w:t>Autobuze cu emisii zero</w:t>
            </w:r>
          </w:p>
        </w:tc>
      </w:tr>
      <w:tr w:rsidR="00A60DDE" w14:paraId="1216C8DB" w14:textId="77777777">
        <w:trPr>
          <w:trHeight w:val="300"/>
          <w:jc w:val="center"/>
        </w:trPr>
        <w:tc>
          <w:tcPr>
            <w:tcW w:w="1277" w:type="dxa"/>
            <w:shd w:val="clear" w:color="auto" w:fill="C6EFCE"/>
            <w:hideMark/>
          </w:tcPr>
          <w:p w14:paraId="1216C8D7"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 </w:t>
            </w:r>
          </w:p>
        </w:tc>
        <w:tc>
          <w:tcPr>
            <w:tcW w:w="3402" w:type="dxa"/>
            <w:shd w:val="clear" w:color="auto" w:fill="C6EFCE"/>
            <w:hideMark/>
          </w:tcPr>
          <w:p w14:paraId="1216C8D8" w14:textId="77777777" w:rsidR="00A60DDE" w:rsidRDefault="00095506">
            <w:pPr>
              <w:pStyle w:val="P68B1DB1-Normal85"/>
              <w:spacing w:line="240" w:lineRule="auto"/>
              <w:textAlignment w:val="baseline"/>
              <w:rPr>
                <w:rFonts w:eastAsia="Times New Roman" w:cs="Times New Roman"/>
                <w:noProof/>
              </w:rPr>
            </w:pPr>
            <w:r>
              <w:rPr>
                <w:noProof/>
              </w:rPr>
              <w:t xml:space="preserve"> </w:t>
            </w:r>
          </w:p>
        </w:tc>
        <w:tc>
          <w:tcPr>
            <w:tcW w:w="1275" w:type="dxa"/>
            <w:shd w:val="clear" w:color="auto" w:fill="C6EFCE"/>
            <w:hideMark/>
          </w:tcPr>
          <w:p w14:paraId="1216C8D9" w14:textId="77777777" w:rsidR="00A60DDE" w:rsidRDefault="00095506">
            <w:pPr>
              <w:pStyle w:val="P68B1DB1-Normal85"/>
              <w:spacing w:line="240" w:lineRule="auto"/>
              <w:ind w:right="30"/>
              <w:jc w:val="center"/>
              <w:textAlignment w:val="baseline"/>
              <w:rPr>
                <w:rFonts w:eastAsia="Times New Roman" w:cs="Times New Roman"/>
                <w:noProof/>
              </w:rPr>
            </w:pPr>
            <w:r>
              <w:rPr>
                <w:noProof/>
              </w:rPr>
              <w:t>Valoarea tranșei</w:t>
            </w:r>
          </w:p>
        </w:tc>
        <w:tc>
          <w:tcPr>
            <w:tcW w:w="3686" w:type="dxa"/>
            <w:shd w:val="clear" w:color="auto" w:fill="C6EFCE"/>
            <w:hideMark/>
          </w:tcPr>
          <w:p w14:paraId="1216C8DA" w14:textId="79BBC39E" w:rsidR="00A60DDE" w:rsidRDefault="00095506">
            <w:pPr>
              <w:pStyle w:val="P68B1DB1-Normal85"/>
              <w:spacing w:line="240" w:lineRule="auto"/>
              <w:textAlignment w:val="baseline"/>
              <w:rPr>
                <w:rFonts w:eastAsia="Times New Roman" w:cs="Times New Roman"/>
                <w:strike/>
                <w:noProof/>
              </w:rPr>
            </w:pPr>
            <w:r>
              <w:rPr>
                <w:noProof/>
              </w:rPr>
              <w:t>6 928 216 574 EUR</w:t>
            </w:r>
          </w:p>
        </w:tc>
      </w:tr>
    </w:tbl>
    <w:p w14:paraId="1216C8DC" w14:textId="5D75684B" w:rsidR="00A60DDE" w:rsidRDefault="00A60DDE">
      <w:pPr>
        <w:spacing w:line="240" w:lineRule="auto"/>
        <w:ind w:left="-15"/>
        <w:jc w:val="both"/>
        <w:textAlignment w:val="baseline"/>
        <w:rPr>
          <w:rFonts w:ascii="Times New Roman" w:eastAsia="Times New Roman" w:hAnsi="Times New Roman" w:cs="Times New Roman"/>
          <w:i/>
          <w:iCs/>
          <w:noProof/>
          <w:sz w:val="24"/>
          <w:szCs w:val="24"/>
        </w:rPr>
      </w:pPr>
    </w:p>
    <w:p w14:paraId="1216C8DD" w14:textId="26520509" w:rsidR="00A60DDE" w:rsidRDefault="00095506">
      <w:pPr>
        <w:pStyle w:val="P68B1DB1-Normal15"/>
        <w:rPr>
          <w:i/>
          <w:iCs/>
          <w:noProof/>
        </w:rPr>
      </w:pPr>
      <w:r>
        <w:rPr>
          <w:noProof/>
        </w:rPr>
        <w:br w:type="page"/>
      </w:r>
      <w:r>
        <w:rPr>
          <w:i/>
          <w:noProof/>
        </w:rPr>
        <w:t>2.2. Împrumut</w:t>
      </w:r>
    </w:p>
    <w:p w14:paraId="1216C8DE" w14:textId="04AC0CC3" w:rsidR="00A60DDE" w:rsidRDefault="00095506">
      <w:pPr>
        <w:pStyle w:val="P68B1DB1-Normal87"/>
        <w:spacing w:line="240" w:lineRule="auto"/>
        <w:ind w:left="-15"/>
        <w:textAlignment w:val="baseline"/>
        <w:rPr>
          <w:rFonts w:ascii="Segoe UI" w:hAnsi="Segoe UI" w:cs="Segoe UI"/>
          <w:noProof/>
          <w:sz w:val="18"/>
          <w:szCs w:val="18"/>
        </w:rPr>
      </w:pPr>
      <w:r>
        <w:rPr>
          <w:noProof/>
        </w:rPr>
        <w:t>Tranșele menționate la articolul 3 alineatul (2) se organizează după cum urmează:</w:t>
      </w:r>
    </w:p>
    <w:p w14:paraId="1216C8DF" w14:textId="3528F209" w:rsidR="00A60DDE" w:rsidRDefault="00095506">
      <w:pPr>
        <w:pStyle w:val="P68B1DB1-Normal87"/>
        <w:spacing w:line="240" w:lineRule="auto"/>
        <w:ind w:left="-15"/>
        <w:textAlignment w:val="baseline"/>
        <w:rPr>
          <w:rFonts w:ascii="Segoe UI" w:hAnsi="Segoe UI" w:cs="Segoe UI"/>
          <w:noProof/>
          <w:sz w:val="18"/>
          <w:szCs w:val="18"/>
        </w:rPr>
      </w:pPr>
      <w:r>
        <w:rPr>
          <w:noProof/>
        </w:rPr>
        <w:t xml:space="preserve">2.2.1. Prima tranșă (sprijin sub formă de împrumut): </w:t>
      </w:r>
    </w:p>
    <w:tbl>
      <w:tblPr>
        <w:tblW w:w="96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3428"/>
        <w:gridCol w:w="1275"/>
        <w:gridCol w:w="3686"/>
      </w:tblGrid>
      <w:tr w:rsidR="00A60DDE" w14:paraId="1216C8E4" w14:textId="77777777">
        <w:trPr>
          <w:trHeight w:val="300"/>
          <w:tblHeader/>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BDD6EE"/>
            <w:hideMark/>
          </w:tcPr>
          <w:p w14:paraId="1216C8E0" w14:textId="11E33E1B" w:rsidR="00A60DDE" w:rsidRDefault="00095506">
            <w:pPr>
              <w:pStyle w:val="P68B1DB1-Normal87"/>
              <w:spacing w:line="240" w:lineRule="auto"/>
              <w:jc w:val="center"/>
              <w:textAlignment w:val="baseline"/>
              <w:rPr>
                <w:noProof/>
                <w:sz w:val="24"/>
                <w:szCs w:val="24"/>
              </w:rPr>
            </w:pPr>
            <w:r>
              <w:rPr>
                <w:b/>
                <w:noProof/>
              </w:rPr>
              <w:t>Număr secvențial</w:t>
            </w:r>
            <w:r>
              <w:rPr>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BDD6EE"/>
            <w:hideMark/>
          </w:tcPr>
          <w:p w14:paraId="1216C8E1" w14:textId="7D3D6442"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8E2" w14:textId="77777777" w:rsidR="00A60DDE" w:rsidRDefault="00095506">
            <w:pPr>
              <w:pStyle w:val="P68B1DB1-Normal100"/>
              <w:spacing w:line="240" w:lineRule="auto"/>
              <w:ind w:left="-5" w:right="15"/>
              <w:jc w:val="center"/>
              <w:textAlignment w:val="baseline"/>
              <w:rPr>
                <w:noProof/>
                <w:sz w:val="24"/>
                <w:szCs w:val="24"/>
              </w:rPr>
            </w:pPr>
            <w:r>
              <w:rPr>
                <w:noProof/>
              </w:rPr>
              <w:t>Etapa/ținta</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8E3" w14:textId="1D3B4357" w:rsidR="00A60DDE" w:rsidRDefault="00095506">
            <w:pPr>
              <w:pStyle w:val="P68B1DB1-Normal87"/>
              <w:spacing w:line="240" w:lineRule="auto"/>
              <w:ind w:right="45"/>
              <w:jc w:val="center"/>
              <w:textAlignment w:val="baseline"/>
              <w:rPr>
                <w:noProof/>
                <w:sz w:val="24"/>
                <w:szCs w:val="24"/>
              </w:rPr>
            </w:pPr>
            <w:r>
              <w:rPr>
                <w:b/>
                <w:noProof/>
              </w:rPr>
              <w:t>Denumire</w:t>
            </w:r>
            <w:r>
              <w:rPr>
                <w:noProof/>
              </w:rPr>
              <w:t xml:space="preserve"> </w:t>
            </w:r>
          </w:p>
        </w:tc>
      </w:tr>
      <w:tr w:rsidR="00A60DDE" w14:paraId="1216C8E9"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5" w14:textId="76119FD3" w:rsidR="00A60DDE" w:rsidRDefault="00095506">
            <w:pPr>
              <w:pStyle w:val="P68B1DB1-Normal87"/>
              <w:spacing w:line="240" w:lineRule="auto"/>
              <w:ind w:right="45"/>
              <w:jc w:val="center"/>
              <w:textAlignment w:val="baseline"/>
              <w:rPr>
                <w:noProof/>
                <w:sz w:val="24"/>
                <w:szCs w:val="24"/>
              </w:rPr>
            </w:pPr>
            <w:r>
              <w:rPr>
                <w:noProof/>
              </w:rPr>
              <w:t xml:space="preserve">B1L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6" w14:textId="57725294" w:rsidR="00A60DDE" w:rsidRDefault="00095506">
            <w:pPr>
              <w:pStyle w:val="P68B1DB1-Normal87"/>
              <w:spacing w:line="240" w:lineRule="auto"/>
              <w:textAlignment w:val="baseline"/>
              <w:rPr>
                <w:noProof/>
                <w:sz w:val="24"/>
                <w:szCs w:val="24"/>
              </w:rPr>
            </w:pPr>
            <w:r>
              <w:rPr>
                <w:noProof/>
              </w:rPr>
              <w:t>B1.2 Facilitarea punerii în aplicare a obligației de economisire a energiei pentru întreprinderile energetice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7"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8" w14:textId="7B1CA6A6" w:rsidR="00A60DDE" w:rsidRDefault="00095506">
            <w:pPr>
              <w:pStyle w:val="P68B1DB1-Normal87"/>
              <w:spacing w:line="240" w:lineRule="auto"/>
              <w:textAlignment w:val="baseline"/>
              <w:rPr>
                <w:noProof/>
                <w:sz w:val="24"/>
                <w:szCs w:val="24"/>
              </w:rPr>
            </w:pPr>
            <w:r>
              <w:rPr>
                <w:noProof/>
              </w:rPr>
              <w:t xml:space="preserve">Intrarea în vigoare a regulamentului de punere în aplicare a Legii privind eficiența energetică </w:t>
            </w:r>
          </w:p>
        </w:tc>
      </w:tr>
      <w:tr w:rsidR="00A60DDE" w14:paraId="1216C8EE"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A" w14:textId="40600C49" w:rsidR="00A60DDE" w:rsidRDefault="00095506">
            <w:pPr>
              <w:pStyle w:val="P68B1DB1-Normal87"/>
              <w:spacing w:line="240" w:lineRule="auto"/>
              <w:ind w:right="45"/>
              <w:jc w:val="center"/>
              <w:textAlignment w:val="baseline"/>
              <w:rPr>
                <w:noProof/>
                <w:sz w:val="24"/>
                <w:szCs w:val="24"/>
              </w:rPr>
            </w:pPr>
            <w:r>
              <w:rPr>
                <w:noProof/>
              </w:rPr>
              <w:t xml:space="preserve">B10L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B" w14:textId="62738F6E" w:rsidR="00A60DDE" w:rsidRDefault="00095506">
            <w:pPr>
              <w:pStyle w:val="P68B1DB1-Normal87"/>
              <w:spacing w:line="240" w:lineRule="auto"/>
              <w:textAlignment w:val="baseline"/>
              <w:rPr>
                <w:noProof/>
                <w:sz w:val="24"/>
                <w:szCs w:val="24"/>
              </w:rPr>
            </w:pPr>
            <w:r>
              <w:rPr>
                <w:noProof/>
              </w:rPr>
              <w:t xml:space="preserve">B2.4 Cadrul juridic pentru dezvoltarea instalațiilor de stocare a energiei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C"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D" w14:textId="57D6EB61" w:rsidR="00A60DDE" w:rsidRDefault="00095506">
            <w:pPr>
              <w:pStyle w:val="P68B1DB1-Normal87"/>
              <w:spacing w:line="240" w:lineRule="auto"/>
              <w:ind w:right="30"/>
              <w:textAlignment w:val="baseline"/>
              <w:rPr>
                <w:noProof/>
                <w:sz w:val="24"/>
                <w:szCs w:val="24"/>
              </w:rPr>
            </w:pPr>
            <w:r>
              <w:rPr>
                <w:noProof/>
              </w:rPr>
              <w:t>Intrarea în vigoare a modificărilor aduse Legii energiei în ceea ce privește stocarea energiei</w:t>
            </w:r>
          </w:p>
        </w:tc>
      </w:tr>
      <w:tr w:rsidR="00A60DDE" w14:paraId="1216C8F3"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F" w14:textId="051439C4" w:rsidR="00A60DDE" w:rsidRDefault="00095506">
            <w:pPr>
              <w:pStyle w:val="P68B1DB1-Normal87"/>
              <w:spacing w:line="240" w:lineRule="auto"/>
              <w:ind w:right="45"/>
              <w:jc w:val="center"/>
              <w:textAlignment w:val="baseline"/>
              <w:rPr>
                <w:noProof/>
                <w:sz w:val="24"/>
                <w:szCs w:val="24"/>
              </w:rPr>
            </w:pPr>
            <w:r>
              <w:rPr>
                <w:noProof/>
              </w:rPr>
              <w:t xml:space="preserve">B21L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0" w14:textId="7B8A87C9" w:rsidR="00A60DDE" w:rsidRDefault="00095506">
            <w:pPr>
              <w:pStyle w:val="P68B1DB1-Normal87"/>
              <w:spacing w:line="240" w:lineRule="auto"/>
              <w:textAlignment w:val="baseline"/>
              <w:rPr>
                <w:noProof/>
                <w:sz w:val="24"/>
                <w:szCs w:val="24"/>
              </w:rPr>
            </w:pPr>
            <w:r>
              <w:rPr>
                <w:noProof/>
              </w:rPr>
              <w:t>B3.3 Sprijin pentru gestionarea durabilă a resurselor de apă în agricultură și în zonele rurale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1"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2" w14:textId="6B10CC7D" w:rsidR="00A60DDE" w:rsidRDefault="00095506">
            <w:pPr>
              <w:pStyle w:val="P68B1DB1-Normal87"/>
              <w:spacing w:line="240" w:lineRule="auto"/>
              <w:textAlignment w:val="baseline"/>
              <w:rPr>
                <w:noProof/>
                <w:sz w:val="24"/>
                <w:szCs w:val="24"/>
              </w:rPr>
            </w:pPr>
            <w:r>
              <w:rPr>
                <w:noProof/>
              </w:rPr>
              <w:t>Intrarea în vigoare a modificărilor legislației naționale necesare pentru îmbunătățirea condițiilor pentru o gestionare rezilientă a apei în agricultură și în zonele rurale</w:t>
            </w:r>
          </w:p>
        </w:tc>
      </w:tr>
      <w:tr w:rsidR="00A60DDE" w14:paraId="1216C8F8"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4" w14:textId="593CE502" w:rsidR="00A60DDE" w:rsidRDefault="00095506">
            <w:pPr>
              <w:pStyle w:val="P68B1DB1-Normal87"/>
              <w:spacing w:line="240" w:lineRule="auto"/>
              <w:ind w:right="45"/>
              <w:jc w:val="center"/>
              <w:textAlignment w:val="baseline"/>
              <w:rPr>
                <w:noProof/>
                <w:sz w:val="24"/>
                <w:szCs w:val="24"/>
              </w:rPr>
            </w:pPr>
            <w:r>
              <w:rPr>
                <w:noProof/>
              </w:rPr>
              <w:t xml:space="preserve">B22L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5" w14:textId="4E571325" w:rsidR="00A60DDE" w:rsidRDefault="00095506">
            <w:pPr>
              <w:pStyle w:val="P68B1DB1-Normal87"/>
              <w:spacing w:line="240" w:lineRule="auto"/>
              <w:ind w:right="30"/>
              <w:textAlignment w:val="baseline"/>
              <w:rPr>
                <w:noProof/>
                <w:sz w:val="24"/>
                <w:szCs w:val="24"/>
              </w:rPr>
            </w:pPr>
            <w:r>
              <w:rPr>
                <w:noProof/>
              </w:rPr>
              <w:t>B3.3.1 Investiții în creșterea potențialului gestionării durabile a apei în zonele rurale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6"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7" w14:textId="7E81D8F5" w:rsidR="00A60DDE" w:rsidRDefault="00095506">
            <w:pPr>
              <w:pStyle w:val="P68B1DB1-Normal87"/>
              <w:spacing w:line="240" w:lineRule="auto"/>
              <w:textAlignment w:val="baseline"/>
              <w:rPr>
                <w:noProof/>
                <w:sz w:val="24"/>
                <w:szCs w:val="24"/>
              </w:rPr>
            </w:pPr>
            <w:r>
              <w:rPr>
                <w:noProof/>
              </w:rPr>
              <w:t>Adoptarea criteriilor de selecție pentru cererile de propuneri</w:t>
            </w:r>
          </w:p>
        </w:tc>
      </w:tr>
      <w:tr w:rsidR="00A60DDE" w14:paraId="1216C8FD"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9" w14:textId="64048DDE" w:rsidR="00A60DDE" w:rsidRDefault="00095506">
            <w:pPr>
              <w:pStyle w:val="P68B1DB1-Normal87"/>
              <w:spacing w:line="240" w:lineRule="auto"/>
              <w:ind w:right="45"/>
              <w:jc w:val="center"/>
              <w:textAlignment w:val="baseline"/>
              <w:rPr>
                <w:noProof/>
                <w:sz w:val="24"/>
                <w:szCs w:val="24"/>
              </w:rPr>
            </w:pPr>
            <w:r>
              <w:rPr>
                <w:noProof/>
              </w:rPr>
              <w:t xml:space="preserve">B25L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A" w14:textId="1CC12382" w:rsidR="00A60DDE" w:rsidRDefault="00095506">
            <w:pPr>
              <w:pStyle w:val="P68B1DB1-Normal87"/>
              <w:spacing w:line="240" w:lineRule="auto"/>
              <w:textAlignment w:val="baseline"/>
              <w:rPr>
                <w:noProof/>
                <w:sz w:val="24"/>
                <w:szCs w:val="24"/>
              </w:rPr>
            </w:pPr>
            <w:r>
              <w:rPr>
                <w:noProof/>
              </w:rPr>
              <w:t>B3.4 Cadrul favorabil pentru investițiile în tranziția verde în zonele urbane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B"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C" w14:textId="0C88341E" w:rsidR="00A60DDE" w:rsidRDefault="00095506">
            <w:pPr>
              <w:pStyle w:val="P68B1DB1-Normal87"/>
              <w:spacing w:line="240" w:lineRule="auto"/>
              <w:textAlignment w:val="baseline"/>
              <w:rPr>
                <w:noProof/>
                <w:sz w:val="24"/>
                <w:szCs w:val="24"/>
              </w:rPr>
            </w:pPr>
            <w:r>
              <w:rPr>
                <w:noProof/>
              </w:rPr>
              <w:t>Instrumentul pentru transformarea urbană ecologică</w:t>
            </w:r>
          </w:p>
        </w:tc>
      </w:tr>
      <w:tr w:rsidR="00A60DDE" w14:paraId="1216C902"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E" w14:textId="5F2EDD9E" w:rsidR="00A60DDE" w:rsidRDefault="00095506">
            <w:pPr>
              <w:pStyle w:val="P68B1DB1-Normal87"/>
              <w:spacing w:line="240" w:lineRule="auto"/>
              <w:ind w:right="45"/>
              <w:jc w:val="center"/>
              <w:textAlignment w:val="baseline"/>
              <w:rPr>
                <w:noProof/>
                <w:sz w:val="24"/>
                <w:szCs w:val="24"/>
              </w:rPr>
            </w:pPr>
            <w:r>
              <w:rPr>
                <w:noProof/>
              </w:rPr>
              <w:t xml:space="preserve">B28L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F" w14:textId="60BBB950" w:rsidR="00A60DDE" w:rsidRDefault="00095506">
            <w:pPr>
              <w:pStyle w:val="P68B1DB1-Normal87"/>
              <w:spacing w:line="240" w:lineRule="auto"/>
              <w:textAlignment w:val="baseline"/>
              <w:rPr>
                <w:noProof/>
                <w:sz w:val="24"/>
                <w:szCs w:val="24"/>
              </w:rPr>
            </w:pPr>
            <w:r>
              <w:rPr>
                <w:noProof/>
              </w:rPr>
              <w:t>B3.5 Reforma construcției de locuințe pentru persoanele cu venituri mici și medii, ținând seama de creșterea eficienței energetice a clădirilor</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0"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1" w14:textId="60440D62" w:rsidR="00A60DDE" w:rsidRDefault="00095506">
            <w:pPr>
              <w:pStyle w:val="P68B1DB1-Normal87"/>
              <w:spacing w:line="240" w:lineRule="auto"/>
              <w:ind w:right="30"/>
              <w:textAlignment w:val="baseline"/>
              <w:rPr>
                <w:noProof/>
                <w:sz w:val="24"/>
                <w:szCs w:val="24"/>
              </w:rPr>
            </w:pPr>
            <w:r>
              <w:rPr>
                <w:noProof/>
              </w:rPr>
              <w:t>Intrarea în vigoare a unei modificări a Legii din 8 decembrie 2006 privind sprijinul financiar pentru crearea de spații rezidențiale pentru închiriere, locuințe protejate, adăposturi de noapte, adăposturi pentru persoanele fără adăpost, centrale termice și spații temporare și modificările rezultate în alte acte</w:t>
            </w:r>
          </w:p>
        </w:tc>
      </w:tr>
      <w:tr w:rsidR="00A60DDE" w14:paraId="1216C907"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3" w14:textId="707BB7FA" w:rsidR="00A60DDE" w:rsidRDefault="00095506">
            <w:pPr>
              <w:pStyle w:val="P68B1DB1-Normal87"/>
              <w:spacing w:line="240" w:lineRule="auto"/>
              <w:ind w:right="45"/>
              <w:jc w:val="center"/>
              <w:textAlignment w:val="baseline"/>
              <w:rPr>
                <w:noProof/>
                <w:sz w:val="24"/>
                <w:szCs w:val="24"/>
              </w:rPr>
            </w:pPr>
            <w:r>
              <w:rPr>
                <w:noProof/>
              </w:rPr>
              <w:t xml:space="preserve">B33L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4" w14:textId="106D5B5F" w:rsidR="00A60DDE" w:rsidRDefault="00095506">
            <w:pPr>
              <w:pStyle w:val="P68B1DB1-Normal87"/>
              <w:spacing w:line="240" w:lineRule="auto"/>
              <w:textAlignment w:val="baseline"/>
              <w:rPr>
                <w:noProof/>
                <w:sz w:val="24"/>
                <w:szCs w:val="24"/>
              </w:rPr>
            </w:pPr>
            <w:r>
              <w:rPr>
                <w:noProof/>
              </w:rPr>
              <w:t>B2.2 Îmbunătățirea condițiilor de dezvoltare a surselor regenerabile de energie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5"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6" w14:textId="2DC24211" w:rsidR="00A60DDE" w:rsidRDefault="00095506">
            <w:pPr>
              <w:pStyle w:val="P68B1DB1-Normal87"/>
              <w:spacing w:line="240" w:lineRule="auto"/>
              <w:textAlignment w:val="baseline"/>
              <w:rPr>
                <w:noProof/>
                <w:sz w:val="24"/>
                <w:szCs w:val="24"/>
              </w:rPr>
            </w:pPr>
            <w:r>
              <w:rPr>
                <w:noProof/>
              </w:rPr>
              <w:t>Intrarea în vigoare a actului de modificare a Legii privind investițiile în parcurile eoliene terestre</w:t>
            </w:r>
          </w:p>
        </w:tc>
      </w:tr>
      <w:tr w:rsidR="00A60DDE" w14:paraId="1216C90C"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8" w14:textId="09C58F9E" w:rsidR="00A60DDE" w:rsidRDefault="00095506">
            <w:pPr>
              <w:pStyle w:val="P68B1DB1-Normal87"/>
              <w:spacing w:line="240" w:lineRule="auto"/>
              <w:ind w:right="45"/>
              <w:jc w:val="center"/>
              <w:textAlignment w:val="baseline"/>
              <w:rPr>
                <w:noProof/>
                <w:sz w:val="24"/>
                <w:szCs w:val="24"/>
              </w:rPr>
            </w:pPr>
            <w:r>
              <w:rPr>
                <w:noProof/>
              </w:rPr>
              <w:t xml:space="preserve">B35L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9" w14:textId="0D45970B" w:rsidR="00A60DDE" w:rsidRDefault="00095506">
            <w:pPr>
              <w:pStyle w:val="P68B1DB1-Normal87"/>
              <w:spacing w:line="240" w:lineRule="auto"/>
              <w:textAlignment w:val="baseline"/>
              <w:rPr>
                <w:noProof/>
                <w:sz w:val="24"/>
                <w:szCs w:val="24"/>
              </w:rPr>
            </w:pPr>
            <w:r>
              <w:rPr>
                <w:noProof/>
              </w:rPr>
              <w:t>B2.2 Îmbunătățirea condițiilor de dezvoltare a surselor regenerabile de energie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A" w14:textId="77777777" w:rsidR="00A60DDE" w:rsidRDefault="00095506">
            <w:pPr>
              <w:pStyle w:val="P68B1DB1-Normal87"/>
              <w:spacing w:line="240" w:lineRule="auto"/>
              <w:ind w:left="-5" w:right="45"/>
              <w:jc w:val="center"/>
              <w:textAlignment w:val="baseline"/>
              <w:rPr>
                <w:noProof/>
                <w:sz w:val="24"/>
                <w:szCs w:val="24"/>
              </w:rPr>
            </w:pPr>
            <w:r>
              <w:rPr>
                <w:noProof/>
              </w:rPr>
              <w:t>Țintă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B" w14:textId="7D863ECA" w:rsidR="00A60DDE" w:rsidRDefault="00095506">
            <w:pPr>
              <w:pStyle w:val="P68B1DB1-Normal87"/>
              <w:spacing w:line="240" w:lineRule="auto"/>
              <w:textAlignment w:val="baseline"/>
              <w:rPr>
                <w:noProof/>
                <w:sz w:val="24"/>
                <w:szCs w:val="24"/>
              </w:rPr>
            </w:pPr>
            <w:r>
              <w:rPr>
                <w:noProof/>
              </w:rPr>
              <w:t>T1 - Capacitatea instalată a instalațiilor eoliene și fotovoltaice terestre (în GW)</w:t>
            </w:r>
          </w:p>
        </w:tc>
      </w:tr>
      <w:tr w:rsidR="00A60DDE" w14:paraId="1216C911"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D" w14:textId="47C39CF5" w:rsidR="00A60DDE" w:rsidRDefault="00095506">
            <w:pPr>
              <w:pStyle w:val="P68B1DB1-Normal87"/>
              <w:spacing w:line="240" w:lineRule="auto"/>
              <w:ind w:right="45"/>
              <w:jc w:val="center"/>
              <w:textAlignment w:val="baseline"/>
              <w:rPr>
                <w:noProof/>
                <w:sz w:val="24"/>
                <w:szCs w:val="24"/>
              </w:rPr>
            </w:pPr>
            <w:r>
              <w:rPr>
                <w:noProof/>
              </w:rPr>
              <w:t xml:space="preserve">B39L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E" w14:textId="0FFD8E37" w:rsidR="00A60DDE" w:rsidRDefault="00095506">
            <w:pPr>
              <w:pStyle w:val="P68B1DB1-Normal87"/>
              <w:spacing w:line="240" w:lineRule="auto"/>
              <w:textAlignment w:val="baseline"/>
              <w:rPr>
                <w:noProof/>
                <w:sz w:val="24"/>
                <w:szCs w:val="24"/>
              </w:rPr>
            </w:pPr>
            <w:r>
              <w:rPr>
                <w:noProof/>
              </w:rPr>
              <w:t>B2.2 Îmbunătățirea condițiilor de dezvoltare a surselor regenerabile de energie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F"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0" w14:textId="2223CF1C" w:rsidR="00A60DDE" w:rsidRDefault="00095506">
            <w:pPr>
              <w:pStyle w:val="P68B1DB1-Normal87"/>
              <w:spacing w:line="240" w:lineRule="auto"/>
              <w:textAlignment w:val="baseline"/>
              <w:rPr>
                <w:noProof/>
                <w:sz w:val="24"/>
                <w:szCs w:val="24"/>
              </w:rPr>
            </w:pPr>
            <w:r>
              <w:rPr>
                <w:noProof/>
              </w:rPr>
              <w:t>Intrarea în vigoare a regulamentului de punere în aplicare care decurge din Legea din 17 decembrie 2020 privind promovarea generării de energie electrică în parcurile eoliene offshore</w:t>
            </w:r>
          </w:p>
        </w:tc>
      </w:tr>
      <w:tr w:rsidR="00A60DDE" w14:paraId="1216C916"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2" w14:textId="4BEA89E7" w:rsidR="00A60DDE" w:rsidRDefault="00095506">
            <w:pPr>
              <w:pStyle w:val="P68B1DB1-Normal87"/>
              <w:spacing w:line="240" w:lineRule="auto"/>
              <w:jc w:val="center"/>
              <w:textAlignment w:val="baseline"/>
              <w:rPr>
                <w:noProof/>
                <w:sz w:val="24"/>
                <w:szCs w:val="24"/>
              </w:rPr>
            </w:pPr>
            <w:r>
              <w:rPr>
                <w:noProof/>
              </w:rPr>
              <w:t xml:space="preserve">C1L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3" w14:textId="725708E8" w:rsidR="00A60DDE" w:rsidRDefault="00095506">
            <w:pPr>
              <w:pStyle w:val="P68B1DB1-Normal87"/>
              <w:spacing w:line="240" w:lineRule="auto"/>
              <w:textAlignment w:val="baseline"/>
              <w:rPr>
                <w:noProof/>
                <w:sz w:val="24"/>
                <w:szCs w:val="24"/>
              </w:rPr>
            </w:pPr>
            <w:r>
              <w:rPr>
                <w:noProof/>
              </w:rPr>
              <w:t>C1.2 Creșterea nivelului de accesibilitate și utilizare a comunicațiilor moderne prin cablu și fără fir pentru nevoile sociale și economice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4"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5" w14:textId="09D3263F" w:rsidR="00A60DDE" w:rsidRDefault="00095506">
            <w:pPr>
              <w:pStyle w:val="P68B1DB1-Normal87"/>
              <w:spacing w:line="240" w:lineRule="auto"/>
              <w:textAlignment w:val="baseline"/>
              <w:rPr>
                <w:noProof/>
                <w:sz w:val="24"/>
                <w:szCs w:val="24"/>
              </w:rPr>
            </w:pPr>
            <w:r>
              <w:rPr>
                <w:noProof/>
              </w:rPr>
              <w:t>Modificarea Regulamentului din 17 februarie 2020 privind monitorizarea emisiilor de câmp electromagnetic în mediu</w:t>
            </w:r>
          </w:p>
        </w:tc>
      </w:tr>
      <w:tr w:rsidR="00A60DDE" w14:paraId="1216C91B"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7" w14:textId="4FCF0929" w:rsidR="00A60DDE" w:rsidRDefault="00095506">
            <w:pPr>
              <w:pStyle w:val="P68B1DB1-Normal87"/>
              <w:spacing w:line="240" w:lineRule="auto"/>
              <w:jc w:val="center"/>
              <w:textAlignment w:val="baseline"/>
              <w:rPr>
                <w:noProof/>
                <w:sz w:val="24"/>
                <w:szCs w:val="24"/>
              </w:rPr>
            </w:pPr>
            <w:r>
              <w:rPr>
                <w:noProof/>
              </w:rPr>
              <w:t xml:space="preserve">C2L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8" w14:textId="441EF2D7" w:rsidR="00A60DDE" w:rsidRDefault="00095506">
            <w:pPr>
              <w:pStyle w:val="P68B1DB1-Normal87"/>
              <w:spacing w:line="240" w:lineRule="auto"/>
              <w:textAlignment w:val="baseline"/>
              <w:rPr>
                <w:noProof/>
                <w:sz w:val="24"/>
                <w:szCs w:val="24"/>
              </w:rPr>
            </w:pPr>
            <w:r>
              <w:rPr>
                <w:noProof/>
              </w:rPr>
              <w:t>C1.2 Creșterea nivelului de accesibilitate și utilizare a comunicațiilor moderne prin cablu și fără fir pentru nevoile sociale și economice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9"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A" w14:textId="52CD253C" w:rsidR="00A60DDE" w:rsidRDefault="00095506">
            <w:pPr>
              <w:pStyle w:val="P68B1DB1-Normal87"/>
              <w:spacing w:line="240" w:lineRule="auto"/>
              <w:textAlignment w:val="baseline"/>
              <w:rPr>
                <w:noProof/>
                <w:sz w:val="24"/>
                <w:szCs w:val="24"/>
              </w:rPr>
            </w:pPr>
            <w:r>
              <w:rPr>
                <w:noProof/>
              </w:rPr>
              <w:t>Modificarea Regulamentului Consiliului de Miniștri din 10 septembrie 2019 privind evaluarea impactului asupra mediului</w:t>
            </w:r>
          </w:p>
        </w:tc>
      </w:tr>
      <w:tr w:rsidR="00A60DDE" w14:paraId="1216C920"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C" w14:textId="44C67761" w:rsidR="00A60DDE" w:rsidRDefault="00095506">
            <w:pPr>
              <w:pStyle w:val="P68B1DB1-Normal87"/>
              <w:spacing w:line="240" w:lineRule="auto"/>
              <w:jc w:val="center"/>
              <w:textAlignment w:val="baseline"/>
              <w:rPr>
                <w:noProof/>
                <w:sz w:val="24"/>
                <w:szCs w:val="24"/>
              </w:rPr>
            </w:pPr>
            <w:r>
              <w:rPr>
                <w:noProof/>
              </w:rPr>
              <w:t xml:space="preserve">D1L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D" w14:textId="231A5440" w:rsidR="00A60DDE" w:rsidRDefault="00095506">
            <w:pPr>
              <w:pStyle w:val="P68B1DB1-Normal87"/>
              <w:spacing w:line="240" w:lineRule="auto"/>
              <w:textAlignment w:val="baseline"/>
              <w:rPr>
                <w:noProof/>
                <w:sz w:val="24"/>
                <w:szCs w:val="24"/>
              </w:rPr>
            </w:pPr>
            <w:r>
              <w:rPr>
                <w:noProof/>
              </w:rPr>
              <w:t>D1.2 Creșterea eficienței, a disponibilității și a calității serviciilor de îngrijire pe termen lung ale furnizorilor de servicii medicale la nivel districtual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E"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F" w14:textId="5164B244" w:rsidR="00A60DDE" w:rsidRDefault="00095506">
            <w:pPr>
              <w:pStyle w:val="P68B1DB1-Normal87"/>
              <w:spacing w:line="240" w:lineRule="auto"/>
              <w:textAlignment w:val="baseline"/>
              <w:rPr>
                <w:noProof/>
                <w:sz w:val="24"/>
                <w:szCs w:val="24"/>
              </w:rPr>
            </w:pPr>
            <w:r>
              <w:rPr>
                <w:noProof/>
              </w:rPr>
              <w:t>Revizuirea potențialului de înființare a unor unități/centre de îngrijire pe termen lung și geriatrie în spitalele districtuale din Polonia</w:t>
            </w:r>
          </w:p>
        </w:tc>
      </w:tr>
      <w:tr w:rsidR="00A60DDE" w14:paraId="1216C925"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21" w14:textId="18618F32" w:rsidR="00A60DDE" w:rsidRDefault="00095506">
            <w:pPr>
              <w:pStyle w:val="P68B1DB1-Normal87"/>
              <w:spacing w:line="240" w:lineRule="auto"/>
              <w:textAlignment w:val="baseline"/>
              <w:rPr>
                <w:noProof/>
                <w:sz w:val="24"/>
                <w:szCs w:val="24"/>
              </w:rPr>
            </w:pPr>
            <w:r>
              <w:rPr>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22" w14:textId="4DF5ED5A" w:rsidR="00A60DDE" w:rsidRDefault="00095506">
            <w:pPr>
              <w:pStyle w:val="P68B1DB1-Normal87"/>
              <w:spacing w:line="240" w:lineRule="auto"/>
              <w:textAlignment w:val="baseline"/>
              <w:rPr>
                <w:noProof/>
                <w:sz w:val="24"/>
                <w:szCs w:val="24"/>
              </w:rPr>
            </w:pP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3" w14:textId="77777777" w:rsidR="00A60DDE" w:rsidRDefault="00095506">
            <w:pPr>
              <w:pStyle w:val="P68B1DB1-Normal87"/>
              <w:spacing w:line="240" w:lineRule="auto"/>
              <w:ind w:left="-5"/>
              <w:jc w:val="center"/>
              <w:textAlignment w:val="baseline"/>
              <w:rPr>
                <w:noProof/>
                <w:sz w:val="24"/>
                <w:szCs w:val="24"/>
              </w:rPr>
            </w:pPr>
            <w:r>
              <w:rPr>
                <w:noProof/>
              </w:rPr>
              <w:t>Valoarea tranșei</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24" w14:textId="046EFCB5" w:rsidR="00A60DDE" w:rsidRDefault="00095506">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4</w:t>
            </w:r>
            <w:r>
              <w:rPr>
                <w:rFonts w:eastAsia="Times New Roman"/>
                <w:noProof/>
                <w:color w:val="006100"/>
                <w:szCs w:val="24"/>
              </w:rPr>
              <w:t> </w:t>
            </w:r>
            <w:r>
              <w:rPr>
                <w:rFonts w:ascii="Times New Roman" w:eastAsia="Times New Roman" w:hAnsi="Times New Roman" w:cs="Times New Roman"/>
                <w:noProof/>
              </w:rPr>
              <w:t>178</w:t>
            </w:r>
            <w:r>
              <w:rPr>
                <w:rFonts w:eastAsia="Times New Roman"/>
                <w:noProof/>
                <w:color w:val="006100"/>
                <w:szCs w:val="24"/>
              </w:rPr>
              <w:t> </w:t>
            </w:r>
            <w:r>
              <w:rPr>
                <w:rFonts w:ascii="Times New Roman" w:eastAsia="Times New Roman" w:hAnsi="Times New Roman" w:cs="Times New Roman"/>
                <w:noProof/>
              </w:rPr>
              <w:t>257</w:t>
            </w:r>
            <w:r>
              <w:rPr>
                <w:rFonts w:eastAsia="Times New Roman"/>
                <w:noProof/>
                <w:color w:val="006100"/>
                <w:szCs w:val="24"/>
              </w:rPr>
              <w:t> </w:t>
            </w:r>
            <w:r>
              <w:rPr>
                <w:rFonts w:ascii="Times New Roman" w:eastAsia="Times New Roman" w:hAnsi="Times New Roman" w:cs="Times New Roman"/>
                <w:noProof/>
              </w:rPr>
              <w:t>125 EUR</w:t>
            </w:r>
          </w:p>
        </w:tc>
      </w:tr>
    </w:tbl>
    <w:p w14:paraId="1216C926" w14:textId="7627A532" w:rsidR="00A60DDE" w:rsidRDefault="00095506">
      <w:pPr>
        <w:pStyle w:val="P68B1DB1-Normal87"/>
        <w:spacing w:line="240" w:lineRule="auto"/>
        <w:textAlignment w:val="baseline"/>
        <w:rPr>
          <w:noProof/>
        </w:rPr>
      </w:pPr>
      <w:r>
        <w:rPr>
          <w:noProof/>
        </w:rPr>
        <w:t xml:space="preserve"> </w:t>
      </w:r>
    </w:p>
    <w:p w14:paraId="1216C927" w14:textId="210FBC73" w:rsidR="00A60DDE" w:rsidRDefault="00095506">
      <w:pPr>
        <w:pStyle w:val="P68B1DB1-Normal87"/>
        <w:spacing w:line="240" w:lineRule="auto"/>
        <w:ind w:left="-15"/>
        <w:textAlignment w:val="baseline"/>
        <w:rPr>
          <w:rFonts w:ascii="Segoe UI" w:hAnsi="Segoe UI" w:cs="Segoe UI"/>
          <w:noProof/>
          <w:sz w:val="18"/>
          <w:szCs w:val="18"/>
        </w:rPr>
      </w:pPr>
      <w:r>
        <w:rPr>
          <w:noProof/>
        </w:rPr>
        <w:t xml:space="preserve">2.2.2. A doua tranșă (sprijin sub formă de împrumut):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7"/>
        <w:gridCol w:w="3402"/>
        <w:gridCol w:w="1275"/>
        <w:gridCol w:w="3686"/>
      </w:tblGrid>
      <w:tr w:rsidR="00A60DDE" w14:paraId="1216C92C" w14:textId="77777777">
        <w:trPr>
          <w:trHeight w:val="300"/>
          <w:tblHeader/>
        </w:trPr>
        <w:tc>
          <w:tcPr>
            <w:tcW w:w="1277" w:type="dxa"/>
            <w:tcBorders>
              <w:top w:val="single" w:sz="6" w:space="0" w:color="000000"/>
              <w:left w:val="single" w:sz="6" w:space="0" w:color="000000"/>
              <w:bottom w:val="single" w:sz="6" w:space="0" w:color="000000"/>
              <w:right w:val="single" w:sz="6" w:space="0" w:color="000000"/>
            </w:tcBorders>
            <w:shd w:val="clear" w:color="auto" w:fill="BDD6EE"/>
            <w:hideMark/>
          </w:tcPr>
          <w:p w14:paraId="1216C928" w14:textId="403A7FE5" w:rsidR="00A60DDE" w:rsidRDefault="00095506">
            <w:pPr>
              <w:pStyle w:val="P68B1DB1-Normal87"/>
              <w:spacing w:line="240" w:lineRule="auto"/>
              <w:ind w:left="-155" w:firstLine="155"/>
              <w:jc w:val="center"/>
              <w:textAlignment w:val="baseline"/>
              <w:rPr>
                <w:noProof/>
                <w:sz w:val="24"/>
                <w:szCs w:val="24"/>
              </w:rPr>
            </w:pPr>
            <w:r>
              <w:rPr>
                <w:b/>
                <w:noProof/>
              </w:rPr>
              <w:t>Număr secvențial</w:t>
            </w: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29" w14:textId="58CDAB64"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2A" w14:textId="77777777" w:rsidR="00A60DDE" w:rsidRDefault="00095506">
            <w:pPr>
              <w:pStyle w:val="P68B1DB1-Normal100"/>
              <w:spacing w:line="240" w:lineRule="auto"/>
              <w:ind w:left="15"/>
              <w:jc w:val="center"/>
              <w:textAlignment w:val="baseline"/>
              <w:rPr>
                <w:noProof/>
                <w:sz w:val="24"/>
                <w:szCs w:val="24"/>
              </w:rPr>
            </w:pPr>
            <w:r>
              <w:rPr>
                <w:noProof/>
              </w:rPr>
              <w:t>Etapa/ținta</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2B" w14:textId="3B694766" w:rsidR="00A60DDE" w:rsidRDefault="00095506">
            <w:pPr>
              <w:pStyle w:val="P68B1DB1-Normal87"/>
              <w:spacing w:line="240" w:lineRule="auto"/>
              <w:ind w:right="30"/>
              <w:jc w:val="center"/>
              <w:textAlignment w:val="baseline"/>
              <w:rPr>
                <w:noProof/>
                <w:sz w:val="24"/>
                <w:szCs w:val="24"/>
              </w:rPr>
            </w:pPr>
            <w:r>
              <w:rPr>
                <w:b/>
                <w:noProof/>
              </w:rPr>
              <w:t>Denumire</w:t>
            </w:r>
            <w:r>
              <w:rPr>
                <w:noProof/>
              </w:rPr>
              <w:t xml:space="preserve"> </w:t>
            </w:r>
          </w:p>
        </w:tc>
      </w:tr>
      <w:tr w:rsidR="00A60DDE" w14:paraId="1216C931"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2D" w14:textId="77091892" w:rsidR="00A60DDE" w:rsidRDefault="00095506">
            <w:pPr>
              <w:pStyle w:val="P68B1DB1-Normal87"/>
              <w:spacing w:line="240" w:lineRule="auto"/>
              <w:ind w:right="30"/>
              <w:jc w:val="center"/>
              <w:textAlignment w:val="baseline"/>
              <w:rPr>
                <w:noProof/>
                <w:sz w:val="24"/>
                <w:szCs w:val="24"/>
              </w:rPr>
            </w:pPr>
            <w:r>
              <w:rPr>
                <w:noProof/>
              </w:rPr>
              <w:t xml:space="preserve">A1L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2E" w14:textId="38123C22" w:rsidR="00A60DDE" w:rsidRDefault="00095506">
            <w:pPr>
              <w:pStyle w:val="P68B1DB1-Normal87"/>
              <w:spacing w:line="240" w:lineRule="auto"/>
              <w:textAlignment w:val="baseline"/>
              <w:rPr>
                <w:noProof/>
                <w:sz w:val="24"/>
                <w:szCs w:val="24"/>
              </w:rPr>
            </w:pPr>
            <w:r>
              <w:rPr>
                <w:noProof/>
              </w:rPr>
              <w:t xml:space="preserve">A2.5 Consolidarea potențialului sectorului cultural și al industriilor culturale pentru dezvoltarea economică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F"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0" w14:textId="5C3EC2AB" w:rsidR="00A60DDE" w:rsidRDefault="00095506">
            <w:pPr>
              <w:pStyle w:val="P68B1DB1-Normal87"/>
              <w:spacing w:line="240" w:lineRule="auto"/>
              <w:textAlignment w:val="baseline"/>
              <w:rPr>
                <w:noProof/>
                <w:sz w:val="24"/>
                <w:szCs w:val="24"/>
              </w:rPr>
            </w:pPr>
            <w:r>
              <w:rPr>
                <w:noProof/>
              </w:rPr>
              <w:t xml:space="preserve">Adoptarea unui document de politică pentru sprijinirea acțiunilor verzi și digitale în sectoarele culturale și creative (SCC) </w:t>
            </w:r>
          </w:p>
        </w:tc>
      </w:tr>
      <w:tr w:rsidR="00A60DDE" w14:paraId="1216C936"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2" w14:textId="30AA3EA2" w:rsidR="00A60DDE" w:rsidRDefault="00095506">
            <w:pPr>
              <w:pStyle w:val="P68B1DB1-Normal87"/>
              <w:spacing w:line="240" w:lineRule="auto"/>
              <w:ind w:right="30"/>
              <w:jc w:val="center"/>
              <w:textAlignment w:val="baseline"/>
              <w:rPr>
                <w:noProof/>
                <w:sz w:val="24"/>
                <w:szCs w:val="24"/>
              </w:rPr>
            </w:pPr>
            <w:r>
              <w:rPr>
                <w:noProof/>
              </w:rPr>
              <w:t xml:space="preserve">A2L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3" w14:textId="1F17B884" w:rsidR="00A60DDE" w:rsidRDefault="00095506">
            <w:pPr>
              <w:pStyle w:val="P68B1DB1-Normal87"/>
              <w:spacing w:line="240" w:lineRule="auto"/>
              <w:textAlignment w:val="baseline"/>
              <w:rPr>
                <w:noProof/>
                <w:sz w:val="24"/>
                <w:szCs w:val="24"/>
              </w:rPr>
            </w:pPr>
            <w:r>
              <w:rPr>
                <w:noProof/>
              </w:rPr>
              <w:t>A2.5.1 Un program de sprijinire a activităților entităților din industriile culturale și creative în vederea stimulării dezvoltării acestora</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4"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5" w14:textId="77777777" w:rsidR="00A60DDE" w:rsidRDefault="00095506">
            <w:pPr>
              <w:pStyle w:val="P68B1DB1-Normal87"/>
              <w:spacing w:line="240" w:lineRule="auto"/>
              <w:textAlignment w:val="baseline"/>
              <w:rPr>
                <w:noProof/>
                <w:sz w:val="24"/>
                <w:szCs w:val="24"/>
              </w:rPr>
            </w:pPr>
            <w:r>
              <w:rPr>
                <w:noProof/>
              </w:rPr>
              <w:t>Criterii de selecție pentru sprijinirea proiectelor în sectoarele culturale și creative (SCC)</w:t>
            </w:r>
          </w:p>
        </w:tc>
      </w:tr>
      <w:tr w:rsidR="00A60DDE" w14:paraId="1216C93B"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7" w14:textId="1A1A1605" w:rsidR="00A60DDE" w:rsidRDefault="00095506">
            <w:pPr>
              <w:pStyle w:val="P68B1DB1-Normal87"/>
              <w:spacing w:line="240" w:lineRule="auto"/>
              <w:ind w:right="30"/>
              <w:jc w:val="center"/>
              <w:textAlignment w:val="baseline"/>
              <w:rPr>
                <w:noProof/>
                <w:sz w:val="24"/>
                <w:szCs w:val="24"/>
              </w:rPr>
            </w:pPr>
            <w:r>
              <w:rPr>
                <w:noProof/>
              </w:rPr>
              <w:t xml:space="preserve">B2L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8" w14:textId="185EA094" w:rsidR="00A60DDE" w:rsidRDefault="00095506">
            <w:pPr>
              <w:pStyle w:val="P68B1DB1-Normal87"/>
              <w:spacing w:line="240" w:lineRule="auto"/>
              <w:textAlignment w:val="baseline"/>
              <w:rPr>
                <w:noProof/>
                <w:sz w:val="24"/>
                <w:szCs w:val="24"/>
              </w:rPr>
            </w:pPr>
            <w:r>
              <w:rPr>
                <w:noProof/>
              </w:rPr>
              <w:t xml:space="preserve">B1.2.1 Eficiența energetică și sursele regenerabile de energie în întreprinderi – investiții cu cel mai mare potențial de reducere a emisiilor de gaze cu efect de seră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9"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A" w14:textId="01C48283" w:rsidR="00A60DDE" w:rsidRDefault="00095506">
            <w:pPr>
              <w:pStyle w:val="P68B1DB1-Normal87"/>
              <w:spacing w:line="240" w:lineRule="auto"/>
              <w:textAlignment w:val="baseline"/>
              <w:rPr>
                <w:noProof/>
                <w:sz w:val="24"/>
                <w:szCs w:val="24"/>
              </w:rPr>
            </w:pPr>
            <w:r>
              <w:rPr>
                <w:noProof/>
              </w:rPr>
              <w:t xml:space="preserve">Instrucțiuni de finanțare (inclusiv criterii de eligibilitate și de selecție) pentru schema de sprijin care vizează eficiența energetică și sursele regenerabile de energie în întreprinderi, inclusiv în cele care fac obiectul schemei UE de comercializare a certificatelor de emisii </w:t>
            </w:r>
          </w:p>
        </w:tc>
      </w:tr>
      <w:tr w:rsidR="00A60DDE" w14:paraId="1216C940"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C" w14:textId="36182EB6" w:rsidR="00A60DDE" w:rsidRDefault="00095506">
            <w:pPr>
              <w:pStyle w:val="P68B1DB1-Normal87"/>
              <w:spacing w:line="240" w:lineRule="auto"/>
              <w:ind w:right="30"/>
              <w:jc w:val="center"/>
              <w:textAlignment w:val="baseline"/>
              <w:rPr>
                <w:noProof/>
                <w:sz w:val="24"/>
                <w:szCs w:val="24"/>
              </w:rPr>
            </w:pPr>
            <w:r>
              <w:rPr>
                <w:noProof/>
              </w:rPr>
              <w:t xml:space="preserve">B14L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D" w14:textId="127927DE" w:rsidR="00A60DDE" w:rsidRDefault="00095506">
            <w:pPr>
              <w:pStyle w:val="P68B1DB1-Normal87"/>
              <w:spacing w:line="240" w:lineRule="auto"/>
              <w:textAlignment w:val="baseline"/>
              <w:rPr>
                <w:noProof/>
                <w:sz w:val="24"/>
                <w:szCs w:val="24"/>
              </w:rPr>
            </w:pPr>
            <w:r>
              <w:rPr>
                <w:noProof/>
              </w:rPr>
              <w:t xml:space="preserve">B3.2 Sprijin pentru îmbunătățirea stării mediului și protecția împotriva substanțelor periculoase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E"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F" w14:textId="1388B5FA" w:rsidR="00A60DDE" w:rsidRDefault="00095506">
            <w:pPr>
              <w:pStyle w:val="P68B1DB1-Normal87"/>
              <w:spacing w:line="240" w:lineRule="auto"/>
              <w:textAlignment w:val="baseline"/>
              <w:rPr>
                <w:noProof/>
                <w:sz w:val="24"/>
                <w:szCs w:val="24"/>
              </w:rPr>
            </w:pPr>
            <w:r>
              <w:rPr>
                <w:noProof/>
              </w:rPr>
              <w:t>Intrarea în vigoare a unei legi care să faciliteze o eliminare cuprinzătoare a impactului negativ asupra mediului al zonelor postindustriale de mari dimensiuni</w:t>
            </w:r>
          </w:p>
        </w:tc>
      </w:tr>
      <w:tr w:rsidR="00A60DDE" w14:paraId="1216C945"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1" w14:textId="2FD39D83" w:rsidR="00A60DDE" w:rsidRDefault="00095506">
            <w:pPr>
              <w:pStyle w:val="P68B1DB1-Normal87"/>
              <w:spacing w:line="240" w:lineRule="auto"/>
              <w:ind w:right="30"/>
              <w:jc w:val="center"/>
              <w:textAlignment w:val="baseline"/>
              <w:rPr>
                <w:noProof/>
                <w:sz w:val="24"/>
                <w:szCs w:val="24"/>
              </w:rPr>
            </w:pPr>
            <w:r>
              <w:rPr>
                <w:noProof/>
              </w:rPr>
              <w:t xml:space="preserve">B34L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2" w14:textId="3277CA6E" w:rsidR="00A60DDE" w:rsidRDefault="00095506">
            <w:pPr>
              <w:pStyle w:val="P68B1DB1-Normal87"/>
              <w:spacing w:line="240" w:lineRule="auto"/>
              <w:textAlignment w:val="baseline"/>
              <w:rPr>
                <w:noProof/>
                <w:sz w:val="24"/>
                <w:szCs w:val="24"/>
              </w:rPr>
            </w:pPr>
            <w:r>
              <w:rPr>
                <w:noProof/>
              </w:rPr>
              <w:t xml:space="preserve">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3" w14:textId="77777777" w:rsidR="00A60DDE" w:rsidRDefault="00095506">
            <w:pPr>
              <w:pStyle w:val="P68B1DB1-Normal87"/>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4" w14:textId="51220A6D" w:rsidR="00A60DDE" w:rsidRDefault="00095506">
            <w:pPr>
              <w:pStyle w:val="P68B1DB1-Normal87"/>
              <w:spacing w:line="240" w:lineRule="auto"/>
              <w:textAlignment w:val="baseline"/>
              <w:rPr>
                <w:noProof/>
                <w:sz w:val="24"/>
                <w:szCs w:val="24"/>
              </w:rPr>
            </w:pPr>
            <w:r>
              <w:rPr>
                <w:noProof/>
              </w:rPr>
              <w:t>Intrarea în vigoare a unui regulament de stabilire a unui plan de licitații pentru energia din surse regenerabile pentru perioada 2022-2027</w:t>
            </w:r>
          </w:p>
        </w:tc>
      </w:tr>
      <w:tr w:rsidR="00A60DDE" w14:paraId="1216C94A"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6" w14:textId="18E79135" w:rsidR="00A60DDE" w:rsidRDefault="00095506">
            <w:pPr>
              <w:pStyle w:val="P68B1DB1-Normal87"/>
              <w:spacing w:line="240" w:lineRule="auto"/>
              <w:jc w:val="center"/>
              <w:textAlignment w:val="baseline"/>
              <w:rPr>
                <w:noProof/>
                <w:sz w:val="24"/>
                <w:szCs w:val="24"/>
              </w:rPr>
            </w:pPr>
            <w:r>
              <w:rPr>
                <w:noProof/>
              </w:rPr>
              <w:t xml:space="preserve">B36L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7" w14:textId="341ACD67" w:rsidR="00A60DDE" w:rsidRDefault="00095506">
            <w:pPr>
              <w:pStyle w:val="P68B1DB1-Normal87"/>
              <w:spacing w:line="240" w:lineRule="auto"/>
              <w:textAlignment w:val="baseline"/>
              <w:rPr>
                <w:noProof/>
                <w:sz w:val="24"/>
                <w:szCs w:val="24"/>
              </w:rPr>
            </w:pPr>
            <w:r>
              <w:rPr>
                <w:noProof/>
              </w:rPr>
              <w:t xml:space="preserve">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8" w14:textId="77777777" w:rsidR="00A60DDE" w:rsidRDefault="00095506">
            <w:pPr>
              <w:pStyle w:val="P68B1DB1-Normal87"/>
              <w:spacing w:line="240" w:lineRule="auto"/>
              <w:jc w:val="center"/>
              <w:textAlignment w:val="baseline"/>
              <w:rPr>
                <w:noProof/>
                <w:sz w:val="24"/>
                <w:szCs w:val="24"/>
              </w:rPr>
            </w:pPr>
            <w:r>
              <w:rPr>
                <w:noProof/>
              </w:rPr>
              <w:t>Țintă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9" w14:textId="48869E77" w:rsidR="00A60DDE" w:rsidRDefault="00095506">
            <w:pPr>
              <w:pStyle w:val="P68B1DB1-Normal87"/>
              <w:spacing w:line="240" w:lineRule="auto"/>
              <w:textAlignment w:val="baseline"/>
              <w:rPr>
                <w:noProof/>
                <w:sz w:val="24"/>
                <w:szCs w:val="24"/>
              </w:rPr>
            </w:pPr>
            <w:r>
              <w:rPr>
                <w:noProof/>
              </w:rPr>
              <w:t xml:space="preserve">T2 - Capacitatea instalată a instalațiilor eoliene și fotovoltaice terestre (în GW) </w:t>
            </w:r>
          </w:p>
        </w:tc>
      </w:tr>
      <w:tr w:rsidR="00A60DDE" w14:paraId="1216C94F"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B" w14:textId="38CF447E" w:rsidR="00A60DDE" w:rsidRDefault="00095506">
            <w:pPr>
              <w:pStyle w:val="P68B1DB1-Normal87"/>
              <w:spacing w:line="240" w:lineRule="auto"/>
              <w:jc w:val="center"/>
              <w:textAlignment w:val="baseline"/>
              <w:rPr>
                <w:noProof/>
                <w:sz w:val="24"/>
                <w:szCs w:val="24"/>
              </w:rPr>
            </w:pPr>
            <w:r>
              <w:rPr>
                <w:noProof/>
              </w:rPr>
              <w:t xml:space="preserve">B40L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C" w14:textId="053B8448" w:rsidR="00A60DDE" w:rsidRDefault="00095506">
            <w:pPr>
              <w:pStyle w:val="P68B1DB1-Normal87"/>
              <w:spacing w:line="240" w:lineRule="auto"/>
              <w:textAlignment w:val="baseline"/>
              <w:rPr>
                <w:noProof/>
                <w:sz w:val="24"/>
                <w:szCs w:val="24"/>
              </w:rPr>
            </w:pPr>
            <w:r>
              <w:rPr>
                <w:noProof/>
              </w:rPr>
              <w:t xml:space="preserve">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D"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E" w14:textId="4FD0A4DC" w:rsidR="00A60DDE" w:rsidRDefault="00095506">
            <w:pPr>
              <w:pStyle w:val="P68B1DB1-Normal87"/>
              <w:spacing w:line="240" w:lineRule="auto"/>
              <w:textAlignment w:val="baseline"/>
              <w:rPr>
                <w:noProof/>
                <w:sz w:val="24"/>
                <w:szCs w:val="24"/>
              </w:rPr>
            </w:pPr>
            <w:r>
              <w:rPr>
                <w:noProof/>
              </w:rPr>
              <w:t>Intrarea în vigoare a regulamentului de punere în aplicare care decurge din Legea din 17 decembrie 2020 privind promovarea generării de energie electrică în parcurile eoliene offshore</w:t>
            </w:r>
          </w:p>
        </w:tc>
      </w:tr>
      <w:tr w:rsidR="00A60DDE" w14:paraId="1216C954"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0" w14:textId="6579085F" w:rsidR="00A60DDE" w:rsidRDefault="00095506">
            <w:pPr>
              <w:pStyle w:val="P68B1DB1-Normal87"/>
              <w:spacing w:line="240" w:lineRule="auto"/>
              <w:jc w:val="center"/>
              <w:textAlignment w:val="baseline"/>
              <w:rPr>
                <w:noProof/>
                <w:sz w:val="24"/>
                <w:szCs w:val="24"/>
              </w:rPr>
            </w:pPr>
            <w:r>
              <w:rPr>
                <w:noProof/>
              </w:rPr>
              <w:t xml:space="preserve">C8L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1" w14:textId="59B3A4C0" w:rsidR="00A60DDE" w:rsidRDefault="00095506">
            <w:pPr>
              <w:pStyle w:val="P68B1DB1-Normal87"/>
              <w:spacing w:line="240" w:lineRule="auto"/>
              <w:textAlignment w:val="baseline"/>
              <w:rPr>
                <w:noProof/>
                <w:sz w:val="24"/>
                <w:szCs w:val="24"/>
              </w:rPr>
            </w:pPr>
            <w:r>
              <w:rPr>
                <w:noProof/>
              </w:rPr>
              <w:t>C2.2 Reforma bazei de digitalizare a sistemului de învățământ</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2"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3" w14:textId="125172F4" w:rsidR="00A60DDE" w:rsidRDefault="00095506">
            <w:pPr>
              <w:pStyle w:val="P68B1DB1-Normal87"/>
              <w:spacing w:line="240" w:lineRule="auto"/>
              <w:textAlignment w:val="baseline"/>
              <w:rPr>
                <w:noProof/>
                <w:sz w:val="24"/>
                <w:szCs w:val="24"/>
              </w:rPr>
            </w:pPr>
            <w:r>
              <w:rPr>
                <w:noProof/>
              </w:rPr>
              <w:t>Adoptarea unei noi politici de digitalizare pentru educație, care să constituie baza pentru schimbările din sistemul educațional și implementarea investițiilor în TIC și definirea direcțiilor de digitalizare a procesului educațional pe termen scurt și lung</w:t>
            </w:r>
          </w:p>
        </w:tc>
      </w:tr>
      <w:tr w:rsidR="00A60DDE" w14:paraId="1216C959"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5" w14:textId="3D49C238" w:rsidR="00A60DDE" w:rsidRDefault="00095506">
            <w:pPr>
              <w:pStyle w:val="P68B1DB1-Normal87"/>
              <w:spacing w:line="240" w:lineRule="auto"/>
              <w:jc w:val="center"/>
              <w:textAlignment w:val="baseline"/>
              <w:rPr>
                <w:noProof/>
                <w:sz w:val="24"/>
                <w:szCs w:val="24"/>
              </w:rPr>
            </w:pPr>
            <w:r>
              <w:rPr>
                <w:noProof/>
              </w:rPr>
              <w:t xml:space="preserve">C9L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6" w14:textId="77777777" w:rsidR="00A60DDE" w:rsidRDefault="00095506">
            <w:pPr>
              <w:pStyle w:val="P68B1DB1-Normal87"/>
              <w:spacing w:line="240" w:lineRule="auto"/>
              <w:textAlignment w:val="baseline"/>
              <w:rPr>
                <w:noProof/>
                <w:sz w:val="24"/>
                <w:szCs w:val="24"/>
              </w:rPr>
            </w:pPr>
            <w:r>
              <w:rPr>
                <w:noProof/>
              </w:rPr>
              <w:t>C2.2.1 Dotarea școlilor/instituțiilor cu dispozitive și infrastructuri TIC adecvate pentru a îmbunătăți performanța generală a sistemului educațional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7"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8" w14:textId="1174B419" w:rsidR="00A60DDE" w:rsidRDefault="00095506">
            <w:pPr>
              <w:pStyle w:val="P68B1DB1-Normal87"/>
              <w:spacing w:line="240" w:lineRule="auto"/>
              <w:textAlignment w:val="baseline"/>
              <w:rPr>
                <w:noProof/>
                <w:sz w:val="24"/>
                <w:szCs w:val="24"/>
              </w:rPr>
            </w:pPr>
            <w:r>
              <w:rPr>
                <w:noProof/>
              </w:rPr>
              <w:t>Consultare publică privind cadrul de definire a procedurilor de distribuție a echipamentelor TIC și de furnizare a infrastructurii pentru școli</w:t>
            </w:r>
          </w:p>
        </w:tc>
      </w:tr>
      <w:tr w:rsidR="00A60DDE" w14:paraId="1216C95E"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A" w14:textId="7B1C0EE4" w:rsidR="00A60DDE" w:rsidRDefault="00095506">
            <w:pPr>
              <w:pStyle w:val="P68B1DB1-Normal87"/>
              <w:spacing w:line="240" w:lineRule="auto"/>
              <w:jc w:val="center"/>
              <w:textAlignment w:val="baseline"/>
              <w:rPr>
                <w:noProof/>
                <w:sz w:val="24"/>
                <w:szCs w:val="24"/>
              </w:rPr>
            </w:pPr>
            <w:r>
              <w:rPr>
                <w:noProof/>
              </w:rPr>
              <w:t xml:space="preserve">D2L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B" w14:textId="0D4A5E12" w:rsidR="00A60DDE" w:rsidRDefault="00095506">
            <w:pPr>
              <w:pStyle w:val="P68B1DB1-Normal87"/>
              <w:spacing w:line="240" w:lineRule="auto"/>
              <w:textAlignment w:val="baseline"/>
              <w:rPr>
                <w:noProof/>
                <w:sz w:val="24"/>
                <w:szCs w:val="24"/>
              </w:rPr>
            </w:pPr>
            <w:r>
              <w:rPr>
                <w:noProof/>
              </w:rPr>
              <w:t>D1.2 Creșterea eficienței, a disponibilității și a calității serviciilor de îngrijire pe termen lung ale furnizorilor de servicii medicale la nivel districtual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C"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D" w14:textId="452DE8D7" w:rsidR="00A60DDE" w:rsidRDefault="00095506">
            <w:pPr>
              <w:pStyle w:val="P68B1DB1-Normal87"/>
              <w:spacing w:line="240" w:lineRule="auto"/>
              <w:textAlignment w:val="baseline"/>
              <w:rPr>
                <w:noProof/>
                <w:sz w:val="24"/>
                <w:szCs w:val="24"/>
              </w:rPr>
            </w:pPr>
            <w:r>
              <w:rPr>
                <w:noProof/>
              </w:rPr>
              <w:t>Intrarea în vigoare a unui act legislativ privind sprijinul pentru înființarea de unități/centre de îngrijire pe termen lung și geriatrie în spitalele raionale, pe baza rezultatelor revizuirii</w:t>
            </w:r>
          </w:p>
        </w:tc>
      </w:tr>
      <w:tr w:rsidR="00A60DDE" w14:paraId="1216C963"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F" w14:textId="2D7A3357" w:rsidR="00A60DDE" w:rsidRDefault="00095506">
            <w:pPr>
              <w:pStyle w:val="P68B1DB1-Normal87"/>
              <w:spacing w:line="240" w:lineRule="auto"/>
              <w:jc w:val="center"/>
              <w:textAlignment w:val="baseline"/>
              <w:rPr>
                <w:noProof/>
                <w:sz w:val="24"/>
                <w:szCs w:val="24"/>
              </w:rPr>
            </w:pPr>
            <w:r>
              <w:rPr>
                <w:noProof/>
              </w:rPr>
              <w:t xml:space="preserve">E5L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0" w14:textId="79078378" w:rsidR="00A60DDE" w:rsidRDefault="00095506">
            <w:pPr>
              <w:pStyle w:val="P68B1DB1-Normal87"/>
              <w:spacing w:line="240" w:lineRule="auto"/>
              <w:textAlignment w:val="baseline"/>
              <w:rPr>
                <w:noProof/>
                <w:sz w:val="24"/>
                <w:szCs w:val="24"/>
              </w:rPr>
            </w:pPr>
            <w:r>
              <w:rPr>
                <w:noProof/>
              </w:rPr>
              <w:t>E2.3 Îmbunătățirea accesibilității transporturilor, a securității și a soluțiilor digitale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1"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2" w14:textId="304B95DF" w:rsidR="00A60DDE" w:rsidRDefault="00095506">
            <w:pPr>
              <w:pStyle w:val="P68B1DB1-Normal87"/>
              <w:spacing w:line="240" w:lineRule="auto"/>
              <w:textAlignment w:val="baseline"/>
              <w:rPr>
                <w:noProof/>
                <w:sz w:val="24"/>
                <w:szCs w:val="24"/>
              </w:rPr>
            </w:pPr>
            <w:r>
              <w:rPr>
                <w:noProof/>
              </w:rPr>
              <w:t>Intrarea în vigoare a unui act juridic care introduce îmbunătățiri ale drepturilor pasagerilor în domeniul cerințelor privind materialul rulant</w:t>
            </w:r>
          </w:p>
        </w:tc>
      </w:tr>
      <w:tr w:rsidR="00A60DDE" w14:paraId="1216C968"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64" w14:textId="66379B8D" w:rsidR="00A60DDE" w:rsidRDefault="00095506">
            <w:pPr>
              <w:pStyle w:val="P68B1DB1-Normal87"/>
              <w:spacing w:line="240" w:lineRule="auto"/>
              <w:textAlignment w:val="baseline"/>
              <w:rPr>
                <w:noProof/>
                <w:sz w:val="24"/>
                <w:szCs w:val="24"/>
              </w:rPr>
            </w:pP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5" w14:textId="7ACBBF6A" w:rsidR="00A60DDE" w:rsidRDefault="00095506">
            <w:pPr>
              <w:pStyle w:val="P68B1DB1-Normal87"/>
              <w:spacing w:line="240" w:lineRule="auto"/>
              <w:textAlignment w:val="baseline"/>
              <w:rPr>
                <w:noProof/>
                <w:sz w:val="24"/>
                <w:szCs w:val="24"/>
              </w:rPr>
            </w:pP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6" w14:textId="77777777" w:rsidR="00A60DDE" w:rsidRDefault="00095506">
            <w:pPr>
              <w:pStyle w:val="P68B1DB1-Normal87"/>
              <w:spacing w:line="240" w:lineRule="auto"/>
              <w:jc w:val="center"/>
              <w:textAlignment w:val="baseline"/>
              <w:rPr>
                <w:noProof/>
                <w:sz w:val="24"/>
                <w:szCs w:val="24"/>
              </w:rPr>
            </w:pPr>
            <w:r>
              <w:rPr>
                <w:noProof/>
              </w:rPr>
              <w:t>Valoarea tranșei</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7" w14:textId="482E198C" w:rsidR="00A60DDE" w:rsidRDefault="00095506">
            <w:pPr>
              <w:pStyle w:val="P68B1DB1-Normal87"/>
              <w:spacing w:line="240" w:lineRule="auto"/>
              <w:textAlignment w:val="baseline"/>
              <w:rPr>
                <w:noProof/>
                <w:sz w:val="24"/>
                <w:szCs w:val="24"/>
              </w:rPr>
            </w:pPr>
            <w:r>
              <w:rPr>
                <w:noProof/>
              </w:rPr>
              <w:t>3 309 921 717 EUR</w:t>
            </w:r>
          </w:p>
        </w:tc>
      </w:tr>
    </w:tbl>
    <w:p w14:paraId="1216C969" w14:textId="382E5C86" w:rsidR="00A60DDE" w:rsidRDefault="00095506">
      <w:pPr>
        <w:pStyle w:val="P68B1DB1-Normal87"/>
        <w:spacing w:line="240" w:lineRule="auto"/>
        <w:textAlignment w:val="baseline"/>
        <w:rPr>
          <w:noProof/>
        </w:rPr>
      </w:pPr>
      <w:r>
        <w:rPr>
          <w:noProof/>
        </w:rPr>
        <w:t xml:space="preserve"> </w:t>
      </w:r>
    </w:p>
    <w:p w14:paraId="65A055DF" w14:textId="77777777" w:rsidR="00A60DDE" w:rsidRDefault="00095506">
      <w:pPr>
        <w:pStyle w:val="P68B1DB1-Normal87"/>
        <w:rPr>
          <w:noProof/>
        </w:rPr>
      </w:pPr>
      <w:r>
        <w:rPr>
          <w:noProof/>
        </w:rPr>
        <w:br w:type="page"/>
      </w:r>
    </w:p>
    <w:p w14:paraId="1216C96A" w14:textId="426038C6" w:rsidR="00A60DDE" w:rsidRDefault="00095506">
      <w:pPr>
        <w:pStyle w:val="P68B1DB1-Normal87"/>
        <w:spacing w:line="240" w:lineRule="auto"/>
        <w:ind w:left="-15"/>
        <w:textAlignment w:val="baseline"/>
        <w:rPr>
          <w:rFonts w:ascii="Segoe UI" w:hAnsi="Segoe UI" w:cs="Segoe UI"/>
          <w:noProof/>
          <w:sz w:val="18"/>
          <w:szCs w:val="18"/>
        </w:rPr>
      </w:pPr>
      <w:r>
        <w:rPr>
          <w:noProof/>
        </w:rPr>
        <w:t xml:space="preserve">2.2.3. A treia tranșă (sprijin sub formă de împrumut): </w:t>
      </w:r>
    </w:p>
    <w:tbl>
      <w:tblPr>
        <w:tblW w:w="96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3"/>
        <w:gridCol w:w="3426"/>
        <w:gridCol w:w="1275"/>
        <w:gridCol w:w="3686"/>
      </w:tblGrid>
      <w:tr w:rsidR="00A60DDE" w14:paraId="1216C96F" w14:textId="77777777">
        <w:trPr>
          <w:trHeight w:val="300"/>
          <w:tblHeader/>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BDD6EE"/>
            <w:hideMark/>
          </w:tcPr>
          <w:p w14:paraId="1216C96B" w14:textId="37C5E5AC" w:rsidR="00A60DDE" w:rsidRDefault="00095506">
            <w:pPr>
              <w:pStyle w:val="P68B1DB1-Normal87"/>
              <w:spacing w:line="240" w:lineRule="auto"/>
              <w:jc w:val="center"/>
              <w:textAlignment w:val="baseline"/>
              <w:rPr>
                <w:noProof/>
                <w:sz w:val="24"/>
                <w:szCs w:val="24"/>
              </w:rPr>
            </w:pPr>
            <w:r>
              <w:rPr>
                <w:b/>
                <w:noProof/>
              </w:rPr>
              <w:t>Număr secvențial</w:t>
            </w:r>
            <w:r>
              <w:rPr>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C" w14:textId="70735B65"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6D" w14:textId="77777777" w:rsidR="00A60DDE" w:rsidRDefault="00095506">
            <w:pPr>
              <w:pStyle w:val="P68B1DB1-Normal100"/>
              <w:spacing w:line="240" w:lineRule="auto"/>
              <w:ind w:left="15" w:right="15"/>
              <w:jc w:val="center"/>
              <w:textAlignment w:val="baseline"/>
              <w:rPr>
                <w:noProof/>
                <w:sz w:val="24"/>
                <w:szCs w:val="24"/>
              </w:rPr>
            </w:pPr>
            <w:r>
              <w:rPr>
                <w:noProof/>
              </w:rPr>
              <w:t>Etapa/ținta</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E" w14:textId="77103FBB" w:rsidR="00A60DDE" w:rsidRDefault="00095506">
            <w:pPr>
              <w:pStyle w:val="P68B1DB1-Normal87"/>
              <w:spacing w:line="240" w:lineRule="auto"/>
              <w:ind w:right="45"/>
              <w:jc w:val="center"/>
              <w:textAlignment w:val="baseline"/>
              <w:rPr>
                <w:noProof/>
                <w:sz w:val="24"/>
                <w:szCs w:val="24"/>
              </w:rPr>
            </w:pPr>
            <w:r>
              <w:rPr>
                <w:b/>
                <w:noProof/>
              </w:rPr>
              <w:t>Denumire</w:t>
            </w:r>
            <w:r>
              <w:rPr>
                <w:noProof/>
              </w:rPr>
              <w:t xml:space="preserve"> </w:t>
            </w:r>
          </w:p>
        </w:tc>
      </w:tr>
      <w:tr w:rsidR="00A60DDE" w14:paraId="1216C974"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0" w14:textId="0B135630" w:rsidR="00A60DDE" w:rsidRDefault="00095506">
            <w:pPr>
              <w:pStyle w:val="P68B1DB1-Normal87"/>
              <w:spacing w:line="240" w:lineRule="auto"/>
              <w:ind w:right="45"/>
              <w:jc w:val="center"/>
              <w:textAlignment w:val="baseline"/>
              <w:rPr>
                <w:noProof/>
                <w:sz w:val="24"/>
                <w:szCs w:val="24"/>
              </w:rPr>
            </w:pPr>
            <w:r>
              <w:rPr>
                <w:noProof/>
              </w:rPr>
              <w:t xml:space="preserve">B32L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1" w14:textId="2B96F83C" w:rsidR="00A60DDE" w:rsidRDefault="00095506">
            <w:pPr>
              <w:pStyle w:val="P68B1DB1-Normal87"/>
              <w:spacing w:line="240" w:lineRule="auto"/>
              <w:textAlignment w:val="baseline"/>
              <w:rPr>
                <w:noProof/>
                <w:sz w:val="24"/>
                <w:szCs w:val="24"/>
              </w:rPr>
            </w:pPr>
            <w:r>
              <w:rPr>
                <w:noProof/>
              </w:rPr>
              <w:t>B2.2 Îmbunătățirea condițiilor de dezvoltare a surselor regenerabile de energie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2"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3" w14:textId="5EC1487A" w:rsidR="00A60DDE" w:rsidRDefault="00095506">
            <w:pPr>
              <w:pStyle w:val="P68B1DB1-Normal87"/>
              <w:spacing w:line="240" w:lineRule="auto"/>
              <w:textAlignment w:val="baseline"/>
              <w:rPr>
                <w:noProof/>
                <w:sz w:val="24"/>
                <w:szCs w:val="24"/>
              </w:rPr>
            </w:pPr>
            <w:r>
              <w:rPr>
                <w:noProof/>
              </w:rPr>
              <w:t>Intrarea în vigoare a actelor de modificare a cadrului legislativ pentru comunitățile de energie din surse regenerabile și biometan: Modificări ale Legii privind energia din surse regenerabile, modificări ale legislației privind piața energiei și intrarea în vigoare a unui regulament la Legea privind energia din surse regenerabile</w:t>
            </w:r>
          </w:p>
        </w:tc>
      </w:tr>
      <w:tr w:rsidR="00A60DDE" w14:paraId="1216C979"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5" w14:textId="69398A2C" w:rsidR="00A60DDE" w:rsidRDefault="00095506">
            <w:pPr>
              <w:pStyle w:val="P68B1DB1-Normal87"/>
              <w:spacing w:line="240" w:lineRule="auto"/>
              <w:ind w:right="45"/>
              <w:jc w:val="center"/>
              <w:textAlignment w:val="baseline"/>
              <w:rPr>
                <w:noProof/>
                <w:sz w:val="24"/>
                <w:szCs w:val="24"/>
              </w:rPr>
            </w:pPr>
            <w:r>
              <w:rPr>
                <w:noProof/>
              </w:rPr>
              <w:t xml:space="preserve">B37L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6" w14:textId="64D802E4" w:rsidR="00A60DDE" w:rsidRDefault="00095506">
            <w:pPr>
              <w:pStyle w:val="P68B1DB1-Normal87"/>
              <w:spacing w:line="240" w:lineRule="auto"/>
              <w:textAlignment w:val="baseline"/>
              <w:rPr>
                <w:noProof/>
                <w:sz w:val="24"/>
                <w:szCs w:val="24"/>
              </w:rPr>
            </w:pPr>
            <w:r>
              <w:rPr>
                <w:noProof/>
              </w:rPr>
              <w:t xml:space="preserve">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7" w14:textId="77777777" w:rsidR="00A60DDE" w:rsidRDefault="00095506">
            <w:pPr>
              <w:pStyle w:val="P68B1DB1-Normal87"/>
              <w:spacing w:line="240" w:lineRule="auto"/>
              <w:ind w:right="45"/>
              <w:jc w:val="center"/>
              <w:textAlignment w:val="baseline"/>
              <w:rPr>
                <w:noProof/>
                <w:sz w:val="24"/>
                <w:szCs w:val="24"/>
              </w:rPr>
            </w:pPr>
            <w:r>
              <w:rPr>
                <w:noProof/>
              </w:rPr>
              <w:t>Țintă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8" w14:textId="1AFD76C3" w:rsidR="00A60DDE" w:rsidRDefault="00095506">
            <w:pPr>
              <w:pStyle w:val="P68B1DB1-Normal87"/>
              <w:spacing w:line="240" w:lineRule="auto"/>
              <w:textAlignment w:val="baseline"/>
              <w:rPr>
                <w:noProof/>
                <w:sz w:val="24"/>
                <w:szCs w:val="24"/>
              </w:rPr>
            </w:pPr>
            <w:r>
              <w:rPr>
                <w:noProof/>
              </w:rPr>
              <w:t xml:space="preserve">T3 - Capacitatea instalată a instalațiilor eoliene și fotovoltaice terestre (în GW) </w:t>
            </w:r>
          </w:p>
        </w:tc>
      </w:tr>
      <w:tr w:rsidR="00A60DDE" w14:paraId="1216C97E"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A" w14:textId="0E390E91" w:rsidR="00A60DDE" w:rsidRDefault="00095506">
            <w:pPr>
              <w:pStyle w:val="P68B1DB1-Normal87"/>
              <w:spacing w:line="240" w:lineRule="auto"/>
              <w:ind w:right="45"/>
              <w:jc w:val="center"/>
              <w:textAlignment w:val="baseline"/>
              <w:rPr>
                <w:noProof/>
                <w:sz w:val="24"/>
                <w:szCs w:val="24"/>
              </w:rPr>
            </w:pPr>
            <w:r>
              <w:rPr>
                <w:noProof/>
              </w:rPr>
              <w:t xml:space="preserve">C10L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B" w14:textId="77777777" w:rsidR="00A60DDE" w:rsidRDefault="00095506">
            <w:pPr>
              <w:pStyle w:val="P68B1DB1-Normal87"/>
              <w:spacing w:line="240" w:lineRule="auto"/>
              <w:ind w:right="30"/>
              <w:textAlignment w:val="baseline"/>
              <w:rPr>
                <w:noProof/>
                <w:sz w:val="24"/>
                <w:szCs w:val="24"/>
              </w:rPr>
            </w:pPr>
            <w:r>
              <w:rPr>
                <w:noProof/>
              </w:rPr>
              <w:t>C2.2.1 Dotarea școlilor/instituțiilor cu dispozitive și infrastructuri TIC adecvate pentru a îmbunătăți performanța generală a sistemului educațional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C"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D" w14:textId="38066090" w:rsidR="00A60DDE" w:rsidRDefault="00095506">
            <w:pPr>
              <w:pStyle w:val="P68B1DB1-Normal87"/>
              <w:spacing w:line="240" w:lineRule="auto"/>
              <w:textAlignment w:val="baseline"/>
              <w:rPr>
                <w:noProof/>
                <w:sz w:val="24"/>
                <w:szCs w:val="24"/>
              </w:rPr>
            </w:pPr>
            <w:r>
              <w:rPr>
                <w:noProof/>
              </w:rPr>
              <w:t>Cadrul de definire a procedurilor de distribuție a dispozitivelor TIC și de furnizare a infrastructurii pentru școli</w:t>
            </w:r>
          </w:p>
        </w:tc>
      </w:tr>
      <w:tr w:rsidR="00A60DDE" w14:paraId="1216C983"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F" w14:textId="07C2FDD2" w:rsidR="00A60DDE" w:rsidRDefault="00095506">
            <w:pPr>
              <w:pStyle w:val="P68B1DB1-Normal87"/>
              <w:spacing w:line="240" w:lineRule="auto"/>
              <w:textAlignment w:val="baseline"/>
              <w:rPr>
                <w:noProof/>
                <w:sz w:val="24"/>
                <w:szCs w:val="24"/>
              </w:rPr>
            </w:pPr>
            <w:r>
              <w:rPr>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0" w14:textId="5ACF59F9" w:rsidR="00A60DDE" w:rsidRDefault="00095506">
            <w:pPr>
              <w:pStyle w:val="P68B1DB1-Normal87"/>
              <w:spacing w:line="240" w:lineRule="auto"/>
              <w:textAlignment w:val="baseline"/>
              <w:rPr>
                <w:noProof/>
                <w:sz w:val="24"/>
                <w:szCs w:val="24"/>
              </w:rPr>
            </w:pP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81" w14:textId="77777777" w:rsidR="00A60DDE" w:rsidRDefault="00095506">
            <w:pPr>
              <w:pStyle w:val="P68B1DB1-Normal87"/>
              <w:spacing w:line="240" w:lineRule="auto"/>
              <w:jc w:val="center"/>
              <w:textAlignment w:val="baseline"/>
              <w:rPr>
                <w:noProof/>
                <w:sz w:val="24"/>
                <w:szCs w:val="24"/>
              </w:rPr>
            </w:pPr>
            <w:r>
              <w:rPr>
                <w:noProof/>
              </w:rPr>
              <w:t>Valoarea tranșei</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2" w14:textId="0FC3EAC8" w:rsidR="00A60DDE" w:rsidRDefault="00095506">
            <w:pPr>
              <w:pStyle w:val="P68B1DB1-Normal87"/>
              <w:spacing w:line="240" w:lineRule="auto"/>
              <w:textAlignment w:val="baseline"/>
              <w:rPr>
                <w:noProof/>
                <w:sz w:val="24"/>
                <w:szCs w:val="24"/>
              </w:rPr>
            </w:pPr>
            <w:r>
              <w:rPr>
                <w:noProof/>
              </w:rPr>
              <w:t>2 815 596 004 EUR</w:t>
            </w:r>
          </w:p>
        </w:tc>
      </w:tr>
    </w:tbl>
    <w:p w14:paraId="1216C984" w14:textId="3AC3ED9B" w:rsidR="00A60DDE" w:rsidRDefault="00095506">
      <w:pPr>
        <w:pStyle w:val="P68B1DB1-Normal87"/>
        <w:spacing w:line="240" w:lineRule="auto"/>
        <w:textAlignment w:val="baseline"/>
        <w:rPr>
          <w:rFonts w:ascii="Segoe UI" w:hAnsi="Segoe UI" w:cs="Segoe UI"/>
          <w:noProof/>
          <w:sz w:val="18"/>
          <w:szCs w:val="18"/>
        </w:rPr>
      </w:pPr>
      <w:r>
        <w:rPr>
          <w:noProof/>
        </w:rPr>
        <w:t xml:space="preserve"> </w:t>
      </w:r>
    </w:p>
    <w:p w14:paraId="1216C985" w14:textId="77777777" w:rsidR="00A60DDE" w:rsidRDefault="00A60DDE">
      <w:pPr>
        <w:spacing w:line="240" w:lineRule="auto"/>
        <w:ind w:left="-15"/>
        <w:textAlignment w:val="baseline"/>
        <w:rPr>
          <w:rFonts w:ascii="Times New Roman" w:eastAsia="Times New Roman" w:hAnsi="Times New Roman" w:cs="Times New Roman"/>
          <w:noProof/>
        </w:rPr>
      </w:pPr>
    </w:p>
    <w:p w14:paraId="1216C986" w14:textId="6C4D7AFF" w:rsidR="00A60DDE" w:rsidRDefault="00095506">
      <w:pPr>
        <w:pStyle w:val="P68B1DB1-Normal87"/>
        <w:spacing w:line="240" w:lineRule="auto"/>
        <w:ind w:left="-15"/>
        <w:textAlignment w:val="baseline"/>
        <w:rPr>
          <w:rFonts w:ascii="Segoe UI" w:hAnsi="Segoe UI" w:cs="Segoe UI"/>
          <w:noProof/>
          <w:sz w:val="18"/>
          <w:szCs w:val="18"/>
        </w:rPr>
      </w:pPr>
      <w:r>
        <w:rPr>
          <w:noProof/>
        </w:rPr>
        <w:t xml:space="preserve">2.2.4. A patra tranșă (sprijin sub formă de împrumut): </w:t>
      </w:r>
    </w:p>
    <w:tbl>
      <w:tblPr>
        <w:tblW w:w="96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3402"/>
        <w:gridCol w:w="1276"/>
        <w:gridCol w:w="3724"/>
      </w:tblGrid>
      <w:tr w:rsidR="00A60DDE" w14:paraId="1216C98B" w14:textId="77777777">
        <w:trPr>
          <w:trHeight w:val="300"/>
          <w:tblHeader/>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BDD6EE"/>
            <w:hideMark/>
          </w:tcPr>
          <w:p w14:paraId="1216C987" w14:textId="54E6DD90" w:rsidR="00A60DDE" w:rsidRDefault="00095506">
            <w:pPr>
              <w:pStyle w:val="P68B1DB1-Normal87"/>
              <w:spacing w:line="240" w:lineRule="auto"/>
              <w:jc w:val="center"/>
              <w:textAlignment w:val="baseline"/>
              <w:rPr>
                <w:noProof/>
                <w:sz w:val="24"/>
                <w:szCs w:val="24"/>
              </w:rPr>
            </w:pPr>
            <w:r>
              <w:rPr>
                <w:b/>
                <w:noProof/>
              </w:rPr>
              <w:t>Număr secvențial</w:t>
            </w: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88" w14:textId="13184507"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89" w14:textId="77777777" w:rsidR="00A60DDE" w:rsidRDefault="00095506">
            <w:pPr>
              <w:pStyle w:val="P68B1DB1-Normal100"/>
              <w:spacing w:line="240" w:lineRule="auto"/>
              <w:ind w:left="15"/>
              <w:jc w:val="center"/>
              <w:textAlignment w:val="baseline"/>
              <w:rPr>
                <w:noProof/>
                <w:sz w:val="24"/>
                <w:szCs w:val="24"/>
              </w:rPr>
            </w:pPr>
            <w:r>
              <w:rPr>
                <w:noProof/>
              </w:rPr>
              <w:t>Etapa/ținta</w:t>
            </w:r>
          </w:p>
        </w:tc>
        <w:tc>
          <w:tcPr>
            <w:tcW w:w="3724" w:type="dxa"/>
            <w:tcBorders>
              <w:top w:val="single" w:sz="6" w:space="0" w:color="000000"/>
              <w:left w:val="single" w:sz="6" w:space="0" w:color="000000"/>
              <w:bottom w:val="single" w:sz="6" w:space="0" w:color="000000"/>
              <w:right w:val="single" w:sz="6" w:space="0" w:color="000000"/>
            </w:tcBorders>
            <w:shd w:val="clear" w:color="auto" w:fill="BDD6EE"/>
            <w:hideMark/>
          </w:tcPr>
          <w:p w14:paraId="1216C98A" w14:textId="60C7593E" w:rsidR="00A60DDE" w:rsidRDefault="00095506">
            <w:pPr>
              <w:pStyle w:val="P68B1DB1-Normal87"/>
              <w:spacing w:line="240" w:lineRule="auto"/>
              <w:jc w:val="center"/>
              <w:textAlignment w:val="baseline"/>
              <w:rPr>
                <w:noProof/>
                <w:sz w:val="24"/>
                <w:szCs w:val="24"/>
              </w:rPr>
            </w:pPr>
            <w:r>
              <w:rPr>
                <w:b/>
                <w:noProof/>
              </w:rPr>
              <w:t>Denumire</w:t>
            </w:r>
            <w:r>
              <w:rPr>
                <w:noProof/>
              </w:rPr>
              <w:t xml:space="preserve"> </w:t>
            </w:r>
          </w:p>
        </w:tc>
      </w:tr>
      <w:tr w:rsidR="00A60DDE" w14:paraId="1216C990"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8C" w14:textId="4C027318" w:rsidR="00A60DDE" w:rsidRDefault="00095506">
            <w:pPr>
              <w:pStyle w:val="P68B1DB1-Normal87"/>
              <w:spacing w:line="240" w:lineRule="auto"/>
              <w:jc w:val="center"/>
              <w:textAlignment w:val="baseline"/>
              <w:rPr>
                <w:noProof/>
                <w:sz w:val="24"/>
                <w:szCs w:val="24"/>
              </w:rPr>
            </w:pPr>
            <w:r>
              <w:rPr>
                <w:noProof/>
              </w:rPr>
              <w:t xml:space="preserve">B3L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8D" w14:textId="2BFA67B1" w:rsidR="00A60DDE" w:rsidRDefault="00095506">
            <w:pPr>
              <w:pStyle w:val="P68B1DB1-Normal87"/>
              <w:spacing w:line="240" w:lineRule="auto"/>
              <w:textAlignment w:val="baseline"/>
              <w:rPr>
                <w:noProof/>
                <w:sz w:val="24"/>
                <w:szCs w:val="24"/>
              </w:rPr>
            </w:pPr>
            <w:r>
              <w:rPr>
                <w:noProof/>
              </w:rPr>
              <w:t xml:space="preserve">B1.2.1 Eficiența energetică și sursele regenerabile de energie în întreprinderi – investiții cu cel mai mare potențial de reducere a emisiilor de gaze cu efect de seră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E" w14:textId="77777777" w:rsidR="00A60DDE" w:rsidRDefault="00095506">
            <w:pPr>
              <w:pStyle w:val="P68B1DB1-Normal87"/>
              <w:spacing w:line="240" w:lineRule="auto"/>
              <w:jc w:val="center"/>
              <w:textAlignment w:val="baseline"/>
              <w:rPr>
                <w:noProof/>
                <w:sz w:val="24"/>
                <w:szCs w:val="24"/>
              </w:rPr>
            </w:pPr>
            <w:r>
              <w:rPr>
                <w:noProof/>
              </w:rPr>
              <w:t>Țintă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8F" w14:textId="67B351E5" w:rsidR="00A60DDE" w:rsidRDefault="00095506">
            <w:pPr>
              <w:pStyle w:val="P68B1DB1-Normal87"/>
              <w:spacing w:line="240" w:lineRule="auto"/>
              <w:textAlignment w:val="baseline"/>
              <w:rPr>
                <w:noProof/>
                <w:sz w:val="24"/>
                <w:szCs w:val="24"/>
              </w:rPr>
            </w:pPr>
            <w:r>
              <w:rPr>
                <w:noProof/>
              </w:rPr>
              <w:t>Atribuirea tuturor contractelor pentru punerea în aplicare a eficienței energetice și a SRE în întreprinderi</w:t>
            </w:r>
          </w:p>
        </w:tc>
      </w:tr>
      <w:tr w:rsidR="00A60DDE" w14:paraId="1216C995"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1" w14:textId="1C88650A" w:rsidR="00A60DDE" w:rsidRDefault="00095506">
            <w:pPr>
              <w:pStyle w:val="P68B1DB1-Normal87"/>
              <w:spacing w:line="240" w:lineRule="auto"/>
              <w:jc w:val="center"/>
              <w:textAlignment w:val="baseline"/>
              <w:rPr>
                <w:noProof/>
                <w:sz w:val="24"/>
                <w:szCs w:val="24"/>
              </w:rPr>
            </w:pPr>
            <w:r>
              <w:rPr>
                <w:noProof/>
              </w:rPr>
              <w:t xml:space="preserve">B6L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2" w14:textId="79F86E73" w:rsidR="00A60DDE" w:rsidRDefault="00095506">
            <w:pPr>
              <w:pStyle w:val="P68B1DB1-Normal87"/>
              <w:spacing w:line="240" w:lineRule="auto"/>
              <w:textAlignment w:val="baseline"/>
              <w:rPr>
                <w:noProof/>
                <w:sz w:val="24"/>
                <w:szCs w:val="24"/>
              </w:rPr>
            </w:pPr>
            <w:r>
              <w:rPr>
                <w:noProof/>
              </w:rPr>
              <w:t xml:space="preserve">B2.3 Sprijin pentru investiții în parcuri eoliene offshore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3" w14:textId="77777777" w:rsidR="00A60DDE" w:rsidRDefault="00095506">
            <w:pPr>
              <w:pStyle w:val="P68B1DB1-Normal87"/>
              <w:spacing w:line="240" w:lineRule="auto"/>
              <w:ind w:left="60"/>
              <w:jc w:val="center"/>
              <w:textAlignment w:val="baseline"/>
              <w:rPr>
                <w:noProof/>
                <w:sz w:val="24"/>
                <w:szCs w:val="24"/>
              </w:rPr>
            </w:pPr>
            <w:r>
              <w:rPr>
                <w:noProof/>
              </w:rPr>
              <w:t>Etapa de referință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4" w14:textId="6559B95F" w:rsidR="00A60DDE" w:rsidRDefault="00095506">
            <w:pPr>
              <w:pStyle w:val="P68B1DB1-Normal87"/>
              <w:spacing w:line="240" w:lineRule="auto"/>
              <w:textAlignment w:val="baseline"/>
              <w:rPr>
                <w:noProof/>
                <w:sz w:val="24"/>
                <w:szCs w:val="24"/>
              </w:rPr>
            </w:pPr>
            <w:r>
              <w:rPr>
                <w:noProof/>
              </w:rPr>
              <w:t>Intrarea în vigoare a unei modificări a regulamentului privind condițiile detaliate de funcționare a sistemului energetic, care modifică normele naționale de echilibrare pentru a reduce în cea mai mare măsură posibilă impactul constrângerilor de alocare</w:t>
            </w:r>
          </w:p>
        </w:tc>
      </w:tr>
      <w:tr w:rsidR="00A60DDE" w14:paraId="1216C99A"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6" w14:textId="504EFFA3" w:rsidR="00A60DDE" w:rsidRDefault="00095506">
            <w:pPr>
              <w:pStyle w:val="P68B1DB1-Normal87"/>
              <w:spacing w:line="240" w:lineRule="auto"/>
              <w:jc w:val="center"/>
              <w:textAlignment w:val="baseline"/>
              <w:rPr>
                <w:noProof/>
                <w:sz w:val="24"/>
                <w:szCs w:val="24"/>
              </w:rPr>
            </w:pPr>
            <w:r>
              <w:rPr>
                <w:noProof/>
              </w:rPr>
              <w:t xml:space="preserve">B24L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7" w14:textId="20955676" w:rsidR="00A60DDE" w:rsidRDefault="00095506">
            <w:pPr>
              <w:pStyle w:val="P68B1DB1-Normal87"/>
              <w:spacing w:line="240" w:lineRule="auto"/>
              <w:textAlignment w:val="baseline"/>
              <w:rPr>
                <w:noProof/>
                <w:sz w:val="24"/>
                <w:szCs w:val="24"/>
              </w:rPr>
            </w:pPr>
            <w:r>
              <w:rPr>
                <w:noProof/>
              </w:rPr>
              <w:t xml:space="preserve">B3.4 Cadrul favorabil pentru investițiile în tranziția verde în zonele urbane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8" w14:textId="77777777" w:rsidR="00A60DDE" w:rsidRDefault="00095506">
            <w:pPr>
              <w:pStyle w:val="P68B1DB1-Normal87"/>
              <w:spacing w:line="240" w:lineRule="auto"/>
              <w:ind w:left="60"/>
              <w:jc w:val="center"/>
              <w:textAlignment w:val="baseline"/>
              <w:rPr>
                <w:noProof/>
                <w:sz w:val="24"/>
                <w:szCs w:val="24"/>
              </w:rPr>
            </w:pPr>
            <w:r>
              <w:rPr>
                <w:noProof/>
              </w:rPr>
              <w:t>Etapa de referință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9" w14:textId="77777777" w:rsidR="00A60DDE" w:rsidRDefault="00095506">
            <w:pPr>
              <w:pStyle w:val="P68B1DB1-Normal87"/>
              <w:spacing w:line="240" w:lineRule="auto"/>
              <w:textAlignment w:val="baseline"/>
              <w:rPr>
                <w:noProof/>
                <w:sz w:val="24"/>
                <w:szCs w:val="24"/>
              </w:rPr>
            </w:pPr>
            <w:r>
              <w:rPr>
                <w:noProof/>
              </w:rPr>
              <w:t>Intrarea în vigoare a unei legi care vizează sprijinirea capacității zonelor urbane de a investi în tranziția verde.</w:t>
            </w:r>
          </w:p>
        </w:tc>
      </w:tr>
      <w:tr w:rsidR="00A60DDE" w14:paraId="1216C99F"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B" w14:textId="77B055AA" w:rsidR="00A60DDE" w:rsidRDefault="00095506">
            <w:pPr>
              <w:pStyle w:val="P68B1DB1-Normal87"/>
              <w:spacing w:line="240" w:lineRule="auto"/>
              <w:jc w:val="center"/>
              <w:textAlignment w:val="baseline"/>
              <w:rPr>
                <w:noProof/>
                <w:sz w:val="24"/>
                <w:szCs w:val="24"/>
              </w:rPr>
            </w:pPr>
            <w:r>
              <w:rPr>
                <w:noProof/>
              </w:rPr>
              <w:t xml:space="preserve">B38L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C" w14:textId="3E296307" w:rsidR="00A60DDE" w:rsidRDefault="00095506">
            <w:pPr>
              <w:pStyle w:val="P68B1DB1-Normal87"/>
              <w:spacing w:line="240" w:lineRule="auto"/>
              <w:textAlignment w:val="baseline"/>
              <w:rPr>
                <w:noProof/>
                <w:sz w:val="24"/>
                <w:szCs w:val="24"/>
              </w:rPr>
            </w:pPr>
            <w:r>
              <w:rPr>
                <w:noProof/>
              </w:rPr>
              <w:t>B2.2 Îmbunătățirea condițiilor de dezvoltare a surselor regenerabile de energie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D" w14:textId="77777777" w:rsidR="00A60DDE" w:rsidRDefault="00095506">
            <w:pPr>
              <w:pStyle w:val="P68B1DB1-Normal87"/>
              <w:spacing w:line="240" w:lineRule="auto"/>
              <w:jc w:val="center"/>
              <w:textAlignment w:val="baseline"/>
              <w:rPr>
                <w:noProof/>
                <w:sz w:val="24"/>
                <w:szCs w:val="24"/>
              </w:rPr>
            </w:pPr>
            <w:r>
              <w:rPr>
                <w:noProof/>
              </w:rPr>
              <w:t>Țintă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E" w14:textId="70D18212" w:rsidR="00A60DDE" w:rsidRDefault="00095506">
            <w:pPr>
              <w:pStyle w:val="P68B1DB1-Normal87"/>
              <w:spacing w:line="240" w:lineRule="auto"/>
              <w:textAlignment w:val="baseline"/>
              <w:rPr>
                <w:noProof/>
                <w:sz w:val="24"/>
                <w:szCs w:val="24"/>
              </w:rPr>
            </w:pPr>
            <w:r>
              <w:rPr>
                <w:noProof/>
              </w:rPr>
              <w:t>T4 - Capacitatea instalată a instalațiilor eoliene și fotovoltaice terestre (în GW)</w:t>
            </w:r>
          </w:p>
        </w:tc>
      </w:tr>
      <w:tr w:rsidR="00A60DDE" w14:paraId="1216C9A4"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0" w14:textId="7B2E4CA4" w:rsidR="00A60DDE" w:rsidRDefault="00095506">
            <w:pPr>
              <w:pStyle w:val="P68B1DB1-Normal87"/>
              <w:spacing w:line="240" w:lineRule="auto"/>
              <w:jc w:val="center"/>
              <w:textAlignment w:val="baseline"/>
              <w:rPr>
                <w:noProof/>
                <w:sz w:val="24"/>
                <w:szCs w:val="24"/>
              </w:rPr>
            </w:pPr>
            <w:r>
              <w:rPr>
                <w:noProof/>
              </w:rPr>
              <w:t xml:space="preserve">C3L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1" w14:textId="54C8E480" w:rsidR="00A60DDE" w:rsidRDefault="00095506">
            <w:pPr>
              <w:pStyle w:val="P68B1DB1-Normal87"/>
              <w:spacing w:line="240" w:lineRule="auto"/>
              <w:textAlignment w:val="baseline"/>
              <w:rPr>
                <w:noProof/>
                <w:sz w:val="24"/>
                <w:szCs w:val="24"/>
              </w:rPr>
            </w:pPr>
            <w:r>
              <w:rPr>
                <w:noProof/>
              </w:rPr>
              <w:t>C1.2 Creșterea nivelului de accesibilitate și utilizare a comunicațiilor moderne prin cablu și fără fir pentru nevoile sociale și economice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2"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3" w14:textId="1A8B65EA" w:rsidR="00A60DDE" w:rsidRDefault="00095506">
            <w:pPr>
              <w:pStyle w:val="P68B1DB1-Normal87"/>
              <w:spacing w:line="240" w:lineRule="auto"/>
              <w:textAlignment w:val="baseline"/>
              <w:rPr>
                <w:noProof/>
                <w:sz w:val="24"/>
                <w:szCs w:val="24"/>
              </w:rPr>
            </w:pPr>
            <w:r>
              <w:rPr>
                <w:noProof/>
              </w:rPr>
              <w:t>Nou(e) act(e) juridic(e) care elimină principalele obstacole din calea implementării rețelei 5G</w:t>
            </w:r>
          </w:p>
        </w:tc>
      </w:tr>
      <w:tr w:rsidR="00A60DDE" w14:paraId="1216C9A9"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5" w14:textId="21EFBCAF" w:rsidR="00A60DDE" w:rsidRDefault="00095506">
            <w:pPr>
              <w:pStyle w:val="P68B1DB1-Normal87"/>
              <w:spacing w:line="240" w:lineRule="auto"/>
              <w:textAlignment w:val="baseline"/>
              <w:rPr>
                <w:noProof/>
                <w:sz w:val="24"/>
                <w:szCs w:val="24"/>
              </w:rPr>
            </w:pP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6" w14:textId="264ABAB1" w:rsidR="00A60DDE" w:rsidRDefault="00095506">
            <w:pPr>
              <w:pStyle w:val="P68B1DB1-Normal87"/>
              <w:spacing w:line="240" w:lineRule="auto"/>
              <w:textAlignment w:val="baseline"/>
              <w:rPr>
                <w:noProof/>
                <w:sz w:val="24"/>
                <w:szCs w:val="24"/>
              </w:rPr>
            </w:pPr>
            <w:r>
              <w:rPr>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7" w14:textId="77777777" w:rsidR="00A60DDE" w:rsidRDefault="00095506">
            <w:pPr>
              <w:pStyle w:val="P68B1DB1-Normal87"/>
              <w:spacing w:line="240" w:lineRule="auto"/>
              <w:jc w:val="center"/>
              <w:textAlignment w:val="baseline"/>
              <w:rPr>
                <w:noProof/>
                <w:sz w:val="24"/>
                <w:szCs w:val="24"/>
              </w:rPr>
            </w:pPr>
            <w:r>
              <w:rPr>
                <w:noProof/>
              </w:rPr>
              <w:t>Valoarea tranșei</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8" w14:textId="7CB0A027" w:rsidR="00A60DDE" w:rsidRDefault="00095506">
            <w:pPr>
              <w:pStyle w:val="P68B1DB1-Normal87"/>
              <w:spacing w:line="240" w:lineRule="auto"/>
              <w:textAlignment w:val="baseline"/>
              <w:rPr>
                <w:noProof/>
                <w:sz w:val="24"/>
                <w:szCs w:val="24"/>
              </w:rPr>
            </w:pPr>
            <w:r>
              <w:rPr>
                <w:noProof/>
              </w:rPr>
              <w:t>1 313 079 799 EUR</w:t>
            </w:r>
          </w:p>
        </w:tc>
      </w:tr>
    </w:tbl>
    <w:p w14:paraId="19095F63" w14:textId="4D3A5ED3" w:rsidR="00A60DDE" w:rsidRDefault="00095506">
      <w:pPr>
        <w:pStyle w:val="P68B1DB1-Normal87"/>
        <w:spacing w:line="240" w:lineRule="auto"/>
        <w:textAlignment w:val="baseline"/>
        <w:rPr>
          <w:noProof/>
        </w:rPr>
      </w:pPr>
      <w:r>
        <w:rPr>
          <w:noProof/>
        </w:rPr>
        <w:t xml:space="preserve"> </w:t>
      </w:r>
    </w:p>
    <w:p w14:paraId="1216C9AB" w14:textId="530B3A01" w:rsidR="00A60DDE" w:rsidRDefault="00095506">
      <w:pPr>
        <w:pStyle w:val="P68B1DB1-Normal87"/>
        <w:spacing w:line="240" w:lineRule="auto"/>
        <w:textAlignment w:val="baseline"/>
        <w:rPr>
          <w:rFonts w:ascii="Segoe UI" w:hAnsi="Segoe UI" w:cs="Segoe UI"/>
          <w:noProof/>
          <w:sz w:val="18"/>
          <w:szCs w:val="18"/>
        </w:rPr>
      </w:pPr>
      <w:r>
        <w:rPr>
          <w:noProof/>
        </w:rPr>
        <w:t>2.2.5. A cincea tranșă (sprijin sub formă de împrumut):</w:t>
      </w:r>
    </w:p>
    <w:tbl>
      <w:tblPr>
        <w:tblW w:w="96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4"/>
        <w:gridCol w:w="3544"/>
        <w:gridCol w:w="1276"/>
        <w:gridCol w:w="3685"/>
      </w:tblGrid>
      <w:tr w:rsidR="00A60DDE" w14:paraId="1216C9B0" w14:textId="77777777">
        <w:trPr>
          <w:trHeight w:val="300"/>
          <w:tblHeade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C" w14:textId="3E911D51" w:rsidR="00A60DDE" w:rsidRDefault="00095506">
            <w:pPr>
              <w:pStyle w:val="P68B1DB1-Normal87"/>
              <w:spacing w:line="240" w:lineRule="auto"/>
              <w:jc w:val="center"/>
              <w:textAlignment w:val="baseline"/>
              <w:rPr>
                <w:noProof/>
                <w:sz w:val="24"/>
                <w:szCs w:val="24"/>
              </w:rPr>
            </w:pPr>
            <w:r>
              <w:rPr>
                <w:b/>
                <w:noProof/>
              </w:rPr>
              <w:t>Număr secvențial</w:t>
            </w:r>
            <w:r>
              <w:rPr>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D" w14:textId="0DAA3509" w:rsidR="00A60DDE" w:rsidRDefault="00095506">
            <w:pPr>
              <w:pStyle w:val="P68B1DB1-Normal87"/>
              <w:spacing w:line="240" w:lineRule="auto"/>
              <w:jc w:val="center"/>
              <w:textAlignment w:val="baseline"/>
              <w:rPr>
                <w:noProof/>
                <w:sz w:val="24"/>
                <w:szCs w:val="24"/>
              </w:rPr>
            </w:pPr>
            <w:r>
              <w:rPr>
                <w:b/>
                <w:noProof/>
              </w:rPr>
              <w:t>Măsură conexă (reformă sau investiție)</w:t>
            </w:r>
            <w:r>
              <w:rPr>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AE" w14:textId="77777777" w:rsidR="00A60DDE" w:rsidRDefault="00095506">
            <w:pPr>
              <w:pStyle w:val="P68B1DB1-Normal100"/>
              <w:spacing w:line="240" w:lineRule="auto"/>
              <w:ind w:left="15"/>
              <w:jc w:val="center"/>
              <w:textAlignment w:val="baseline"/>
              <w:rPr>
                <w:noProof/>
                <w:sz w:val="24"/>
                <w:szCs w:val="24"/>
              </w:rPr>
            </w:pPr>
            <w:r>
              <w:rPr>
                <w:noProof/>
              </w:rPr>
              <w:t>Etapa/ținta</w:t>
            </w:r>
          </w:p>
        </w:tc>
        <w:tc>
          <w:tcPr>
            <w:tcW w:w="3685" w:type="dxa"/>
            <w:tcBorders>
              <w:top w:val="single" w:sz="6" w:space="0" w:color="000000"/>
              <w:left w:val="single" w:sz="6" w:space="0" w:color="000000"/>
              <w:bottom w:val="single" w:sz="6" w:space="0" w:color="000000"/>
              <w:right w:val="single" w:sz="6" w:space="0" w:color="000000"/>
            </w:tcBorders>
            <w:shd w:val="clear" w:color="auto" w:fill="BDD6EE"/>
            <w:hideMark/>
          </w:tcPr>
          <w:p w14:paraId="1216C9AF" w14:textId="72FBB3A0" w:rsidR="00A60DDE" w:rsidRDefault="00095506">
            <w:pPr>
              <w:pStyle w:val="P68B1DB1-Normal87"/>
              <w:spacing w:line="240" w:lineRule="auto"/>
              <w:jc w:val="center"/>
              <w:textAlignment w:val="baseline"/>
              <w:rPr>
                <w:noProof/>
                <w:sz w:val="24"/>
                <w:szCs w:val="24"/>
              </w:rPr>
            </w:pPr>
            <w:r>
              <w:rPr>
                <w:b/>
                <w:noProof/>
              </w:rPr>
              <w:t>Denumire</w:t>
            </w:r>
            <w:r>
              <w:rPr>
                <w:noProof/>
              </w:rPr>
              <w:t xml:space="preserve"> </w:t>
            </w:r>
          </w:p>
        </w:tc>
      </w:tr>
      <w:tr w:rsidR="00A60DDE" w14:paraId="1216C9B5"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1" w14:textId="1C0EC967" w:rsidR="00A60DDE" w:rsidRDefault="00095506">
            <w:pPr>
              <w:pStyle w:val="P68B1DB1-Normal87"/>
              <w:spacing w:line="240" w:lineRule="auto"/>
              <w:ind w:right="15"/>
              <w:jc w:val="center"/>
              <w:textAlignment w:val="baseline"/>
              <w:rPr>
                <w:noProof/>
                <w:sz w:val="24"/>
                <w:szCs w:val="24"/>
              </w:rPr>
            </w:pPr>
            <w:r>
              <w:rPr>
                <w:noProof/>
              </w:rPr>
              <w:t xml:space="preserve">B4L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2" w14:textId="353B046F" w:rsidR="00A60DDE" w:rsidRDefault="00095506">
            <w:pPr>
              <w:pStyle w:val="P68B1DB1-Normal87"/>
              <w:spacing w:line="240" w:lineRule="auto"/>
              <w:textAlignment w:val="baseline"/>
              <w:rPr>
                <w:noProof/>
                <w:sz w:val="24"/>
                <w:szCs w:val="24"/>
              </w:rPr>
            </w:pPr>
            <w:r>
              <w:rPr>
                <w:noProof/>
              </w:rPr>
              <w:t>B2.3 Sprijin pentru investiții în parcuri eoliene offshore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3" w14:textId="77777777" w:rsidR="00A60DDE" w:rsidRDefault="00095506">
            <w:pPr>
              <w:pStyle w:val="P68B1DB1-Normal87"/>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4" w14:textId="39F2DDFD" w:rsidR="00A60DDE" w:rsidRDefault="00095506">
            <w:pPr>
              <w:pStyle w:val="P68B1DB1-Normal87"/>
              <w:spacing w:line="240" w:lineRule="auto"/>
              <w:textAlignment w:val="baseline"/>
              <w:rPr>
                <w:noProof/>
                <w:sz w:val="24"/>
                <w:szCs w:val="24"/>
              </w:rPr>
            </w:pPr>
            <w:r>
              <w:rPr>
                <w:noProof/>
              </w:rPr>
              <w:t>Intrarea în vigoare a regulamentelor de punere în aplicare care decurg din Legea privind promovarea generării de energie electrică în parcurile eoliene offshore</w:t>
            </w:r>
          </w:p>
        </w:tc>
      </w:tr>
      <w:tr w:rsidR="00A60DDE" w14:paraId="1216C9BA"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6" w14:textId="21F7A81E" w:rsidR="00A60DDE" w:rsidRDefault="00095506">
            <w:pPr>
              <w:pStyle w:val="P68B1DB1-Normal87"/>
              <w:spacing w:line="240" w:lineRule="auto"/>
              <w:ind w:right="15"/>
              <w:jc w:val="center"/>
              <w:textAlignment w:val="baseline"/>
              <w:rPr>
                <w:noProof/>
                <w:sz w:val="24"/>
                <w:szCs w:val="24"/>
              </w:rPr>
            </w:pPr>
            <w:r>
              <w:rPr>
                <w:noProof/>
              </w:rPr>
              <w:t xml:space="preserve">C15L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7" w14:textId="3425E1C7" w:rsidR="00A60DDE" w:rsidRDefault="00095506">
            <w:pPr>
              <w:pStyle w:val="P68B1DB1-Normal87"/>
              <w:spacing w:line="240" w:lineRule="auto"/>
              <w:textAlignment w:val="baseline"/>
              <w:rPr>
                <w:noProof/>
                <w:sz w:val="24"/>
                <w:szCs w:val="24"/>
              </w:rPr>
            </w:pPr>
            <w:r>
              <w:rPr>
                <w:noProof/>
              </w:rPr>
              <w:t>C4.1.1 Sprijin pentru transformarea digitală avansată</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8" w14:textId="77777777" w:rsidR="00A60DDE" w:rsidRDefault="00095506">
            <w:pPr>
              <w:pStyle w:val="P68B1DB1-Normal87"/>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9" w14:textId="1673B4D9" w:rsidR="00A60DDE" w:rsidRDefault="00095506">
            <w:pPr>
              <w:pStyle w:val="P68B1DB1-Normal87"/>
              <w:spacing w:line="240" w:lineRule="auto"/>
              <w:textAlignment w:val="baseline"/>
              <w:rPr>
                <w:noProof/>
                <w:sz w:val="24"/>
                <w:szCs w:val="24"/>
              </w:rPr>
            </w:pPr>
            <w:r>
              <w:rPr>
                <w:noProof/>
              </w:rPr>
              <w:t>Ghid pentru transformarea digitală a antreprenorilor care utilizează cloud computing</w:t>
            </w:r>
          </w:p>
        </w:tc>
      </w:tr>
      <w:tr w:rsidR="00A60DDE" w14:paraId="1216C9BF"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B" w14:textId="24EE9C99" w:rsidR="00A60DDE" w:rsidRDefault="00095506">
            <w:pPr>
              <w:pStyle w:val="P68B1DB1-Normal87"/>
              <w:spacing w:line="240" w:lineRule="auto"/>
              <w:ind w:right="30"/>
              <w:jc w:val="center"/>
              <w:textAlignment w:val="baseline"/>
              <w:rPr>
                <w:noProof/>
                <w:sz w:val="24"/>
                <w:szCs w:val="24"/>
              </w:rPr>
            </w:pPr>
            <w:r>
              <w:rPr>
                <w:noProof/>
              </w:rPr>
              <w:t xml:space="preserve">E1L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C" w14:textId="1AB3F5EE" w:rsidR="00A60DDE" w:rsidRDefault="00095506">
            <w:pPr>
              <w:pStyle w:val="P68B1DB1-Normal87"/>
              <w:spacing w:line="240" w:lineRule="auto"/>
              <w:textAlignment w:val="baseline"/>
              <w:rPr>
                <w:noProof/>
                <w:sz w:val="24"/>
                <w:szCs w:val="24"/>
              </w:rPr>
            </w:pPr>
            <w:r>
              <w:rPr>
                <w:noProof/>
              </w:rPr>
              <w:t>E1.2 Creșterea ponderii transporturilor cu emisii zero și cu emisii scăzute, prevenirea și reducerea impactului negativ al transporturilor asupra mediului</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D"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E" w14:textId="6FED957D" w:rsidR="00A60DDE" w:rsidRDefault="00095506">
            <w:pPr>
              <w:pStyle w:val="P68B1DB1-Normal87"/>
              <w:spacing w:line="240" w:lineRule="auto"/>
              <w:textAlignment w:val="baseline"/>
              <w:rPr>
                <w:noProof/>
                <w:sz w:val="24"/>
                <w:szCs w:val="24"/>
              </w:rPr>
            </w:pPr>
            <w:r>
              <w:rPr>
                <w:noProof/>
              </w:rPr>
              <w:t>Intrarea în vigoare a unui act juridic care introduce obligația privind zonele cu emisii scăzute pentru orașele selectate și cele mai poluate</w:t>
            </w:r>
          </w:p>
        </w:tc>
      </w:tr>
      <w:tr w:rsidR="00A60DDE" w14:paraId="1216C9C4"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0" w14:textId="73745E6C" w:rsidR="00A60DDE" w:rsidRDefault="00095506">
            <w:pPr>
              <w:pStyle w:val="P68B1DB1-Normal87"/>
              <w:spacing w:line="240" w:lineRule="auto"/>
              <w:ind w:right="30"/>
              <w:jc w:val="center"/>
              <w:textAlignment w:val="baseline"/>
              <w:rPr>
                <w:noProof/>
                <w:sz w:val="24"/>
                <w:szCs w:val="24"/>
              </w:rPr>
            </w:pPr>
            <w:r>
              <w:rPr>
                <w:noProof/>
              </w:rPr>
              <w:t xml:space="preserve">E6L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1" w14:textId="04EE5E91" w:rsidR="00A60DDE" w:rsidRDefault="00095506">
            <w:pPr>
              <w:pStyle w:val="P68B1DB1-Normal87"/>
              <w:spacing w:line="240" w:lineRule="auto"/>
              <w:textAlignment w:val="baseline"/>
              <w:rPr>
                <w:noProof/>
                <w:sz w:val="24"/>
                <w:szCs w:val="24"/>
              </w:rPr>
            </w:pPr>
            <w:r>
              <w:rPr>
                <w:noProof/>
              </w:rPr>
              <w:t>E2.3 Îmbunătățirea accesibilității transporturilor, a securității și a soluțiilor digitale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2"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3" w14:textId="088CC025" w:rsidR="00A60DDE" w:rsidRDefault="00095506">
            <w:pPr>
              <w:pStyle w:val="P68B1DB1-Normal87"/>
              <w:spacing w:line="240" w:lineRule="auto"/>
              <w:textAlignment w:val="baseline"/>
              <w:rPr>
                <w:noProof/>
                <w:sz w:val="24"/>
                <w:szCs w:val="24"/>
              </w:rPr>
            </w:pPr>
            <w:r>
              <w:rPr>
                <w:noProof/>
              </w:rPr>
              <w:t>Obligația de a moderniza materialul rulant național și internațional cu cerințe pentru pasagerii cu handicap</w:t>
            </w:r>
          </w:p>
        </w:tc>
      </w:tr>
      <w:tr w:rsidR="00A60DDE" w14:paraId="1216C9C9" w14:textId="77777777">
        <w:trPr>
          <w:trHeight w:val="405"/>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5" w14:textId="7963082E" w:rsidR="00A60DDE" w:rsidRDefault="00095506">
            <w:pPr>
              <w:pStyle w:val="P68B1DB1-Normal87"/>
              <w:spacing w:line="240" w:lineRule="auto"/>
              <w:ind w:right="30"/>
              <w:jc w:val="center"/>
              <w:textAlignment w:val="baseline"/>
              <w:rPr>
                <w:noProof/>
                <w:sz w:val="24"/>
                <w:szCs w:val="24"/>
              </w:rPr>
            </w:pPr>
            <w:r>
              <w:rPr>
                <w:noProof/>
              </w:rPr>
              <w:t xml:space="preserve">G6L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6" w14:textId="77777777" w:rsidR="00A60DDE" w:rsidRDefault="00095506">
            <w:pPr>
              <w:pStyle w:val="P68B1DB1-Normal87"/>
              <w:spacing w:line="240" w:lineRule="auto"/>
              <w:textAlignment w:val="baseline"/>
              <w:rPr>
                <w:noProof/>
                <w:sz w:val="24"/>
                <w:szCs w:val="24"/>
              </w:rPr>
            </w:pPr>
            <w:r>
              <w:rPr>
                <w:noProof/>
              </w:rPr>
              <w:t>G3.1.1 Raționalizarea procesului de autorizare pentru sursele regenerabile de energie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7" w14:textId="77777777" w:rsidR="00A60DDE" w:rsidRDefault="00095506">
            <w:pPr>
              <w:pStyle w:val="P68B1DB1-Normal87"/>
              <w:spacing w:line="240" w:lineRule="auto"/>
              <w:ind w:right="30"/>
              <w:jc w:val="center"/>
              <w:textAlignment w:val="baseline"/>
              <w:rPr>
                <w:noProof/>
                <w:sz w:val="24"/>
                <w:szCs w:val="24"/>
              </w:rPr>
            </w:pPr>
            <w:r>
              <w:rPr>
                <w:noProof/>
              </w:rPr>
              <w:t>Țintă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8" w14:textId="47AE8F81" w:rsidR="00A60DDE" w:rsidRDefault="00095506">
            <w:pPr>
              <w:pStyle w:val="P68B1DB1-Normal87"/>
              <w:spacing w:line="240" w:lineRule="auto"/>
              <w:textAlignment w:val="baseline"/>
              <w:rPr>
                <w:noProof/>
                <w:sz w:val="24"/>
                <w:szCs w:val="24"/>
              </w:rPr>
            </w:pPr>
            <w:r>
              <w:rPr>
                <w:noProof/>
              </w:rPr>
              <w:t>Capacitatea instalată a instalațiilor eoliene și fotovoltaice terestre (în GW)</w:t>
            </w:r>
          </w:p>
        </w:tc>
      </w:tr>
      <w:tr w:rsidR="00A60DDE" w14:paraId="1216C9CE" w14:textId="77777777">
        <w:trPr>
          <w:trHeight w:val="4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A" w14:textId="76B6F618" w:rsidR="00A60DDE" w:rsidRDefault="00095506">
            <w:pPr>
              <w:pStyle w:val="P68B1DB1-Normal87"/>
              <w:spacing w:line="240" w:lineRule="auto"/>
              <w:ind w:right="30"/>
              <w:jc w:val="center"/>
              <w:textAlignment w:val="baseline"/>
              <w:rPr>
                <w:noProof/>
                <w:sz w:val="24"/>
                <w:szCs w:val="24"/>
              </w:rPr>
            </w:pPr>
            <w:r>
              <w:rPr>
                <w:noProof/>
              </w:rPr>
              <w:t xml:space="preserve">G7L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B" w14:textId="43FE2BCA" w:rsidR="00A60DDE" w:rsidRDefault="00095506">
            <w:pPr>
              <w:pStyle w:val="P68B1DB1-Normal87"/>
              <w:spacing w:line="240" w:lineRule="auto"/>
              <w:textAlignment w:val="baseline"/>
              <w:rPr>
                <w:noProof/>
                <w:sz w:val="24"/>
                <w:szCs w:val="24"/>
              </w:rPr>
            </w:pPr>
            <w:r>
              <w:rPr>
                <w:noProof/>
              </w:rPr>
              <w:t>G3.1.1 Raționalizarea procesului de autorizare pentru sursele regenerabile de energie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C" w14:textId="77777777" w:rsidR="00A60DDE" w:rsidRDefault="00095506">
            <w:pPr>
              <w:pStyle w:val="P68B1DB1-Normal87"/>
              <w:spacing w:line="240" w:lineRule="auto"/>
              <w:ind w:right="30"/>
              <w:jc w:val="center"/>
              <w:textAlignment w:val="baseline"/>
              <w:rPr>
                <w:noProof/>
                <w:sz w:val="24"/>
                <w:szCs w:val="24"/>
              </w:rPr>
            </w:pPr>
            <w:r>
              <w:rPr>
                <w:noProof/>
              </w:rPr>
              <w:t>Țintă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D" w14:textId="0EC435DD" w:rsidR="00A60DDE" w:rsidRDefault="00095506">
            <w:pPr>
              <w:pStyle w:val="P68B1DB1-Normal87"/>
              <w:spacing w:line="240" w:lineRule="auto"/>
              <w:textAlignment w:val="baseline"/>
              <w:rPr>
                <w:noProof/>
                <w:sz w:val="24"/>
                <w:szCs w:val="24"/>
              </w:rPr>
            </w:pPr>
            <w:r>
              <w:rPr>
                <w:noProof/>
              </w:rPr>
              <w:t>Capacitatea instalată a instalațiilor eoliene și fotovoltaice terestre (în GW)</w:t>
            </w:r>
          </w:p>
        </w:tc>
      </w:tr>
      <w:tr w:rsidR="00A60DDE" w14:paraId="1216C9D3"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F" w14:textId="27CB1A96" w:rsidR="00A60DDE" w:rsidRDefault="00095506">
            <w:pPr>
              <w:pStyle w:val="P68B1DB1-Normal87"/>
              <w:spacing w:line="240" w:lineRule="auto"/>
              <w:ind w:right="30"/>
              <w:jc w:val="center"/>
              <w:textAlignment w:val="baseline"/>
              <w:rPr>
                <w:noProof/>
                <w:sz w:val="24"/>
                <w:szCs w:val="24"/>
              </w:rPr>
            </w:pPr>
            <w:r>
              <w:rPr>
                <w:noProof/>
              </w:rPr>
              <w:t xml:space="preserve">G12L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0" w14:textId="08E2CAAA" w:rsidR="00A60DDE" w:rsidRDefault="00095506">
            <w:pPr>
              <w:pStyle w:val="P68B1DB1-Normal87"/>
              <w:spacing w:line="240" w:lineRule="auto"/>
              <w:textAlignment w:val="baseline"/>
              <w:rPr>
                <w:noProof/>
                <w:sz w:val="24"/>
                <w:szCs w:val="24"/>
              </w:rPr>
            </w:pPr>
            <w:r>
              <w:rPr>
                <w:noProof/>
              </w:rPr>
              <w:t>G3.1.4 Sprijin pentru sistemul energetic național (Fondul de sprijin pentru energie)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1" w14:textId="77777777" w:rsidR="00A60DDE" w:rsidRDefault="00095506">
            <w:pPr>
              <w:pStyle w:val="P68B1DB1-Normal87"/>
              <w:spacing w:line="240" w:lineRule="auto"/>
              <w:ind w:left="75"/>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2" w14:textId="18530547" w:rsidR="00A60DDE" w:rsidRDefault="00095506">
            <w:pPr>
              <w:pStyle w:val="P68B1DB1-Normal87"/>
              <w:spacing w:line="240" w:lineRule="auto"/>
              <w:textAlignment w:val="baseline"/>
              <w:rPr>
                <w:noProof/>
                <w:sz w:val="24"/>
                <w:szCs w:val="24"/>
              </w:rPr>
            </w:pPr>
            <w:r>
              <w:rPr>
                <w:noProof/>
              </w:rPr>
              <w:t>Acord de punere în aplicare</w:t>
            </w:r>
          </w:p>
        </w:tc>
      </w:tr>
      <w:tr w:rsidR="00A60DDE" w14:paraId="1216C9D8"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4" w14:textId="21B1D777" w:rsidR="00A60DDE" w:rsidRDefault="00095506">
            <w:pPr>
              <w:pStyle w:val="P68B1DB1-Normal87"/>
              <w:spacing w:line="240" w:lineRule="auto"/>
              <w:jc w:val="center"/>
              <w:textAlignment w:val="baseline"/>
              <w:rPr>
                <w:noProof/>
                <w:sz w:val="24"/>
                <w:szCs w:val="24"/>
              </w:rPr>
            </w:pPr>
            <w:r>
              <w:rPr>
                <w:noProof/>
              </w:rPr>
              <w:t xml:space="preserve">G16L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5" w14:textId="7F858CE8" w:rsidR="00A60DDE" w:rsidRDefault="00095506">
            <w:pPr>
              <w:pStyle w:val="P68B1DB1-Normal87"/>
              <w:spacing w:line="240" w:lineRule="auto"/>
              <w:textAlignment w:val="baseline"/>
              <w:rPr>
                <w:noProof/>
                <w:sz w:val="24"/>
                <w:szCs w:val="24"/>
              </w:rPr>
            </w:pPr>
            <w:r>
              <w:rPr>
                <w:noProof/>
              </w:rPr>
              <w:t>G3.1.5 Construirea de parcuri eoliene offshore (Fondul pentru energie eoliană offshore)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6" w14:textId="77777777" w:rsidR="00A60DDE" w:rsidRDefault="00095506">
            <w:pPr>
              <w:pStyle w:val="P68B1DB1-Normal87"/>
              <w:spacing w:line="240" w:lineRule="auto"/>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7" w14:textId="417BA67A" w:rsidR="00A60DDE" w:rsidRDefault="00095506">
            <w:pPr>
              <w:pStyle w:val="P68B1DB1-Normal87"/>
              <w:spacing w:line="240" w:lineRule="auto"/>
              <w:textAlignment w:val="baseline"/>
              <w:rPr>
                <w:noProof/>
                <w:sz w:val="24"/>
                <w:szCs w:val="24"/>
              </w:rPr>
            </w:pPr>
            <w:r>
              <w:rPr>
                <w:noProof/>
              </w:rPr>
              <w:t>Acord de punere în aplicare</w:t>
            </w:r>
          </w:p>
        </w:tc>
      </w:tr>
      <w:tr w:rsidR="00A60DDE" w14:paraId="1216C9DD"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9" w14:textId="5BCDC5FD" w:rsidR="00A60DDE" w:rsidRDefault="00095506">
            <w:pPr>
              <w:pStyle w:val="P68B1DB1-Normal87"/>
              <w:spacing w:line="240" w:lineRule="auto"/>
              <w:ind w:right="30"/>
              <w:jc w:val="center"/>
              <w:textAlignment w:val="baseline"/>
              <w:rPr>
                <w:noProof/>
                <w:sz w:val="24"/>
                <w:szCs w:val="24"/>
              </w:rPr>
            </w:pPr>
            <w:r>
              <w:rPr>
                <w:noProof/>
              </w:rPr>
              <w:t xml:space="preserve">G20L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A" w14:textId="56E3D5A7" w:rsidR="00A60DDE" w:rsidRDefault="00095506">
            <w:pPr>
              <w:pStyle w:val="P68B1DB1-Normal87"/>
              <w:spacing w:line="240" w:lineRule="auto"/>
              <w:textAlignment w:val="baseline"/>
              <w:rPr>
                <w:noProof/>
                <w:sz w:val="24"/>
                <w:szCs w:val="24"/>
              </w:rPr>
            </w:pPr>
            <w:r>
              <w:rPr>
                <w:noProof/>
              </w:rPr>
              <w:t>G3.2.1 Construirea infrastructurii de gaze naturale pentru a asigura securitatea energetică</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B" w14:textId="77777777" w:rsidR="00A60DDE" w:rsidRDefault="00095506">
            <w:pPr>
              <w:pStyle w:val="P68B1DB1-Normal87"/>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C" w14:textId="3FAE7C73" w:rsidR="00A60DDE" w:rsidRDefault="00095506">
            <w:pPr>
              <w:pStyle w:val="P68B1DB1-Normal87"/>
              <w:spacing w:line="240" w:lineRule="auto"/>
              <w:textAlignment w:val="baseline"/>
              <w:rPr>
                <w:noProof/>
                <w:sz w:val="24"/>
                <w:szCs w:val="24"/>
              </w:rPr>
            </w:pPr>
            <w:r>
              <w:rPr>
                <w:noProof/>
              </w:rPr>
              <w:t>Acordarea autorizațiilor de construcție</w:t>
            </w:r>
          </w:p>
        </w:tc>
      </w:tr>
      <w:tr w:rsidR="00A60DDE" w14:paraId="1216C9E2"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E" w14:textId="31C9B535" w:rsidR="00A60DDE" w:rsidRDefault="00095506">
            <w:pPr>
              <w:pStyle w:val="P68B1DB1-Normal87"/>
              <w:spacing w:line="240" w:lineRule="auto"/>
              <w:ind w:right="30"/>
              <w:jc w:val="center"/>
              <w:textAlignment w:val="baseline"/>
              <w:rPr>
                <w:noProof/>
                <w:sz w:val="24"/>
                <w:szCs w:val="24"/>
              </w:rPr>
            </w:pPr>
            <w:r>
              <w:rPr>
                <w:noProof/>
              </w:rPr>
              <w:t xml:space="preserve">G21L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F" w14:textId="7298C39D" w:rsidR="00A60DDE" w:rsidRDefault="00095506">
            <w:pPr>
              <w:pStyle w:val="P68B1DB1-Normal87"/>
              <w:spacing w:line="240" w:lineRule="auto"/>
              <w:textAlignment w:val="baseline"/>
              <w:rPr>
                <w:noProof/>
                <w:sz w:val="24"/>
                <w:szCs w:val="24"/>
              </w:rPr>
            </w:pPr>
            <w:r>
              <w:rPr>
                <w:noProof/>
              </w:rPr>
              <w:t> G3.2.1 Construirea infrastructurii de gaze naturale pentru a asigura securitatea energetică</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0" w14:textId="77777777" w:rsidR="00A60DDE" w:rsidRDefault="00095506">
            <w:pPr>
              <w:pStyle w:val="P68B1DB1-Normal87"/>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1" w14:textId="23E9115C" w:rsidR="00A60DDE" w:rsidRDefault="00095506">
            <w:pPr>
              <w:pStyle w:val="P68B1DB1-Normal87"/>
              <w:spacing w:line="240" w:lineRule="auto"/>
              <w:textAlignment w:val="baseline"/>
              <w:rPr>
                <w:noProof/>
                <w:sz w:val="24"/>
                <w:szCs w:val="24"/>
              </w:rPr>
            </w:pPr>
            <w:r>
              <w:rPr>
                <w:noProof/>
              </w:rPr>
              <w:t>Selectarea contractantului (contractanților)</w:t>
            </w:r>
          </w:p>
        </w:tc>
      </w:tr>
      <w:tr w:rsidR="00A60DDE" w14:paraId="1216C9E7"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3" w14:textId="5A150F89" w:rsidR="00A60DDE" w:rsidRDefault="00095506">
            <w:pPr>
              <w:pStyle w:val="P68B1DB1-Normal87"/>
              <w:spacing w:line="240" w:lineRule="auto"/>
              <w:textAlignment w:val="baseline"/>
              <w:rPr>
                <w:noProof/>
                <w:sz w:val="24"/>
                <w:szCs w:val="24"/>
              </w:rPr>
            </w:pPr>
            <w:r>
              <w:rPr>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4" w14:textId="699565BA" w:rsidR="00A60DDE" w:rsidRDefault="00A60DDE">
            <w:pPr>
              <w:spacing w:line="240" w:lineRule="auto"/>
              <w:textAlignment w:val="baseline"/>
              <w:rPr>
                <w:rFonts w:ascii="Times New Roman" w:eastAsia="Times New Roman" w:hAnsi="Times New Roman" w:cs="Times New Roman"/>
                <w:noProof/>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5" w14:textId="77777777" w:rsidR="00A60DDE" w:rsidRDefault="00095506">
            <w:pPr>
              <w:pStyle w:val="P68B1DB1-Normal87"/>
              <w:spacing w:line="240" w:lineRule="auto"/>
              <w:jc w:val="center"/>
              <w:textAlignment w:val="baseline"/>
              <w:rPr>
                <w:noProof/>
                <w:sz w:val="24"/>
                <w:szCs w:val="24"/>
              </w:rPr>
            </w:pPr>
            <w:r>
              <w:rPr>
                <w:noProof/>
              </w:rPr>
              <w:t>Valoarea tranșei</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6" w14:textId="7F3C3C69" w:rsidR="00A60DDE" w:rsidRDefault="00095506">
            <w:pPr>
              <w:pStyle w:val="P68B1DB1-Normal87"/>
              <w:spacing w:line="240" w:lineRule="auto"/>
              <w:textAlignment w:val="baseline"/>
              <w:rPr>
                <w:noProof/>
              </w:rPr>
            </w:pPr>
            <w:r>
              <w:rPr>
                <w:noProof/>
              </w:rPr>
              <w:t>3 229 285 224 EUR</w:t>
            </w:r>
          </w:p>
        </w:tc>
      </w:tr>
    </w:tbl>
    <w:p w14:paraId="1216C9E9" w14:textId="57B06D8F" w:rsidR="00A60DDE" w:rsidRDefault="00095506">
      <w:pPr>
        <w:pStyle w:val="P68B1DB1-Normal85"/>
        <w:spacing w:line="240" w:lineRule="auto"/>
        <w:textAlignment w:val="baseline"/>
        <w:rPr>
          <w:rFonts w:ascii="Segoe UI" w:eastAsia="Times New Roman" w:hAnsi="Segoe UI" w:cs="Segoe UI"/>
          <w:noProof/>
          <w:sz w:val="18"/>
          <w:szCs w:val="18"/>
        </w:rPr>
      </w:pPr>
      <w:r>
        <w:rPr>
          <w:noProof/>
        </w:rPr>
        <w:t xml:space="preserve">2.2.6. A șasea tranșă (sprijin rambursabil): </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276"/>
        <w:gridCol w:w="3685"/>
      </w:tblGrid>
      <w:tr w:rsidR="00A60DDE" w14:paraId="1216C9EE" w14:textId="77777777">
        <w:trPr>
          <w:trHeight w:val="300"/>
          <w:tblHeader/>
          <w:jc w:val="center"/>
        </w:trPr>
        <w:tc>
          <w:tcPr>
            <w:tcW w:w="1134" w:type="dxa"/>
            <w:shd w:val="clear" w:color="auto" w:fill="C6D9F1" w:themeFill="text2" w:themeFillTint="33"/>
            <w:hideMark/>
          </w:tcPr>
          <w:p w14:paraId="1216C9EA"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9EB"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Măsură conexă (reformă sau investiție)</w:t>
            </w:r>
          </w:p>
        </w:tc>
        <w:tc>
          <w:tcPr>
            <w:tcW w:w="1276" w:type="dxa"/>
            <w:shd w:val="clear" w:color="auto" w:fill="C6D9F1" w:themeFill="text2" w:themeFillTint="33"/>
            <w:hideMark/>
          </w:tcPr>
          <w:p w14:paraId="1216C9EC" w14:textId="77777777" w:rsidR="00A60DDE" w:rsidRDefault="00095506">
            <w:pPr>
              <w:pStyle w:val="P68B1DB1-Normal99"/>
              <w:spacing w:line="240" w:lineRule="auto"/>
              <w:ind w:left="15"/>
              <w:jc w:val="center"/>
              <w:textAlignment w:val="baseline"/>
              <w:rPr>
                <w:rFonts w:eastAsia="Times New Roman" w:cs="Times New Roman"/>
                <w:noProof/>
                <w:sz w:val="24"/>
                <w:szCs w:val="24"/>
              </w:rPr>
            </w:pPr>
            <w:r>
              <w:rPr>
                <w:noProof/>
              </w:rPr>
              <w:t>Etapa/ținta</w:t>
            </w:r>
          </w:p>
        </w:tc>
        <w:tc>
          <w:tcPr>
            <w:tcW w:w="3685" w:type="dxa"/>
            <w:shd w:val="clear" w:color="auto" w:fill="C6D9F1" w:themeFill="text2" w:themeFillTint="33"/>
            <w:hideMark/>
          </w:tcPr>
          <w:p w14:paraId="1216C9ED" w14:textId="77777777" w:rsidR="00A60DDE" w:rsidRDefault="00095506">
            <w:pPr>
              <w:pStyle w:val="P68B1DB1-Normal99"/>
              <w:spacing w:line="240" w:lineRule="auto"/>
              <w:ind w:right="30"/>
              <w:jc w:val="center"/>
              <w:textAlignment w:val="baseline"/>
              <w:rPr>
                <w:rFonts w:eastAsia="Times New Roman" w:cs="Times New Roman"/>
                <w:noProof/>
                <w:sz w:val="24"/>
                <w:szCs w:val="24"/>
              </w:rPr>
            </w:pPr>
            <w:r>
              <w:rPr>
                <w:noProof/>
              </w:rPr>
              <w:t>Denumire</w:t>
            </w:r>
          </w:p>
        </w:tc>
      </w:tr>
      <w:tr w:rsidR="00A60DDE" w14:paraId="1216C9F3" w14:textId="77777777">
        <w:trPr>
          <w:trHeight w:val="300"/>
          <w:jc w:val="center"/>
        </w:trPr>
        <w:tc>
          <w:tcPr>
            <w:tcW w:w="1134" w:type="dxa"/>
            <w:shd w:val="clear" w:color="auto" w:fill="C6EFCE"/>
            <w:hideMark/>
          </w:tcPr>
          <w:p w14:paraId="1216C9EF"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B26L </w:t>
            </w:r>
          </w:p>
        </w:tc>
        <w:tc>
          <w:tcPr>
            <w:tcW w:w="3402" w:type="dxa"/>
            <w:shd w:val="clear" w:color="auto" w:fill="C6EFCE"/>
            <w:hideMark/>
          </w:tcPr>
          <w:p w14:paraId="1216C9F0" w14:textId="77777777" w:rsidR="00A60DDE" w:rsidRDefault="00095506">
            <w:pPr>
              <w:pStyle w:val="P68B1DB1-Normal85"/>
              <w:spacing w:line="240" w:lineRule="auto"/>
              <w:textAlignment w:val="baseline"/>
              <w:rPr>
                <w:noProof/>
              </w:rPr>
            </w:pPr>
            <w:r>
              <w:rPr>
                <w:noProof/>
              </w:rPr>
              <w:t>B3.4.1 Investiții într-o transformare ecologică a orașelor</w:t>
            </w:r>
          </w:p>
        </w:tc>
        <w:tc>
          <w:tcPr>
            <w:tcW w:w="1276" w:type="dxa"/>
            <w:shd w:val="clear" w:color="auto" w:fill="C6EFCE"/>
          </w:tcPr>
          <w:p w14:paraId="1216C9F1" w14:textId="77777777" w:rsidR="00A60DDE" w:rsidRDefault="00095506">
            <w:pPr>
              <w:pStyle w:val="P68B1DB1-Normal87"/>
              <w:spacing w:line="240" w:lineRule="auto"/>
              <w:ind w:right="30"/>
              <w:jc w:val="center"/>
              <w:textAlignment w:val="baseline"/>
              <w:rPr>
                <w:noProof/>
              </w:rPr>
            </w:pPr>
            <w:r>
              <w:rPr>
                <w:noProof/>
              </w:rPr>
              <w:t>Țintă</w:t>
            </w:r>
          </w:p>
        </w:tc>
        <w:tc>
          <w:tcPr>
            <w:tcW w:w="3685" w:type="dxa"/>
            <w:shd w:val="clear" w:color="auto" w:fill="C6EFCE"/>
          </w:tcPr>
          <w:p w14:paraId="1216C9F2" w14:textId="236C8EFA" w:rsidR="00A60DDE" w:rsidRDefault="00095506">
            <w:pPr>
              <w:pStyle w:val="P68B1DB1-Normal87"/>
              <w:spacing w:line="240" w:lineRule="auto"/>
              <w:textAlignment w:val="baseline"/>
              <w:rPr>
                <w:noProof/>
              </w:rPr>
            </w:pPr>
            <w:r>
              <w:rPr>
                <w:noProof/>
              </w:rPr>
              <w:t>T1 - Semnarea contractelor de credit</w:t>
            </w:r>
          </w:p>
        </w:tc>
      </w:tr>
      <w:tr w:rsidR="00A60DDE" w14:paraId="1216C9F8" w14:textId="77777777">
        <w:trPr>
          <w:trHeight w:val="300"/>
          <w:jc w:val="center"/>
        </w:trPr>
        <w:tc>
          <w:tcPr>
            <w:tcW w:w="1134" w:type="dxa"/>
            <w:shd w:val="clear" w:color="auto" w:fill="C6EFCE"/>
            <w:hideMark/>
          </w:tcPr>
          <w:p w14:paraId="1216C9F4" w14:textId="77777777" w:rsidR="00A60DDE" w:rsidRDefault="00095506">
            <w:pPr>
              <w:pStyle w:val="P68B1DB1-Normal85"/>
              <w:spacing w:line="240" w:lineRule="auto"/>
              <w:ind w:right="15"/>
              <w:jc w:val="center"/>
              <w:textAlignment w:val="baseline"/>
              <w:rPr>
                <w:rFonts w:eastAsia="Times New Roman" w:cs="Times New Roman"/>
                <w:noProof/>
              </w:rPr>
            </w:pPr>
            <w:r>
              <w:rPr>
                <w:noProof/>
              </w:rPr>
              <w:t xml:space="preserve">C16L </w:t>
            </w:r>
          </w:p>
        </w:tc>
        <w:tc>
          <w:tcPr>
            <w:tcW w:w="3402" w:type="dxa"/>
            <w:shd w:val="clear" w:color="auto" w:fill="C6EFCE"/>
            <w:hideMark/>
          </w:tcPr>
          <w:p w14:paraId="1216C9F5" w14:textId="77777777" w:rsidR="00A60DDE" w:rsidRDefault="00095506">
            <w:pPr>
              <w:pStyle w:val="P68B1DB1-Normal87"/>
              <w:spacing w:line="240" w:lineRule="auto"/>
              <w:textAlignment w:val="baseline"/>
              <w:rPr>
                <w:noProof/>
              </w:rPr>
            </w:pPr>
            <w:r>
              <w:rPr>
                <w:noProof/>
              </w:rPr>
              <w:t>C4.1.1 Sprijin pentru transformarea digitală avansată</w:t>
            </w:r>
          </w:p>
        </w:tc>
        <w:tc>
          <w:tcPr>
            <w:tcW w:w="1276" w:type="dxa"/>
            <w:shd w:val="clear" w:color="auto" w:fill="C6EFCE"/>
            <w:hideMark/>
          </w:tcPr>
          <w:p w14:paraId="1216C9F6" w14:textId="77777777" w:rsidR="00A60DDE" w:rsidRDefault="00095506">
            <w:pPr>
              <w:pStyle w:val="P68B1DB1-Normal85"/>
              <w:spacing w:line="240" w:lineRule="auto"/>
              <w:ind w:left="60"/>
              <w:jc w:val="center"/>
              <w:textAlignment w:val="baseline"/>
              <w:rPr>
                <w:rFonts w:eastAsia="Times New Roman" w:cs="Times New Roman"/>
                <w:noProof/>
              </w:rPr>
            </w:pPr>
            <w:r>
              <w:rPr>
                <w:noProof/>
              </w:rPr>
              <w:t>Etapa de referință</w:t>
            </w:r>
          </w:p>
        </w:tc>
        <w:tc>
          <w:tcPr>
            <w:tcW w:w="3685" w:type="dxa"/>
            <w:shd w:val="clear" w:color="auto" w:fill="C6EFCE"/>
            <w:hideMark/>
          </w:tcPr>
          <w:p w14:paraId="1216C9F7" w14:textId="77777777" w:rsidR="00A60DDE" w:rsidRDefault="00095506">
            <w:pPr>
              <w:pStyle w:val="P68B1DB1-Normal87"/>
              <w:spacing w:line="240" w:lineRule="auto"/>
              <w:textAlignment w:val="baseline"/>
              <w:rPr>
                <w:noProof/>
              </w:rPr>
            </w:pPr>
            <w:r>
              <w:rPr>
                <w:noProof/>
              </w:rPr>
              <w:t>Acord de punere în aplicare</w:t>
            </w:r>
          </w:p>
        </w:tc>
      </w:tr>
      <w:tr w:rsidR="00A60DDE" w14:paraId="1216C9FD" w14:textId="77777777">
        <w:trPr>
          <w:trHeight w:val="300"/>
          <w:jc w:val="center"/>
        </w:trPr>
        <w:tc>
          <w:tcPr>
            <w:tcW w:w="1134" w:type="dxa"/>
            <w:shd w:val="clear" w:color="auto" w:fill="C6EFCE"/>
            <w:hideMark/>
          </w:tcPr>
          <w:p w14:paraId="1216C9F9" w14:textId="77777777" w:rsidR="00A60DDE" w:rsidRDefault="00095506">
            <w:pPr>
              <w:pStyle w:val="P68B1DB1-Normal87"/>
              <w:spacing w:line="240" w:lineRule="auto"/>
              <w:jc w:val="center"/>
              <w:rPr>
                <w:noProof/>
              </w:rPr>
            </w:pPr>
            <w:r>
              <w:rPr>
                <w:noProof/>
              </w:rPr>
              <w:t>G1L</w:t>
            </w:r>
          </w:p>
        </w:tc>
        <w:tc>
          <w:tcPr>
            <w:tcW w:w="3402" w:type="dxa"/>
            <w:shd w:val="clear" w:color="auto" w:fill="C6EFCE"/>
            <w:hideMark/>
          </w:tcPr>
          <w:p w14:paraId="1216C9FA" w14:textId="568815DA" w:rsidR="00A60DDE" w:rsidRDefault="00095506">
            <w:pPr>
              <w:pStyle w:val="P68B1DB1-Normal87"/>
              <w:spacing w:line="240" w:lineRule="auto"/>
              <w:rPr>
                <w:noProof/>
              </w:rPr>
            </w:pPr>
            <w:r>
              <w:rPr>
                <w:noProof/>
              </w:rPr>
              <w:t xml:space="preserve">G3.1.1 Raționalizarea procesului de autorizare pentru sursele regenerabile de energie </w:t>
            </w:r>
          </w:p>
        </w:tc>
        <w:tc>
          <w:tcPr>
            <w:tcW w:w="1276" w:type="dxa"/>
            <w:shd w:val="clear" w:color="auto" w:fill="C6EFCE"/>
            <w:hideMark/>
          </w:tcPr>
          <w:p w14:paraId="1216C9FB" w14:textId="77777777" w:rsidR="00A60DDE" w:rsidRDefault="00095506">
            <w:pPr>
              <w:pStyle w:val="P68B1DB1-Normal87"/>
              <w:spacing w:line="240" w:lineRule="auto"/>
              <w:ind w:right="30"/>
              <w:jc w:val="center"/>
              <w:rPr>
                <w:noProof/>
              </w:rPr>
            </w:pPr>
            <w:r>
              <w:rPr>
                <w:noProof/>
              </w:rPr>
              <w:t>Etapa de referință</w:t>
            </w:r>
          </w:p>
        </w:tc>
        <w:tc>
          <w:tcPr>
            <w:tcW w:w="3685" w:type="dxa"/>
            <w:shd w:val="clear" w:color="auto" w:fill="C6EFCE"/>
            <w:hideMark/>
          </w:tcPr>
          <w:p w14:paraId="1216C9FC" w14:textId="532A10D9" w:rsidR="00A60DDE" w:rsidRDefault="00095506">
            <w:pPr>
              <w:pStyle w:val="P68B1DB1-Normal87"/>
              <w:spacing w:line="240" w:lineRule="auto"/>
              <w:rPr>
                <w:noProof/>
              </w:rPr>
            </w:pPr>
            <w:r>
              <w:rPr>
                <w:noProof/>
              </w:rPr>
              <w:t xml:space="preserve">Cartografierea potențialului energiei din surse regenerabile </w:t>
            </w:r>
          </w:p>
        </w:tc>
      </w:tr>
      <w:tr w:rsidR="00A60DDE" w14:paraId="1216CA02" w14:textId="77777777">
        <w:trPr>
          <w:trHeight w:val="300"/>
          <w:jc w:val="center"/>
        </w:trPr>
        <w:tc>
          <w:tcPr>
            <w:tcW w:w="1134" w:type="dxa"/>
            <w:shd w:val="clear" w:color="auto" w:fill="C6EFCE"/>
            <w:hideMark/>
          </w:tcPr>
          <w:p w14:paraId="1216C9FE"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G2L </w:t>
            </w:r>
          </w:p>
        </w:tc>
        <w:tc>
          <w:tcPr>
            <w:tcW w:w="3402" w:type="dxa"/>
            <w:shd w:val="clear" w:color="auto" w:fill="C6EFCE"/>
            <w:hideMark/>
          </w:tcPr>
          <w:p w14:paraId="1216C9FF" w14:textId="77777777" w:rsidR="00A60DDE" w:rsidRDefault="00095506">
            <w:pPr>
              <w:pStyle w:val="P68B1DB1-Normal85"/>
              <w:spacing w:line="240" w:lineRule="auto"/>
              <w:textAlignment w:val="baseline"/>
              <w:rPr>
                <w:rFonts w:eastAsia="Times New Roman" w:cs="Times New Roman"/>
                <w:noProof/>
              </w:rPr>
            </w:pPr>
            <w:r>
              <w:rPr>
                <w:noProof/>
              </w:rPr>
              <w:t>G3.1.1 Raționalizarea procesului de autorizare pentru sursele regenerabile de energie</w:t>
            </w:r>
          </w:p>
        </w:tc>
        <w:tc>
          <w:tcPr>
            <w:tcW w:w="1276" w:type="dxa"/>
            <w:shd w:val="clear" w:color="auto" w:fill="C6EFCE"/>
            <w:hideMark/>
          </w:tcPr>
          <w:p w14:paraId="1216CA00" w14:textId="77777777" w:rsidR="00A60DDE" w:rsidRDefault="00095506">
            <w:pPr>
              <w:pStyle w:val="P68B1DB1-Normal85"/>
              <w:spacing w:line="240" w:lineRule="auto"/>
              <w:ind w:left="75"/>
              <w:jc w:val="center"/>
              <w:textAlignment w:val="baseline"/>
              <w:rPr>
                <w:rFonts w:eastAsia="Times New Roman" w:cs="Times New Roman"/>
                <w:noProof/>
              </w:rPr>
            </w:pPr>
            <w:r>
              <w:rPr>
                <w:noProof/>
              </w:rPr>
              <w:t>Etapa de referință</w:t>
            </w:r>
          </w:p>
        </w:tc>
        <w:tc>
          <w:tcPr>
            <w:tcW w:w="3685" w:type="dxa"/>
            <w:shd w:val="clear" w:color="auto" w:fill="C6EFCE"/>
            <w:hideMark/>
          </w:tcPr>
          <w:p w14:paraId="1216CA01" w14:textId="77777777" w:rsidR="00A60DDE" w:rsidRDefault="00095506">
            <w:pPr>
              <w:pStyle w:val="P68B1DB1-Normal87"/>
              <w:spacing w:line="240" w:lineRule="auto"/>
              <w:textAlignment w:val="baseline"/>
              <w:rPr>
                <w:noProof/>
              </w:rPr>
            </w:pPr>
            <w:r>
              <w:rPr>
                <w:noProof/>
              </w:rPr>
              <w:t>Act(e) juridic(e) de stabilire a unui cadru juridic pentru desemnarea zonelor pretabile accelerării proiectelor de producere a energiei din surse regenerabile</w:t>
            </w:r>
          </w:p>
        </w:tc>
      </w:tr>
      <w:tr w:rsidR="00A60DDE" w14:paraId="1216CA07" w14:textId="77777777">
        <w:trPr>
          <w:trHeight w:val="300"/>
          <w:jc w:val="center"/>
        </w:trPr>
        <w:tc>
          <w:tcPr>
            <w:tcW w:w="1134" w:type="dxa"/>
            <w:shd w:val="clear" w:color="auto" w:fill="C6EFCE"/>
            <w:hideMark/>
          </w:tcPr>
          <w:p w14:paraId="1216CA03"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G11L </w:t>
            </w:r>
          </w:p>
        </w:tc>
        <w:tc>
          <w:tcPr>
            <w:tcW w:w="3402" w:type="dxa"/>
            <w:shd w:val="clear" w:color="auto" w:fill="C6EFCE"/>
            <w:hideMark/>
          </w:tcPr>
          <w:p w14:paraId="1216CA04" w14:textId="77777777" w:rsidR="00A60DDE" w:rsidRDefault="00095506">
            <w:pPr>
              <w:pStyle w:val="P68B1DB1-Normal85"/>
              <w:spacing w:line="240" w:lineRule="auto"/>
              <w:ind w:right="210"/>
              <w:textAlignment w:val="baseline"/>
              <w:rPr>
                <w:rFonts w:eastAsia="Times New Roman" w:cs="Times New Roman"/>
                <w:noProof/>
              </w:rPr>
            </w:pPr>
            <w:r>
              <w:rPr>
                <w:noProof/>
              </w:rPr>
              <w:t>G3.1.3 Stimularea eficienței energetice și accelerarea eliminării treptate a combustibililor fosili în sectorul încălzirii</w:t>
            </w:r>
          </w:p>
        </w:tc>
        <w:tc>
          <w:tcPr>
            <w:tcW w:w="1276" w:type="dxa"/>
            <w:shd w:val="clear" w:color="auto" w:fill="C6EFCE"/>
            <w:hideMark/>
          </w:tcPr>
          <w:p w14:paraId="1216CA05" w14:textId="77777777" w:rsidR="00A60DDE" w:rsidRDefault="00095506">
            <w:pPr>
              <w:pStyle w:val="P68B1DB1-Normal85"/>
              <w:spacing w:line="240" w:lineRule="auto"/>
              <w:jc w:val="center"/>
              <w:textAlignment w:val="baseline"/>
              <w:rPr>
                <w:rFonts w:eastAsia="Times New Roman" w:cs="Times New Roman"/>
                <w:noProof/>
              </w:rPr>
            </w:pPr>
            <w:r>
              <w:rPr>
                <w:noProof/>
              </w:rPr>
              <w:t>Etapa de referință</w:t>
            </w:r>
          </w:p>
        </w:tc>
        <w:tc>
          <w:tcPr>
            <w:tcW w:w="3685" w:type="dxa"/>
            <w:shd w:val="clear" w:color="auto" w:fill="C6EFCE"/>
            <w:hideMark/>
          </w:tcPr>
          <w:p w14:paraId="1216CA06" w14:textId="77777777" w:rsidR="00A60DDE" w:rsidRDefault="00095506">
            <w:pPr>
              <w:pStyle w:val="P68B1DB1-Normal87"/>
              <w:spacing w:line="240" w:lineRule="auto"/>
              <w:textAlignment w:val="baseline"/>
              <w:rPr>
                <w:noProof/>
              </w:rPr>
            </w:pPr>
            <w:r>
              <w:rPr>
                <w:noProof/>
              </w:rPr>
              <w:t>Program prioritar pentru servicii integrate de renovare a locuințelor</w:t>
            </w:r>
          </w:p>
        </w:tc>
      </w:tr>
      <w:tr w:rsidR="00A60DDE" w14:paraId="1216CA0C" w14:textId="77777777">
        <w:trPr>
          <w:trHeight w:val="300"/>
          <w:jc w:val="center"/>
        </w:trPr>
        <w:tc>
          <w:tcPr>
            <w:tcW w:w="1134" w:type="dxa"/>
            <w:shd w:val="clear" w:color="auto" w:fill="C6EFCE"/>
            <w:hideMark/>
          </w:tcPr>
          <w:p w14:paraId="1216CA08" w14:textId="77777777" w:rsidR="00A60DDE" w:rsidRDefault="00095506">
            <w:pPr>
              <w:pStyle w:val="P68B1DB1-Normal85"/>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09" w14:textId="77777777" w:rsidR="00A60DDE" w:rsidRDefault="00095506">
            <w:pPr>
              <w:pStyle w:val="P68B1DB1-Normal85"/>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A0A" w14:textId="77777777" w:rsidR="00A60DDE" w:rsidRDefault="00095506">
            <w:pPr>
              <w:pStyle w:val="P68B1DB1-Normal85"/>
              <w:spacing w:line="240" w:lineRule="auto"/>
              <w:jc w:val="center"/>
              <w:textAlignment w:val="baseline"/>
              <w:rPr>
                <w:rFonts w:eastAsia="Times New Roman" w:cs="Times New Roman"/>
                <w:noProof/>
              </w:rPr>
            </w:pPr>
            <w:r>
              <w:rPr>
                <w:noProof/>
              </w:rPr>
              <w:t>Valoarea tranșei</w:t>
            </w:r>
          </w:p>
        </w:tc>
        <w:tc>
          <w:tcPr>
            <w:tcW w:w="3685" w:type="dxa"/>
            <w:shd w:val="clear" w:color="auto" w:fill="C6EFCE"/>
            <w:hideMark/>
          </w:tcPr>
          <w:p w14:paraId="1216CA0B" w14:textId="77777777" w:rsidR="00A60DDE" w:rsidRDefault="00095506">
            <w:pPr>
              <w:pStyle w:val="P68B1DB1-Normal85"/>
              <w:spacing w:line="240" w:lineRule="auto"/>
              <w:textAlignment w:val="baseline"/>
              <w:rPr>
                <w:rFonts w:eastAsia="Times New Roman" w:cs="Times New Roman"/>
                <w:noProof/>
                <w:u w:val="single"/>
              </w:rPr>
            </w:pPr>
            <w:r>
              <w:rPr>
                <w:noProof/>
              </w:rPr>
              <w:t>624 431 032 EUR</w:t>
            </w:r>
          </w:p>
        </w:tc>
      </w:tr>
    </w:tbl>
    <w:p w14:paraId="1216CA0D" w14:textId="77777777" w:rsidR="00A60DDE" w:rsidRDefault="00A60DDE">
      <w:pPr>
        <w:spacing w:line="240" w:lineRule="auto"/>
        <w:textAlignment w:val="baseline"/>
        <w:rPr>
          <w:rFonts w:ascii="Times New Roman" w:eastAsia="Times New Roman" w:hAnsi="Times New Roman" w:cs="Times New Roman"/>
          <w:noProof/>
        </w:rPr>
      </w:pPr>
    </w:p>
    <w:p w14:paraId="1216CA0E" w14:textId="73BEA129" w:rsidR="00A60DDE" w:rsidRDefault="00095506">
      <w:pPr>
        <w:pStyle w:val="P68B1DB1-Normal85"/>
        <w:spacing w:line="240" w:lineRule="auto"/>
        <w:textAlignment w:val="baseline"/>
        <w:rPr>
          <w:rFonts w:ascii="Segoe UI" w:eastAsia="Times New Roman" w:hAnsi="Segoe UI" w:cs="Segoe UI"/>
          <w:noProof/>
          <w:sz w:val="18"/>
          <w:szCs w:val="18"/>
        </w:rPr>
      </w:pPr>
      <w:r>
        <w:rPr>
          <w:noProof/>
        </w:rPr>
        <w:t>2.2.7. A șaptea tranșă (sprijin rambursabil):</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142"/>
        <w:gridCol w:w="3819"/>
      </w:tblGrid>
      <w:tr w:rsidR="00A60DDE" w14:paraId="1216CA13" w14:textId="77777777">
        <w:trPr>
          <w:trHeight w:val="300"/>
          <w:tblHeader/>
          <w:jc w:val="center"/>
        </w:trPr>
        <w:tc>
          <w:tcPr>
            <w:tcW w:w="1134" w:type="dxa"/>
            <w:shd w:val="clear" w:color="auto" w:fill="C6D9F1" w:themeFill="text2" w:themeFillTint="33"/>
            <w:hideMark/>
          </w:tcPr>
          <w:p w14:paraId="1216CA0F"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A10"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Măsură conexă (reformă sau investiție)</w:t>
            </w:r>
          </w:p>
        </w:tc>
        <w:tc>
          <w:tcPr>
            <w:tcW w:w="1142" w:type="dxa"/>
            <w:shd w:val="clear" w:color="auto" w:fill="C6D9F1" w:themeFill="text2" w:themeFillTint="33"/>
            <w:hideMark/>
          </w:tcPr>
          <w:p w14:paraId="1216CA11" w14:textId="77777777" w:rsidR="00A60DDE" w:rsidRDefault="00095506">
            <w:pPr>
              <w:pStyle w:val="P68B1DB1-Normal99"/>
              <w:spacing w:line="240" w:lineRule="auto"/>
              <w:ind w:left="15" w:right="15"/>
              <w:jc w:val="center"/>
              <w:textAlignment w:val="baseline"/>
              <w:rPr>
                <w:rFonts w:eastAsia="Times New Roman" w:cs="Times New Roman"/>
                <w:noProof/>
                <w:sz w:val="24"/>
                <w:szCs w:val="24"/>
              </w:rPr>
            </w:pPr>
            <w:r>
              <w:rPr>
                <w:noProof/>
              </w:rPr>
              <w:t>Etapa/ținta</w:t>
            </w:r>
          </w:p>
        </w:tc>
        <w:tc>
          <w:tcPr>
            <w:tcW w:w="3819" w:type="dxa"/>
            <w:shd w:val="clear" w:color="auto" w:fill="C6D9F1" w:themeFill="text2" w:themeFillTint="33"/>
            <w:hideMark/>
          </w:tcPr>
          <w:p w14:paraId="1216CA12" w14:textId="77777777" w:rsidR="00A60DDE" w:rsidRDefault="00095506">
            <w:pPr>
              <w:pStyle w:val="P68B1DB1-Normal99"/>
              <w:spacing w:line="240" w:lineRule="auto"/>
              <w:ind w:right="45"/>
              <w:jc w:val="center"/>
              <w:textAlignment w:val="baseline"/>
              <w:rPr>
                <w:rFonts w:eastAsia="Times New Roman" w:cs="Times New Roman"/>
                <w:noProof/>
                <w:sz w:val="24"/>
                <w:szCs w:val="24"/>
              </w:rPr>
            </w:pPr>
            <w:r>
              <w:rPr>
                <w:noProof/>
              </w:rPr>
              <w:t>Denumire</w:t>
            </w:r>
          </w:p>
        </w:tc>
      </w:tr>
      <w:tr w:rsidR="00A60DDE" w14:paraId="1216CA18" w14:textId="77777777">
        <w:trPr>
          <w:trHeight w:val="300"/>
          <w:jc w:val="center"/>
        </w:trPr>
        <w:tc>
          <w:tcPr>
            <w:tcW w:w="1134" w:type="dxa"/>
            <w:shd w:val="clear" w:color="auto" w:fill="C6EFCE"/>
            <w:hideMark/>
          </w:tcPr>
          <w:p w14:paraId="1216CA14" w14:textId="77777777" w:rsidR="00A60DDE" w:rsidRDefault="00095506">
            <w:pPr>
              <w:pStyle w:val="P68B1DB1-Normal85"/>
              <w:spacing w:line="240" w:lineRule="auto"/>
              <w:ind w:right="45"/>
              <w:jc w:val="center"/>
              <w:textAlignment w:val="baseline"/>
              <w:rPr>
                <w:rFonts w:eastAsia="Times New Roman" w:cs="Times New Roman"/>
                <w:noProof/>
                <w:sz w:val="24"/>
                <w:szCs w:val="24"/>
              </w:rPr>
            </w:pPr>
            <w:r>
              <w:rPr>
                <w:noProof/>
              </w:rPr>
              <w:t xml:space="preserve">A8L </w:t>
            </w:r>
          </w:p>
        </w:tc>
        <w:tc>
          <w:tcPr>
            <w:tcW w:w="3402" w:type="dxa"/>
            <w:shd w:val="clear" w:color="auto" w:fill="C6EFCE"/>
            <w:hideMark/>
          </w:tcPr>
          <w:p w14:paraId="1216CA15" w14:textId="77777777" w:rsidR="00A60DDE" w:rsidRDefault="00095506">
            <w:pPr>
              <w:pStyle w:val="P68B1DB1-Normal85"/>
              <w:spacing w:line="240" w:lineRule="auto"/>
              <w:textAlignment w:val="baseline"/>
              <w:rPr>
                <w:rFonts w:eastAsia="Times New Roman" w:cs="Times New Roman"/>
                <w:noProof/>
                <w:sz w:val="24"/>
                <w:szCs w:val="24"/>
              </w:rPr>
            </w:pPr>
            <w:r>
              <w:rPr>
                <w:noProof/>
              </w:rPr>
              <w:t>A2.6.1 Investiții în Sistemul național de informații prin satelit (NSIS) și în sateliți</w:t>
            </w:r>
          </w:p>
        </w:tc>
        <w:tc>
          <w:tcPr>
            <w:tcW w:w="1142" w:type="dxa"/>
            <w:shd w:val="clear" w:color="auto" w:fill="C6EFCE"/>
            <w:hideMark/>
          </w:tcPr>
          <w:p w14:paraId="1216CA16" w14:textId="77777777" w:rsidR="00A60DDE" w:rsidRDefault="00095506">
            <w:pPr>
              <w:pStyle w:val="P68B1DB1-Normal85"/>
              <w:spacing w:line="240" w:lineRule="auto"/>
              <w:ind w:right="45"/>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17" w14:textId="77777777" w:rsidR="00A60DDE" w:rsidRDefault="00095506">
            <w:pPr>
              <w:pStyle w:val="P68B1DB1-Normal87"/>
              <w:spacing w:line="240" w:lineRule="auto"/>
              <w:textAlignment w:val="baseline"/>
              <w:rPr>
                <w:noProof/>
                <w:sz w:val="24"/>
                <w:szCs w:val="24"/>
              </w:rPr>
            </w:pPr>
            <w:r>
              <w:rPr>
                <w:noProof/>
              </w:rPr>
              <w:t>Sistemul național de informații prin satelit (NSIS)</w:t>
            </w:r>
          </w:p>
        </w:tc>
      </w:tr>
      <w:tr w:rsidR="00A60DDE" w14:paraId="1216CA1D" w14:textId="77777777">
        <w:trPr>
          <w:trHeight w:val="300"/>
          <w:jc w:val="center"/>
        </w:trPr>
        <w:tc>
          <w:tcPr>
            <w:tcW w:w="1134" w:type="dxa"/>
            <w:shd w:val="clear" w:color="auto" w:fill="C6EFCE"/>
            <w:hideMark/>
          </w:tcPr>
          <w:p w14:paraId="1216CA19"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A12L </w:t>
            </w:r>
          </w:p>
        </w:tc>
        <w:tc>
          <w:tcPr>
            <w:tcW w:w="3402" w:type="dxa"/>
            <w:shd w:val="clear" w:color="auto" w:fill="C6EFCE"/>
            <w:hideMark/>
          </w:tcPr>
          <w:p w14:paraId="1216CA1A" w14:textId="77777777" w:rsidR="00A60DDE" w:rsidRDefault="00095506">
            <w:pPr>
              <w:pStyle w:val="P68B1DB1-Normal85"/>
              <w:spacing w:line="240" w:lineRule="auto"/>
              <w:textAlignment w:val="baseline"/>
              <w:rPr>
                <w:rFonts w:eastAsia="Times New Roman" w:cs="Times New Roman"/>
                <w:noProof/>
                <w:sz w:val="24"/>
                <w:szCs w:val="24"/>
              </w:rPr>
            </w:pPr>
            <w:r>
              <w:rPr>
                <w:noProof/>
              </w:rPr>
              <w:t>A2.7.1 Fondul pentru securitate și apărare</w:t>
            </w:r>
          </w:p>
        </w:tc>
        <w:tc>
          <w:tcPr>
            <w:tcW w:w="1142" w:type="dxa"/>
            <w:shd w:val="clear" w:color="auto" w:fill="C6EFCE"/>
            <w:hideMark/>
          </w:tcPr>
          <w:p w14:paraId="1216CA1B"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1C" w14:textId="77777777" w:rsidR="00A60DDE" w:rsidRDefault="00095506">
            <w:pPr>
              <w:pStyle w:val="P68B1DB1-Normal87"/>
              <w:spacing w:line="240" w:lineRule="auto"/>
              <w:textAlignment w:val="baseline"/>
              <w:rPr>
                <w:noProof/>
              </w:rPr>
            </w:pPr>
            <w:r>
              <w:rPr>
                <w:noProof/>
              </w:rPr>
              <w:t>Instituirea cadrului juridic pentru fond</w:t>
            </w:r>
          </w:p>
        </w:tc>
      </w:tr>
      <w:tr w:rsidR="00A60DDE" w14:paraId="1216CA22" w14:textId="77777777">
        <w:trPr>
          <w:trHeight w:val="300"/>
          <w:jc w:val="center"/>
        </w:trPr>
        <w:tc>
          <w:tcPr>
            <w:tcW w:w="1134" w:type="dxa"/>
            <w:shd w:val="clear" w:color="auto" w:fill="C6EFCE"/>
            <w:hideMark/>
          </w:tcPr>
          <w:p w14:paraId="1216CA1E" w14:textId="77777777" w:rsidR="00A60DDE" w:rsidRDefault="00095506">
            <w:pPr>
              <w:pStyle w:val="P68B1DB1-Normal85"/>
              <w:spacing w:line="240" w:lineRule="auto"/>
              <w:ind w:right="45"/>
              <w:jc w:val="center"/>
              <w:textAlignment w:val="baseline"/>
              <w:rPr>
                <w:rFonts w:eastAsia="Times New Roman" w:cs="Times New Roman"/>
                <w:noProof/>
                <w:sz w:val="24"/>
                <w:szCs w:val="24"/>
              </w:rPr>
            </w:pPr>
            <w:r>
              <w:rPr>
                <w:noProof/>
              </w:rPr>
              <w:t xml:space="preserve">B15L </w:t>
            </w:r>
          </w:p>
        </w:tc>
        <w:tc>
          <w:tcPr>
            <w:tcW w:w="3402" w:type="dxa"/>
            <w:shd w:val="clear" w:color="auto" w:fill="C6EFCE"/>
            <w:hideMark/>
          </w:tcPr>
          <w:p w14:paraId="1216CA1F" w14:textId="77777777" w:rsidR="00A60DDE" w:rsidRDefault="00095506">
            <w:pPr>
              <w:pStyle w:val="P68B1DB1-Normal85"/>
              <w:spacing w:line="240" w:lineRule="auto"/>
              <w:textAlignment w:val="baseline"/>
              <w:rPr>
                <w:rFonts w:eastAsia="Times New Roman" w:cs="Times New Roman"/>
                <w:noProof/>
                <w:sz w:val="24"/>
                <w:szCs w:val="24"/>
              </w:rPr>
            </w:pPr>
            <w:r>
              <w:rPr>
                <w:noProof/>
              </w:rPr>
              <w:t>B3.2 Sprijin pentru refacerea mediului și protecția împotriva substanțelor periculoase</w:t>
            </w:r>
          </w:p>
        </w:tc>
        <w:tc>
          <w:tcPr>
            <w:tcW w:w="1142" w:type="dxa"/>
            <w:shd w:val="clear" w:color="auto" w:fill="C6EFCE"/>
            <w:hideMark/>
          </w:tcPr>
          <w:p w14:paraId="1216CA20" w14:textId="77777777" w:rsidR="00A60DDE" w:rsidRDefault="00095506">
            <w:pPr>
              <w:pStyle w:val="P68B1DB1-Normal85"/>
              <w:spacing w:line="240" w:lineRule="auto"/>
              <w:ind w:left="60"/>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21" w14:textId="77777777" w:rsidR="00A60DDE" w:rsidRDefault="00095506">
            <w:pPr>
              <w:pStyle w:val="P68B1DB1-Normal87"/>
              <w:spacing w:line="240" w:lineRule="auto"/>
              <w:ind w:right="15"/>
              <w:textAlignment w:val="baseline"/>
              <w:rPr>
                <w:noProof/>
                <w:sz w:val="24"/>
                <w:szCs w:val="24"/>
              </w:rPr>
            </w:pPr>
            <w:r>
              <w:rPr>
                <w:noProof/>
              </w:rPr>
              <w:t>Intrarea în vigoare a actului (actelor) juridic(e) în domeniul materialelor periculoase care persistă în zonele marine ale Republicii Polone</w:t>
            </w:r>
          </w:p>
        </w:tc>
      </w:tr>
      <w:tr w:rsidR="00A60DDE" w14:paraId="1216CA27" w14:textId="77777777">
        <w:trPr>
          <w:trHeight w:val="300"/>
          <w:jc w:val="center"/>
        </w:trPr>
        <w:tc>
          <w:tcPr>
            <w:tcW w:w="1134" w:type="dxa"/>
            <w:shd w:val="clear" w:color="auto" w:fill="C6EFCE"/>
            <w:hideMark/>
          </w:tcPr>
          <w:p w14:paraId="1216CA23" w14:textId="77777777" w:rsidR="00A60DDE" w:rsidRDefault="00095506">
            <w:pPr>
              <w:pStyle w:val="P68B1DB1-Normal85"/>
              <w:spacing w:line="240" w:lineRule="auto"/>
              <w:ind w:right="30"/>
              <w:jc w:val="center"/>
              <w:textAlignment w:val="baseline"/>
              <w:rPr>
                <w:noProof/>
              </w:rPr>
            </w:pPr>
            <w:r>
              <w:rPr>
                <w:noProof/>
              </w:rPr>
              <w:t>E7L</w:t>
            </w:r>
          </w:p>
        </w:tc>
        <w:tc>
          <w:tcPr>
            <w:tcW w:w="3402" w:type="dxa"/>
            <w:shd w:val="clear" w:color="auto" w:fill="C6EFCE"/>
            <w:hideMark/>
          </w:tcPr>
          <w:p w14:paraId="1216CA24" w14:textId="77777777" w:rsidR="00A60DDE" w:rsidRDefault="00095506">
            <w:pPr>
              <w:pStyle w:val="P68B1DB1-Normal85"/>
              <w:spacing w:line="240" w:lineRule="auto"/>
              <w:textAlignment w:val="baseline"/>
              <w:rPr>
                <w:rFonts w:eastAsia="Times New Roman" w:cs="Times New Roman"/>
                <w:noProof/>
                <w:sz w:val="24"/>
                <w:szCs w:val="24"/>
              </w:rPr>
            </w:pPr>
            <w:r>
              <w:rPr>
                <w:noProof/>
              </w:rPr>
              <w:t>E3.1.1 Mecanismul de sprijinire a unei economii cu emisii scăzute de dioxid de carbon</w:t>
            </w:r>
          </w:p>
        </w:tc>
        <w:tc>
          <w:tcPr>
            <w:tcW w:w="1142" w:type="dxa"/>
            <w:shd w:val="clear" w:color="auto" w:fill="C6EFCE"/>
            <w:hideMark/>
          </w:tcPr>
          <w:p w14:paraId="1216CA25" w14:textId="77777777" w:rsidR="00A60DDE" w:rsidRDefault="00095506">
            <w:pPr>
              <w:pStyle w:val="P68B1DB1-Normal85"/>
              <w:spacing w:line="240" w:lineRule="auto"/>
              <w:ind w:left="75"/>
              <w:jc w:val="center"/>
              <w:textAlignment w:val="baseline"/>
              <w:rPr>
                <w:rFonts w:eastAsia="Times New Roman" w:cs="Times New Roman"/>
                <w:noProof/>
              </w:rPr>
            </w:pPr>
            <w:r>
              <w:rPr>
                <w:noProof/>
              </w:rPr>
              <w:t>Etapa de referință</w:t>
            </w:r>
          </w:p>
        </w:tc>
        <w:tc>
          <w:tcPr>
            <w:tcW w:w="3819" w:type="dxa"/>
            <w:shd w:val="clear" w:color="auto" w:fill="C6EFCE"/>
            <w:hideMark/>
          </w:tcPr>
          <w:p w14:paraId="1216CA26" w14:textId="77777777" w:rsidR="00A60DDE" w:rsidRDefault="00095506">
            <w:pPr>
              <w:pStyle w:val="P68B1DB1-Normal87"/>
              <w:spacing w:line="240" w:lineRule="auto"/>
              <w:textAlignment w:val="baseline"/>
              <w:rPr>
                <w:noProof/>
              </w:rPr>
            </w:pPr>
            <w:r>
              <w:rPr>
                <w:noProof/>
              </w:rPr>
              <w:t>Acord de punere în aplicare</w:t>
            </w:r>
          </w:p>
        </w:tc>
      </w:tr>
      <w:tr w:rsidR="00A60DDE" w14:paraId="1216CA2C" w14:textId="77777777">
        <w:trPr>
          <w:trHeight w:val="300"/>
          <w:jc w:val="center"/>
        </w:trPr>
        <w:tc>
          <w:tcPr>
            <w:tcW w:w="1134" w:type="dxa"/>
            <w:shd w:val="clear" w:color="auto" w:fill="C6EFCE"/>
            <w:hideMark/>
          </w:tcPr>
          <w:p w14:paraId="1216CA28"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G8L </w:t>
            </w:r>
          </w:p>
        </w:tc>
        <w:tc>
          <w:tcPr>
            <w:tcW w:w="3402" w:type="dxa"/>
            <w:shd w:val="clear" w:color="auto" w:fill="C6EFCE"/>
            <w:hideMark/>
          </w:tcPr>
          <w:p w14:paraId="1216CA29" w14:textId="77777777" w:rsidR="00A60DDE" w:rsidRDefault="00095506">
            <w:pPr>
              <w:pStyle w:val="P68B1DB1-Normal85"/>
              <w:spacing w:line="240" w:lineRule="auto"/>
              <w:textAlignment w:val="baseline"/>
              <w:rPr>
                <w:rFonts w:eastAsia="Times New Roman" w:cs="Times New Roman"/>
                <w:noProof/>
                <w:sz w:val="24"/>
                <w:szCs w:val="24"/>
              </w:rPr>
            </w:pPr>
            <w:r>
              <w:rPr>
                <w:noProof/>
              </w:rPr>
              <w:t>G3.1.2 Competențe pentru tranziția verde</w:t>
            </w:r>
          </w:p>
        </w:tc>
        <w:tc>
          <w:tcPr>
            <w:tcW w:w="1142" w:type="dxa"/>
            <w:shd w:val="clear" w:color="auto" w:fill="C6EFCE"/>
            <w:hideMark/>
          </w:tcPr>
          <w:p w14:paraId="1216CA2A" w14:textId="77777777" w:rsidR="00A60DDE" w:rsidRDefault="00095506">
            <w:pPr>
              <w:pStyle w:val="P68B1DB1-Normal85"/>
              <w:spacing w:line="240" w:lineRule="auto"/>
              <w:ind w:left="75"/>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2B" w14:textId="77777777" w:rsidR="00A60DDE" w:rsidRDefault="00095506">
            <w:pPr>
              <w:pStyle w:val="P68B1DB1-Normal87"/>
              <w:spacing w:line="240" w:lineRule="auto"/>
              <w:textAlignment w:val="baseline"/>
              <w:rPr>
                <w:noProof/>
              </w:rPr>
            </w:pPr>
            <w:r>
              <w:rPr>
                <w:noProof/>
              </w:rPr>
              <w:t>Patru rapoarte privind cadrele sectoriale de calificare modificate pentru transformarea verde</w:t>
            </w:r>
          </w:p>
        </w:tc>
      </w:tr>
      <w:tr w:rsidR="00A60DDE" w14:paraId="1216CA31" w14:textId="77777777">
        <w:trPr>
          <w:trHeight w:val="300"/>
          <w:jc w:val="center"/>
        </w:trPr>
        <w:tc>
          <w:tcPr>
            <w:tcW w:w="1134" w:type="dxa"/>
            <w:shd w:val="clear" w:color="auto" w:fill="C6EFCE"/>
            <w:hideMark/>
          </w:tcPr>
          <w:p w14:paraId="1216CA2D"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 xml:space="preserve">G13L </w:t>
            </w:r>
          </w:p>
        </w:tc>
        <w:tc>
          <w:tcPr>
            <w:tcW w:w="3402" w:type="dxa"/>
            <w:shd w:val="clear" w:color="auto" w:fill="C6EFCE"/>
            <w:hideMark/>
          </w:tcPr>
          <w:p w14:paraId="1216CA2E" w14:textId="77777777" w:rsidR="00A60DDE" w:rsidRDefault="00095506">
            <w:pPr>
              <w:pStyle w:val="P68B1DB1-Normal85"/>
              <w:spacing w:line="240" w:lineRule="auto"/>
              <w:textAlignment w:val="baseline"/>
              <w:rPr>
                <w:rFonts w:eastAsia="Times New Roman" w:cs="Times New Roman"/>
                <w:noProof/>
                <w:sz w:val="24"/>
                <w:szCs w:val="24"/>
              </w:rPr>
            </w:pPr>
            <w:r>
              <w:rPr>
                <w:noProof/>
              </w:rPr>
              <w:t>G3.1.4 Sprijin pentru sistemul energetic național (Fondul de sprijin pentru energie)</w:t>
            </w:r>
          </w:p>
        </w:tc>
        <w:tc>
          <w:tcPr>
            <w:tcW w:w="1142" w:type="dxa"/>
            <w:shd w:val="clear" w:color="auto" w:fill="C6EFCE"/>
            <w:hideMark/>
          </w:tcPr>
          <w:p w14:paraId="1216CA2F" w14:textId="77777777" w:rsidR="00A60DDE" w:rsidRDefault="00095506">
            <w:pPr>
              <w:pStyle w:val="P68B1DB1-Normal85"/>
              <w:spacing w:line="240" w:lineRule="auto"/>
              <w:ind w:right="30"/>
              <w:jc w:val="center"/>
              <w:textAlignment w:val="baseline"/>
              <w:rPr>
                <w:rFonts w:eastAsia="Times New Roman" w:cs="Times New Roman"/>
                <w:noProof/>
                <w:sz w:val="24"/>
                <w:szCs w:val="24"/>
              </w:rPr>
            </w:pPr>
            <w:r>
              <w:rPr>
                <w:noProof/>
              </w:rPr>
              <w:t>Țintă</w:t>
            </w:r>
          </w:p>
        </w:tc>
        <w:tc>
          <w:tcPr>
            <w:tcW w:w="3819" w:type="dxa"/>
            <w:shd w:val="clear" w:color="auto" w:fill="C6EFCE"/>
            <w:hideMark/>
          </w:tcPr>
          <w:p w14:paraId="1216CA30" w14:textId="77777777" w:rsidR="00A60DDE" w:rsidRDefault="00095506">
            <w:pPr>
              <w:pStyle w:val="P68B1DB1-Normal87"/>
              <w:spacing w:line="240" w:lineRule="auto"/>
              <w:textAlignment w:val="baseline"/>
              <w:rPr>
                <w:noProof/>
                <w:sz w:val="24"/>
                <w:szCs w:val="24"/>
              </w:rPr>
            </w:pPr>
            <w:r>
              <w:rPr>
                <w:noProof/>
              </w:rPr>
              <w:t>Acorduri juridice semnate cu beneficiarii finali</w:t>
            </w:r>
          </w:p>
        </w:tc>
      </w:tr>
      <w:tr w:rsidR="00A60DDE" w14:paraId="1216CA36" w14:textId="77777777">
        <w:trPr>
          <w:trHeight w:val="300"/>
          <w:jc w:val="center"/>
        </w:trPr>
        <w:tc>
          <w:tcPr>
            <w:tcW w:w="1134" w:type="dxa"/>
            <w:shd w:val="clear" w:color="auto" w:fill="C6EFCE"/>
          </w:tcPr>
          <w:p w14:paraId="1216CA32" w14:textId="77777777" w:rsidR="00A60DDE" w:rsidRDefault="00095506">
            <w:pPr>
              <w:pStyle w:val="P68B1DB1-Normal85"/>
              <w:spacing w:line="240" w:lineRule="auto"/>
              <w:ind w:right="30"/>
              <w:jc w:val="center"/>
              <w:textAlignment w:val="baseline"/>
              <w:rPr>
                <w:noProof/>
              </w:rPr>
            </w:pPr>
            <w:r>
              <w:rPr>
                <w:noProof/>
              </w:rPr>
              <w:t xml:space="preserve">G18L </w:t>
            </w:r>
          </w:p>
        </w:tc>
        <w:tc>
          <w:tcPr>
            <w:tcW w:w="3402" w:type="dxa"/>
            <w:shd w:val="clear" w:color="auto" w:fill="C6EFCE"/>
          </w:tcPr>
          <w:p w14:paraId="1216CA33" w14:textId="77777777" w:rsidR="00A60DDE" w:rsidRDefault="00095506">
            <w:pPr>
              <w:pStyle w:val="P68B1DB1-Normal85"/>
              <w:spacing w:line="240" w:lineRule="auto"/>
              <w:textAlignment w:val="baseline"/>
              <w:rPr>
                <w:noProof/>
              </w:rPr>
            </w:pPr>
            <w:r>
              <w:rPr>
                <w:noProof/>
              </w:rPr>
              <w:t>G3.1.5 Construirea de parcuri eoliene offshore (Fondul pentru energie eoliană offshore)</w:t>
            </w:r>
          </w:p>
        </w:tc>
        <w:tc>
          <w:tcPr>
            <w:tcW w:w="1142" w:type="dxa"/>
            <w:shd w:val="clear" w:color="auto" w:fill="C6EFCE"/>
          </w:tcPr>
          <w:p w14:paraId="1216CA34" w14:textId="77777777" w:rsidR="00A60DDE" w:rsidRDefault="00095506">
            <w:pPr>
              <w:pStyle w:val="P68B1DB1-Normal85"/>
              <w:spacing w:line="240" w:lineRule="auto"/>
              <w:ind w:right="30"/>
              <w:jc w:val="center"/>
              <w:textAlignment w:val="baseline"/>
              <w:rPr>
                <w:noProof/>
              </w:rPr>
            </w:pPr>
            <w:r>
              <w:rPr>
                <w:noProof/>
              </w:rPr>
              <w:t>Țintă</w:t>
            </w:r>
          </w:p>
        </w:tc>
        <w:tc>
          <w:tcPr>
            <w:tcW w:w="3819" w:type="dxa"/>
            <w:shd w:val="clear" w:color="auto" w:fill="C6EFCE"/>
          </w:tcPr>
          <w:p w14:paraId="1216CA35" w14:textId="77777777" w:rsidR="00A60DDE" w:rsidRDefault="00095506">
            <w:pPr>
              <w:pStyle w:val="P68B1DB1-Normal85"/>
              <w:spacing w:line="240" w:lineRule="auto"/>
              <w:textAlignment w:val="baseline"/>
              <w:rPr>
                <w:noProof/>
              </w:rPr>
            </w:pPr>
            <w:r>
              <w:rPr>
                <w:noProof/>
              </w:rPr>
              <w:t>Acorduri juridice semnate cu beneficiarii finali</w:t>
            </w:r>
          </w:p>
        </w:tc>
      </w:tr>
      <w:tr w:rsidR="00A60DDE" w14:paraId="1216CA3B" w14:textId="77777777">
        <w:trPr>
          <w:trHeight w:val="300"/>
          <w:jc w:val="center"/>
        </w:trPr>
        <w:tc>
          <w:tcPr>
            <w:tcW w:w="1134" w:type="dxa"/>
            <w:shd w:val="clear" w:color="auto" w:fill="C6EFCE"/>
          </w:tcPr>
          <w:p w14:paraId="1216CA37" w14:textId="77777777" w:rsidR="00A60DDE" w:rsidRDefault="00095506">
            <w:pPr>
              <w:pStyle w:val="P68B1DB1-Normal85"/>
              <w:spacing w:line="240" w:lineRule="auto"/>
              <w:ind w:right="30"/>
              <w:jc w:val="center"/>
              <w:textAlignment w:val="baseline"/>
              <w:rPr>
                <w:noProof/>
              </w:rPr>
            </w:pPr>
            <w:r>
              <w:rPr>
                <w:noProof/>
              </w:rPr>
              <w:t xml:space="preserve">G19L </w:t>
            </w:r>
          </w:p>
        </w:tc>
        <w:tc>
          <w:tcPr>
            <w:tcW w:w="3402" w:type="dxa"/>
            <w:shd w:val="clear" w:color="auto" w:fill="C6EFCE"/>
          </w:tcPr>
          <w:p w14:paraId="1216CA38" w14:textId="77777777" w:rsidR="00A60DDE" w:rsidRDefault="00095506">
            <w:pPr>
              <w:pStyle w:val="P68B1DB1-Normal85"/>
              <w:spacing w:line="240" w:lineRule="auto"/>
              <w:textAlignment w:val="baseline"/>
              <w:rPr>
                <w:noProof/>
              </w:rPr>
            </w:pPr>
            <w:r>
              <w:rPr>
                <w:noProof/>
              </w:rPr>
              <w:t>G3.1.5 Construirea de parcuri eoliene offshore (Fondul pentru energie eoliană offshore)</w:t>
            </w:r>
          </w:p>
        </w:tc>
        <w:tc>
          <w:tcPr>
            <w:tcW w:w="1142" w:type="dxa"/>
            <w:shd w:val="clear" w:color="auto" w:fill="C6EFCE"/>
          </w:tcPr>
          <w:p w14:paraId="1216CA39" w14:textId="77777777" w:rsidR="00A60DDE" w:rsidRDefault="00095506">
            <w:pPr>
              <w:pStyle w:val="P68B1DB1-Normal85"/>
              <w:spacing w:line="240" w:lineRule="auto"/>
              <w:ind w:right="30"/>
              <w:jc w:val="center"/>
              <w:textAlignment w:val="baseline"/>
              <w:rPr>
                <w:noProof/>
              </w:rPr>
            </w:pPr>
            <w:r>
              <w:rPr>
                <w:noProof/>
              </w:rPr>
              <w:t>Etapa de referință</w:t>
            </w:r>
          </w:p>
        </w:tc>
        <w:tc>
          <w:tcPr>
            <w:tcW w:w="3819" w:type="dxa"/>
            <w:shd w:val="clear" w:color="auto" w:fill="C6EFCE"/>
          </w:tcPr>
          <w:p w14:paraId="1216CA3A" w14:textId="77777777" w:rsidR="00A60DDE" w:rsidRDefault="00095506">
            <w:pPr>
              <w:pStyle w:val="P68B1DB1-Normal85"/>
              <w:spacing w:line="240" w:lineRule="auto"/>
              <w:textAlignment w:val="baseline"/>
              <w:rPr>
                <w:noProof/>
              </w:rPr>
            </w:pPr>
            <w:r>
              <w:rPr>
                <w:noProof/>
              </w:rPr>
              <w:t>Ministerul a finalizat investiția</w:t>
            </w:r>
          </w:p>
        </w:tc>
      </w:tr>
      <w:tr w:rsidR="00A60DDE" w14:paraId="1216CA40" w14:textId="77777777">
        <w:trPr>
          <w:trHeight w:val="300"/>
          <w:jc w:val="center"/>
        </w:trPr>
        <w:tc>
          <w:tcPr>
            <w:tcW w:w="1134" w:type="dxa"/>
            <w:shd w:val="clear" w:color="auto" w:fill="C6EFCE"/>
            <w:hideMark/>
          </w:tcPr>
          <w:p w14:paraId="1216CA3C" w14:textId="77777777" w:rsidR="00A60DDE" w:rsidRDefault="00095506">
            <w:pPr>
              <w:pStyle w:val="P68B1DB1-Normal85"/>
              <w:spacing w:line="240" w:lineRule="auto"/>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3D" w14:textId="77777777" w:rsidR="00A60DDE" w:rsidRDefault="00095506">
            <w:pPr>
              <w:pStyle w:val="P68B1DB1-Normal85"/>
              <w:spacing w:line="240" w:lineRule="auto"/>
              <w:textAlignment w:val="baseline"/>
              <w:rPr>
                <w:rFonts w:eastAsia="Times New Roman" w:cs="Times New Roman"/>
                <w:noProof/>
                <w:sz w:val="24"/>
                <w:szCs w:val="24"/>
              </w:rPr>
            </w:pPr>
            <w:r>
              <w:rPr>
                <w:noProof/>
              </w:rPr>
              <w:t xml:space="preserve"> </w:t>
            </w:r>
          </w:p>
        </w:tc>
        <w:tc>
          <w:tcPr>
            <w:tcW w:w="1142" w:type="dxa"/>
            <w:shd w:val="clear" w:color="auto" w:fill="C6EFCE"/>
            <w:hideMark/>
          </w:tcPr>
          <w:p w14:paraId="1216CA3E"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Valoarea tranșei</w:t>
            </w:r>
          </w:p>
        </w:tc>
        <w:tc>
          <w:tcPr>
            <w:tcW w:w="3819" w:type="dxa"/>
            <w:shd w:val="clear" w:color="auto" w:fill="C6EFCE"/>
            <w:hideMark/>
          </w:tcPr>
          <w:p w14:paraId="1216CA3F" w14:textId="77777777" w:rsidR="00A60DDE" w:rsidRDefault="00095506">
            <w:pPr>
              <w:pStyle w:val="P68B1DB1-Normal85"/>
              <w:spacing w:line="240" w:lineRule="auto"/>
              <w:textAlignment w:val="baseline"/>
              <w:rPr>
                <w:rFonts w:eastAsia="Times New Roman" w:cs="Times New Roman"/>
                <w:strike/>
                <w:noProof/>
              </w:rPr>
            </w:pPr>
            <w:r>
              <w:rPr>
                <w:noProof/>
              </w:rPr>
              <w:t>2 162 723 229 EUR</w:t>
            </w:r>
          </w:p>
        </w:tc>
      </w:tr>
    </w:tbl>
    <w:p w14:paraId="4755C511" w14:textId="77777777" w:rsidR="00A60DDE" w:rsidRDefault="00A60DDE">
      <w:pPr>
        <w:spacing w:line="240" w:lineRule="auto"/>
        <w:textAlignment w:val="baseline"/>
        <w:rPr>
          <w:rFonts w:ascii="Times New Roman" w:eastAsia="Times New Roman" w:hAnsi="Times New Roman" w:cs="Times New Roman"/>
          <w:noProof/>
        </w:rPr>
      </w:pPr>
    </w:p>
    <w:p w14:paraId="1216CA42" w14:textId="7FD5C78F" w:rsidR="00A60DDE" w:rsidRDefault="00095506">
      <w:pPr>
        <w:pStyle w:val="P68B1DB1-Normal85"/>
        <w:spacing w:line="240" w:lineRule="auto"/>
        <w:textAlignment w:val="baseline"/>
        <w:rPr>
          <w:rFonts w:ascii="Segoe UI" w:eastAsia="Times New Roman" w:hAnsi="Segoe UI" w:cs="Segoe UI"/>
          <w:noProof/>
          <w:sz w:val="18"/>
          <w:szCs w:val="18"/>
        </w:rPr>
      </w:pPr>
      <w:r>
        <w:rPr>
          <w:noProof/>
        </w:rPr>
        <w:t>2.2.8. A opta tranșă (sprijin rambursabil):</w:t>
      </w:r>
    </w:p>
    <w:tbl>
      <w:tblPr>
        <w:tblW w:w="9497"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A60DDE" w14:paraId="1216CA47" w14:textId="77777777">
        <w:trPr>
          <w:trHeight w:val="300"/>
          <w:tblHeader/>
          <w:jc w:val="center"/>
        </w:trPr>
        <w:tc>
          <w:tcPr>
            <w:tcW w:w="1134" w:type="dxa"/>
            <w:shd w:val="clear" w:color="auto" w:fill="C6D9F1" w:themeFill="text2" w:themeFillTint="33"/>
            <w:hideMark/>
          </w:tcPr>
          <w:p w14:paraId="1216CA43" w14:textId="77777777" w:rsidR="00A60DDE" w:rsidRDefault="00095506">
            <w:pPr>
              <w:pStyle w:val="P68B1DB1-Normal99"/>
              <w:spacing w:line="240" w:lineRule="auto"/>
              <w:jc w:val="center"/>
              <w:textAlignment w:val="baseline"/>
              <w:rPr>
                <w:rFonts w:eastAsia="Times New Roman" w:cs="Times New Roman"/>
                <w:noProof/>
              </w:rPr>
            </w:pPr>
            <w:r>
              <w:rPr>
                <w:noProof/>
              </w:rPr>
              <w:t>Număr secvențial</w:t>
            </w:r>
          </w:p>
        </w:tc>
        <w:tc>
          <w:tcPr>
            <w:tcW w:w="3402" w:type="dxa"/>
            <w:shd w:val="clear" w:color="auto" w:fill="C6D9F1" w:themeFill="text2" w:themeFillTint="33"/>
            <w:hideMark/>
          </w:tcPr>
          <w:p w14:paraId="1216CA44" w14:textId="77777777" w:rsidR="00A60DDE" w:rsidRDefault="00095506">
            <w:pPr>
              <w:pStyle w:val="P68B1DB1-Normal99"/>
              <w:spacing w:line="240" w:lineRule="auto"/>
              <w:jc w:val="center"/>
              <w:textAlignment w:val="baseline"/>
              <w:rPr>
                <w:rFonts w:eastAsia="Times New Roman" w:cs="Times New Roman"/>
                <w:noProof/>
              </w:rPr>
            </w:pPr>
            <w:r>
              <w:rPr>
                <w:noProof/>
              </w:rPr>
              <w:t>Măsură conexă (reformă sau investiție)</w:t>
            </w:r>
          </w:p>
        </w:tc>
        <w:tc>
          <w:tcPr>
            <w:tcW w:w="1134" w:type="dxa"/>
            <w:shd w:val="clear" w:color="auto" w:fill="C6D9F1" w:themeFill="text2" w:themeFillTint="33"/>
            <w:hideMark/>
          </w:tcPr>
          <w:p w14:paraId="1216CA45" w14:textId="77777777" w:rsidR="00A60DDE" w:rsidRDefault="00095506">
            <w:pPr>
              <w:pStyle w:val="P68B1DB1-Normal99"/>
              <w:spacing w:line="240" w:lineRule="auto"/>
              <w:ind w:left="15"/>
              <w:jc w:val="center"/>
              <w:textAlignment w:val="baseline"/>
              <w:rPr>
                <w:rFonts w:eastAsia="Times New Roman" w:cs="Times New Roman"/>
                <w:noProof/>
              </w:rPr>
            </w:pPr>
            <w:r>
              <w:rPr>
                <w:noProof/>
              </w:rPr>
              <w:t>Etapa/ținta</w:t>
            </w:r>
          </w:p>
        </w:tc>
        <w:tc>
          <w:tcPr>
            <w:tcW w:w="3827" w:type="dxa"/>
            <w:shd w:val="clear" w:color="auto" w:fill="C6D9F1" w:themeFill="text2" w:themeFillTint="33"/>
            <w:hideMark/>
          </w:tcPr>
          <w:p w14:paraId="1216CA46" w14:textId="77777777" w:rsidR="00A60DDE" w:rsidRDefault="00095506">
            <w:pPr>
              <w:pStyle w:val="P68B1DB1-Normal99"/>
              <w:spacing w:line="240" w:lineRule="auto"/>
              <w:ind w:right="30"/>
              <w:jc w:val="center"/>
              <w:textAlignment w:val="baseline"/>
              <w:rPr>
                <w:rFonts w:eastAsia="Times New Roman" w:cs="Times New Roman"/>
                <w:noProof/>
              </w:rPr>
            </w:pPr>
            <w:r>
              <w:rPr>
                <w:noProof/>
              </w:rPr>
              <w:t>Denumire</w:t>
            </w:r>
          </w:p>
        </w:tc>
      </w:tr>
      <w:tr w:rsidR="00A60DDE" w14:paraId="1216CA4C" w14:textId="77777777">
        <w:trPr>
          <w:trHeight w:val="300"/>
          <w:jc w:val="center"/>
        </w:trPr>
        <w:tc>
          <w:tcPr>
            <w:tcW w:w="1134" w:type="dxa"/>
            <w:shd w:val="clear" w:color="auto" w:fill="C6EFCE"/>
            <w:hideMark/>
          </w:tcPr>
          <w:p w14:paraId="1216CA48"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A3L </w:t>
            </w:r>
          </w:p>
        </w:tc>
        <w:tc>
          <w:tcPr>
            <w:tcW w:w="3402" w:type="dxa"/>
            <w:shd w:val="clear" w:color="auto" w:fill="C6EFCE"/>
            <w:hideMark/>
          </w:tcPr>
          <w:p w14:paraId="1216CA49" w14:textId="77777777" w:rsidR="00A60DDE" w:rsidRDefault="00095506">
            <w:pPr>
              <w:pStyle w:val="P68B1DB1-Normal85"/>
              <w:spacing w:line="240" w:lineRule="auto"/>
              <w:textAlignment w:val="baseline"/>
              <w:rPr>
                <w:rFonts w:eastAsia="Times New Roman" w:cs="Times New Roman"/>
                <w:noProof/>
              </w:rPr>
            </w:pPr>
            <w:r>
              <w:rPr>
                <w:noProof/>
              </w:rPr>
              <w:t>A2.5.1 Un program de sprijinire a activităților entităților din industriile culturale și creative</w:t>
            </w:r>
          </w:p>
        </w:tc>
        <w:tc>
          <w:tcPr>
            <w:tcW w:w="1134" w:type="dxa"/>
            <w:shd w:val="clear" w:color="auto" w:fill="C6EFCE"/>
            <w:hideMark/>
          </w:tcPr>
          <w:p w14:paraId="1216CA4A"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827" w:type="dxa"/>
            <w:shd w:val="clear" w:color="auto" w:fill="C6EFCE"/>
            <w:hideMark/>
          </w:tcPr>
          <w:p w14:paraId="1216CA4B" w14:textId="77777777" w:rsidR="00A60DDE" w:rsidRDefault="00095506">
            <w:pPr>
              <w:pStyle w:val="P68B1DB1-Normal87"/>
              <w:spacing w:line="240" w:lineRule="auto"/>
              <w:ind w:right="30"/>
              <w:textAlignment w:val="baseline"/>
              <w:rPr>
                <w:noProof/>
              </w:rPr>
            </w:pPr>
            <w:r>
              <w:rPr>
                <w:noProof/>
              </w:rPr>
              <w:t>Numărul de contracte semnate pentru proiecte în sectoarele culturale și creative (SCC)</w:t>
            </w:r>
          </w:p>
        </w:tc>
      </w:tr>
      <w:tr w:rsidR="00A60DDE" w14:paraId="1216CA51" w14:textId="77777777">
        <w:trPr>
          <w:trHeight w:val="300"/>
          <w:jc w:val="center"/>
        </w:trPr>
        <w:tc>
          <w:tcPr>
            <w:tcW w:w="1134" w:type="dxa"/>
            <w:shd w:val="clear" w:color="auto" w:fill="C6EFCE"/>
            <w:hideMark/>
          </w:tcPr>
          <w:p w14:paraId="1216CA4D" w14:textId="77777777" w:rsidR="00A60DDE" w:rsidRDefault="00095506">
            <w:pPr>
              <w:pStyle w:val="P68B1DB1-Normal85"/>
              <w:spacing w:line="240" w:lineRule="auto"/>
              <w:ind w:right="30"/>
              <w:jc w:val="center"/>
              <w:textAlignment w:val="baseline"/>
              <w:rPr>
                <w:rFonts w:eastAsia="Times New Roman" w:cs="Times New Roman"/>
                <w:noProof/>
              </w:rPr>
            </w:pPr>
            <w:r>
              <w:rPr>
                <w:noProof/>
              </w:rPr>
              <w:t xml:space="preserve">A4L </w:t>
            </w:r>
          </w:p>
        </w:tc>
        <w:tc>
          <w:tcPr>
            <w:tcW w:w="3402" w:type="dxa"/>
            <w:shd w:val="clear" w:color="auto" w:fill="C6EFCE"/>
            <w:hideMark/>
          </w:tcPr>
          <w:p w14:paraId="1216CA4E" w14:textId="77777777" w:rsidR="00A60DDE" w:rsidRDefault="00095506">
            <w:pPr>
              <w:pStyle w:val="P68B1DB1-Normal85"/>
              <w:spacing w:line="240" w:lineRule="auto"/>
              <w:textAlignment w:val="baseline"/>
              <w:rPr>
                <w:rFonts w:eastAsia="Times New Roman" w:cs="Times New Roman"/>
                <w:noProof/>
              </w:rPr>
            </w:pPr>
            <w:r>
              <w:rPr>
                <w:noProof/>
              </w:rPr>
              <w:t>A2.5.1 Un program de sprijinire a activităților entităților din industriile culturale și creative</w:t>
            </w:r>
          </w:p>
        </w:tc>
        <w:tc>
          <w:tcPr>
            <w:tcW w:w="1134" w:type="dxa"/>
            <w:shd w:val="clear" w:color="auto" w:fill="C6EFCE"/>
            <w:hideMark/>
          </w:tcPr>
          <w:p w14:paraId="1216CA4F" w14:textId="77777777" w:rsidR="00A60DDE" w:rsidRDefault="00095506">
            <w:pPr>
              <w:pStyle w:val="P68B1DB1-Normal85"/>
              <w:spacing w:line="240" w:lineRule="auto"/>
              <w:ind w:right="30"/>
              <w:jc w:val="center"/>
              <w:textAlignment w:val="baseline"/>
              <w:rPr>
                <w:rFonts w:eastAsia="Times New Roman" w:cs="Times New Roman"/>
                <w:noProof/>
              </w:rPr>
            </w:pPr>
            <w:r>
              <w:rPr>
                <w:noProof/>
              </w:rPr>
              <w:t>Țintă</w:t>
            </w:r>
          </w:p>
        </w:tc>
        <w:tc>
          <w:tcPr>
            <w:tcW w:w="3827" w:type="dxa"/>
            <w:shd w:val="clear" w:color="auto" w:fill="C6EFCE"/>
            <w:hideMark/>
          </w:tcPr>
          <w:p w14:paraId="1216CA50" w14:textId="77777777" w:rsidR="00A60DDE" w:rsidRDefault="00095506">
            <w:pPr>
              <w:pStyle w:val="P68B1DB1-Normal87"/>
              <w:spacing w:line="240" w:lineRule="auto"/>
              <w:textAlignment w:val="baseline"/>
              <w:rPr>
                <w:noProof/>
              </w:rPr>
            </w:pPr>
            <w:r>
              <w:rPr>
                <w:noProof/>
              </w:rPr>
              <w:t>Numărul de burse acordate în sectoarele culturale și creative (SCC)</w:t>
            </w:r>
          </w:p>
        </w:tc>
      </w:tr>
      <w:tr w:rsidR="00A60DDE" w14:paraId="1216CA56" w14:textId="77777777">
        <w:trPr>
          <w:trHeight w:val="300"/>
          <w:jc w:val="center"/>
        </w:trPr>
        <w:tc>
          <w:tcPr>
            <w:tcW w:w="1134" w:type="dxa"/>
            <w:shd w:val="clear" w:color="auto" w:fill="C6EFCE"/>
            <w:hideMark/>
          </w:tcPr>
          <w:p w14:paraId="1216CA52" w14:textId="77777777" w:rsidR="00A60DDE" w:rsidRDefault="00095506">
            <w:pPr>
              <w:pStyle w:val="P68B1DB1-Normal85"/>
              <w:spacing w:line="240" w:lineRule="auto"/>
              <w:jc w:val="center"/>
              <w:rPr>
                <w:noProof/>
              </w:rPr>
            </w:pPr>
            <w:r>
              <w:rPr>
                <w:noProof/>
              </w:rPr>
              <w:t>A7L</w:t>
            </w:r>
          </w:p>
        </w:tc>
        <w:tc>
          <w:tcPr>
            <w:tcW w:w="3402" w:type="dxa"/>
            <w:shd w:val="clear" w:color="auto" w:fill="C6EFCE"/>
            <w:hideMark/>
          </w:tcPr>
          <w:p w14:paraId="1216CA53" w14:textId="77777777" w:rsidR="00A60DDE" w:rsidRDefault="00095506">
            <w:pPr>
              <w:pStyle w:val="P68B1DB1-Normal85"/>
              <w:spacing w:line="240" w:lineRule="auto"/>
              <w:rPr>
                <w:noProof/>
              </w:rPr>
            </w:pPr>
            <w:r>
              <w:rPr>
                <w:noProof/>
              </w:rPr>
              <w:t>A2.6 Reforma sistemului național de monitorizare a serviciilor, produselor, instrumentelor analitice, serviciilor și infrastructurii aferente care utilizează date satelitare</w:t>
            </w:r>
          </w:p>
        </w:tc>
        <w:tc>
          <w:tcPr>
            <w:tcW w:w="1134" w:type="dxa"/>
            <w:shd w:val="clear" w:color="auto" w:fill="C6EFCE"/>
            <w:hideMark/>
          </w:tcPr>
          <w:p w14:paraId="1216CA54" w14:textId="77777777" w:rsidR="00A60DDE" w:rsidRDefault="00095506">
            <w:pPr>
              <w:pStyle w:val="P68B1DB1-Normal85"/>
              <w:spacing w:line="240" w:lineRule="auto"/>
              <w:ind w:right="30"/>
              <w:jc w:val="center"/>
              <w:rPr>
                <w:noProof/>
              </w:rPr>
            </w:pPr>
            <w:r>
              <w:rPr>
                <w:noProof/>
              </w:rPr>
              <w:t>Etapa de referință</w:t>
            </w:r>
          </w:p>
        </w:tc>
        <w:tc>
          <w:tcPr>
            <w:tcW w:w="3827" w:type="dxa"/>
            <w:shd w:val="clear" w:color="auto" w:fill="C6EFCE"/>
            <w:hideMark/>
          </w:tcPr>
          <w:p w14:paraId="1216CA55" w14:textId="77777777" w:rsidR="00A60DDE" w:rsidRDefault="00095506">
            <w:pPr>
              <w:pStyle w:val="P68B1DB1-Normal87"/>
              <w:spacing w:line="240" w:lineRule="auto"/>
              <w:rPr>
                <w:noProof/>
              </w:rPr>
            </w:pPr>
            <w:r>
              <w:rPr>
                <w:noProof/>
              </w:rPr>
              <w:t>Intrarea în vigoare a unei legi privind activitățile spațiale</w:t>
            </w:r>
          </w:p>
        </w:tc>
      </w:tr>
      <w:tr w:rsidR="00A60DDE" w14:paraId="1216CA5B" w14:textId="77777777">
        <w:trPr>
          <w:trHeight w:val="300"/>
          <w:jc w:val="center"/>
        </w:trPr>
        <w:tc>
          <w:tcPr>
            <w:tcW w:w="1134" w:type="dxa"/>
            <w:shd w:val="clear" w:color="auto" w:fill="C6EFCE"/>
            <w:hideMark/>
          </w:tcPr>
          <w:p w14:paraId="1216CA57" w14:textId="77777777" w:rsidR="00A60DDE" w:rsidRDefault="00095506">
            <w:pPr>
              <w:pStyle w:val="P68B1DB1-Normal85"/>
              <w:spacing w:line="240" w:lineRule="auto"/>
              <w:jc w:val="center"/>
              <w:textAlignment w:val="baseline"/>
              <w:rPr>
                <w:rFonts w:eastAsia="Times New Roman" w:cs="Times New Roman"/>
                <w:noProof/>
              </w:rPr>
            </w:pPr>
            <w:r>
              <w:rPr>
                <w:noProof/>
              </w:rPr>
              <w:t>A13L </w:t>
            </w:r>
          </w:p>
        </w:tc>
        <w:tc>
          <w:tcPr>
            <w:tcW w:w="3402" w:type="dxa"/>
            <w:shd w:val="clear" w:color="auto" w:fill="C6EFCE"/>
            <w:hideMark/>
          </w:tcPr>
          <w:p w14:paraId="1216CA58" w14:textId="77777777" w:rsidR="00A60DDE" w:rsidRDefault="00095506">
            <w:pPr>
              <w:pStyle w:val="P68B1DB1-Normal85"/>
              <w:spacing w:line="240" w:lineRule="auto"/>
              <w:textAlignment w:val="baseline"/>
              <w:rPr>
                <w:rFonts w:eastAsia="Times New Roman" w:cs="Times New Roman"/>
                <w:noProof/>
              </w:rPr>
            </w:pPr>
            <w:r>
              <w:rPr>
                <w:noProof/>
              </w:rPr>
              <w:t>A2.7.1 Fondul pentru securitate și apărare</w:t>
            </w:r>
          </w:p>
        </w:tc>
        <w:tc>
          <w:tcPr>
            <w:tcW w:w="1134" w:type="dxa"/>
            <w:shd w:val="clear" w:color="auto" w:fill="C6EFCE"/>
            <w:hideMark/>
          </w:tcPr>
          <w:p w14:paraId="1216CA59" w14:textId="77777777" w:rsidR="00A60DDE" w:rsidRDefault="00095506">
            <w:pPr>
              <w:pStyle w:val="P68B1DB1-Normal85"/>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5A" w14:textId="77777777" w:rsidR="00A60DDE" w:rsidRDefault="00095506">
            <w:pPr>
              <w:pStyle w:val="P68B1DB1-Normal87"/>
              <w:spacing w:line="240" w:lineRule="auto"/>
              <w:textAlignment w:val="baseline"/>
              <w:rPr>
                <w:noProof/>
              </w:rPr>
            </w:pPr>
            <w:r>
              <w:rPr>
                <w:noProof/>
              </w:rPr>
              <w:t>Adoptarea politicii de investiții</w:t>
            </w:r>
          </w:p>
        </w:tc>
      </w:tr>
      <w:tr w:rsidR="00A60DDE" w14:paraId="1216CA60" w14:textId="77777777">
        <w:trPr>
          <w:trHeight w:val="300"/>
          <w:jc w:val="center"/>
        </w:trPr>
        <w:tc>
          <w:tcPr>
            <w:tcW w:w="1134" w:type="dxa"/>
            <w:shd w:val="clear" w:color="auto" w:fill="C6EFCE"/>
            <w:hideMark/>
          </w:tcPr>
          <w:p w14:paraId="1216CA5C"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B5L </w:t>
            </w:r>
          </w:p>
        </w:tc>
        <w:tc>
          <w:tcPr>
            <w:tcW w:w="3402" w:type="dxa"/>
            <w:shd w:val="clear" w:color="auto" w:fill="C6EFCE"/>
            <w:hideMark/>
          </w:tcPr>
          <w:p w14:paraId="1216CA5D" w14:textId="77777777" w:rsidR="00A60DDE" w:rsidRDefault="00095506">
            <w:pPr>
              <w:pStyle w:val="P68B1DB1-Normal85"/>
              <w:spacing w:line="240" w:lineRule="auto"/>
              <w:textAlignment w:val="baseline"/>
              <w:rPr>
                <w:rFonts w:eastAsia="Times New Roman" w:cs="Times New Roman"/>
                <w:noProof/>
              </w:rPr>
            </w:pPr>
            <w:r>
              <w:rPr>
                <w:noProof/>
              </w:rPr>
              <w:t>B2.3 Sprijin pentru investiții în parcuri eoliene offshore</w:t>
            </w:r>
          </w:p>
        </w:tc>
        <w:tc>
          <w:tcPr>
            <w:tcW w:w="1134" w:type="dxa"/>
            <w:shd w:val="clear" w:color="auto" w:fill="C6EFCE"/>
            <w:hideMark/>
          </w:tcPr>
          <w:p w14:paraId="1216CA5E" w14:textId="77777777" w:rsidR="00A60DDE" w:rsidRDefault="00095506">
            <w:pPr>
              <w:pStyle w:val="P68B1DB1-Normal85"/>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5F" w14:textId="77777777" w:rsidR="00A60DDE" w:rsidRDefault="00095506">
            <w:pPr>
              <w:pStyle w:val="P68B1DB1-Normal87"/>
              <w:spacing w:line="240" w:lineRule="auto"/>
              <w:textAlignment w:val="baseline"/>
              <w:rPr>
                <w:noProof/>
              </w:rPr>
            </w:pPr>
            <w:r>
              <w:rPr>
                <w:noProof/>
              </w:rPr>
              <w:t>Rezultatele licitațiilor pentru contracte pe diferență pentru energia eoliană offshore</w:t>
            </w:r>
          </w:p>
        </w:tc>
      </w:tr>
      <w:tr w:rsidR="00A60DDE" w14:paraId="1216CA65" w14:textId="77777777">
        <w:trPr>
          <w:trHeight w:val="300"/>
          <w:jc w:val="center"/>
        </w:trPr>
        <w:tc>
          <w:tcPr>
            <w:tcW w:w="1134" w:type="dxa"/>
            <w:shd w:val="clear" w:color="auto" w:fill="C6EFCE"/>
            <w:hideMark/>
          </w:tcPr>
          <w:p w14:paraId="1216CA61" w14:textId="77777777" w:rsidR="00A60DDE" w:rsidRDefault="00095506">
            <w:pPr>
              <w:pStyle w:val="P68B1DB1-Normal85"/>
              <w:spacing w:line="240" w:lineRule="auto"/>
              <w:jc w:val="center"/>
              <w:rPr>
                <w:rFonts w:eastAsia="Times New Roman" w:cs="Times New Roman"/>
                <w:noProof/>
              </w:rPr>
            </w:pPr>
            <w:r>
              <w:rPr>
                <w:noProof/>
              </w:rPr>
              <w:t>B6aL </w:t>
            </w:r>
          </w:p>
        </w:tc>
        <w:tc>
          <w:tcPr>
            <w:tcW w:w="3402" w:type="dxa"/>
            <w:shd w:val="clear" w:color="auto" w:fill="C6EFCE"/>
            <w:hideMark/>
          </w:tcPr>
          <w:p w14:paraId="1216CA62" w14:textId="77777777" w:rsidR="00A60DDE" w:rsidRDefault="00095506">
            <w:pPr>
              <w:pStyle w:val="P68B1DB1-Normal85"/>
              <w:spacing w:line="240" w:lineRule="auto"/>
              <w:rPr>
                <w:rFonts w:eastAsia="Times New Roman" w:cs="Times New Roman"/>
                <w:noProof/>
              </w:rPr>
            </w:pPr>
            <w:r>
              <w:rPr>
                <w:noProof/>
              </w:rPr>
              <w:t>B2.3 Sprijin pentru investiții în parcuri eoliene offshore</w:t>
            </w:r>
          </w:p>
        </w:tc>
        <w:tc>
          <w:tcPr>
            <w:tcW w:w="1134" w:type="dxa"/>
            <w:shd w:val="clear" w:color="auto" w:fill="C6EFCE"/>
            <w:hideMark/>
          </w:tcPr>
          <w:p w14:paraId="1216CA63" w14:textId="77777777" w:rsidR="00A60DDE" w:rsidRDefault="00095506">
            <w:pPr>
              <w:pStyle w:val="P68B1DB1-Normal85"/>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64" w14:textId="77777777" w:rsidR="00A60DDE" w:rsidRDefault="00095506">
            <w:pPr>
              <w:pStyle w:val="P68B1DB1-Normal87"/>
              <w:spacing w:line="240" w:lineRule="auto"/>
              <w:rPr>
                <w:noProof/>
              </w:rPr>
            </w:pPr>
            <w:r>
              <w:rPr>
                <w:noProof/>
              </w:rPr>
              <w:t>Studiu privind măsurile de limitare a constrângerilor de alocare în sistemul electroenergetic polonez</w:t>
            </w:r>
          </w:p>
        </w:tc>
      </w:tr>
      <w:tr w:rsidR="00A60DDE" w14:paraId="1216CA6A" w14:textId="77777777">
        <w:trPr>
          <w:trHeight w:val="300"/>
          <w:jc w:val="center"/>
        </w:trPr>
        <w:tc>
          <w:tcPr>
            <w:tcW w:w="1134" w:type="dxa"/>
            <w:shd w:val="clear" w:color="auto" w:fill="C6EFCE"/>
          </w:tcPr>
          <w:p w14:paraId="1216CA66" w14:textId="77777777" w:rsidR="00A60DDE" w:rsidRDefault="00095506">
            <w:pPr>
              <w:pStyle w:val="P68B1DB1-Normal85"/>
              <w:spacing w:line="240" w:lineRule="auto"/>
              <w:jc w:val="center"/>
              <w:rPr>
                <w:noProof/>
              </w:rPr>
            </w:pPr>
            <w:r>
              <w:rPr>
                <w:noProof/>
              </w:rPr>
              <w:t>C13aL</w:t>
            </w:r>
          </w:p>
        </w:tc>
        <w:tc>
          <w:tcPr>
            <w:tcW w:w="3402" w:type="dxa"/>
            <w:shd w:val="clear" w:color="auto" w:fill="C6EFCE"/>
          </w:tcPr>
          <w:p w14:paraId="1216CA67" w14:textId="77777777" w:rsidR="00A60DDE" w:rsidRDefault="00095506">
            <w:pPr>
              <w:pStyle w:val="P68B1DB1-Normal85"/>
              <w:spacing w:line="240" w:lineRule="auto"/>
              <w:ind w:right="15"/>
              <w:rPr>
                <w:rFonts w:eastAsia="Times New Roman" w:cs="Times New Roman"/>
                <w:noProof/>
              </w:rPr>
            </w:pPr>
            <w:r>
              <w:rPr>
                <w:noProof/>
              </w:rPr>
              <w:t>C2.2.1 Tehnologiile digitale în predare</w:t>
            </w:r>
          </w:p>
        </w:tc>
        <w:tc>
          <w:tcPr>
            <w:tcW w:w="1134" w:type="dxa"/>
            <w:shd w:val="clear" w:color="auto" w:fill="C6EFCE"/>
          </w:tcPr>
          <w:p w14:paraId="1216CA68" w14:textId="77777777" w:rsidR="00A60DDE" w:rsidRDefault="00095506">
            <w:pPr>
              <w:pStyle w:val="P68B1DB1-Normal85"/>
              <w:spacing w:line="240" w:lineRule="auto"/>
              <w:jc w:val="center"/>
              <w:rPr>
                <w:noProof/>
              </w:rPr>
            </w:pPr>
            <w:r>
              <w:rPr>
                <w:noProof/>
              </w:rPr>
              <w:t>Etapa de referință</w:t>
            </w:r>
          </w:p>
        </w:tc>
        <w:tc>
          <w:tcPr>
            <w:tcW w:w="3827" w:type="dxa"/>
            <w:shd w:val="clear" w:color="auto" w:fill="C6EFCE"/>
          </w:tcPr>
          <w:p w14:paraId="1216CA69" w14:textId="64B489E0" w:rsidR="00A60DDE" w:rsidRDefault="00095506">
            <w:pPr>
              <w:pStyle w:val="P68B1DB1-Normal87"/>
              <w:spacing w:line="240" w:lineRule="auto"/>
              <w:rPr>
                <w:noProof/>
              </w:rPr>
            </w:pPr>
            <w:r>
              <w:rPr>
                <w:noProof/>
              </w:rPr>
              <w:t>Acord (acorduri)-cadru pentru laboratoarele de inteligență artificială (IA)</w:t>
            </w:r>
          </w:p>
        </w:tc>
      </w:tr>
      <w:tr w:rsidR="00A60DDE" w14:paraId="1216CA79" w14:textId="77777777">
        <w:trPr>
          <w:trHeight w:val="300"/>
          <w:jc w:val="center"/>
        </w:trPr>
        <w:tc>
          <w:tcPr>
            <w:tcW w:w="1134" w:type="dxa"/>
            <w:shd w:val="clear" w:color="auto" w:fill="C6EFCE"/>
            <w:hideMark/>
          </w:tcPr>
          <w:p w14:paraId="1216CA75" w14:textId="77777777" w:rsidR="00A60DDE" w:rsidRDefault="00095506">
            <w:pPr>
              <w:pStyle w:val="P68B1DB1-Normal85"/>
              <w:spacing w:line="240" w:lineRule="auto"/>
              <w:ind w:right="45"/>
              <w:jc w:val="center"/>
              <w:textAlignment w:val="baseline"/>
              <w:rPr>
                <w:rFonts w:eastAsia="Times New Roman" w:cs="Times New Roman"/>
                <w:noProof/>
              </w:rPr>
            </w:pPr>
            <w:r>
              <w:rPr>
                <w:noProof/>
              </w:rPr>
              <w:t xml:space="preserve">E2L </w:t>
            </w:r>
          </w:p>
        </w:tc>
        <w:tc>
          <w:tcPr>
            <w:tcW w:w="3402" w:type="dxa"/>
            <w:shd w:val="clear" w:color="auto" w:fill="C6EFCE"/>
            <w:hideMark/>
          </w:tcPr>
          <w:p w14:paraId="1216CA76" w14:textId="77777777" w:rsidR="00A60DDE" w:rsidRDefault="00095506">
            <w:pPr>
              <w:pStyle w:val="P68B1DB1-Normal85"/>
              <w:spacing w:line="240" w:lineRule="auto"/>
              <w:ind w:right="15"/>
              <w:textAlignment w:val="baseline"/>
              <w:rPr>
                <w:rFonts w:eastAsia="Times New Roman" w:cs="Times New Roman"/>
                <w:noProof/>
              </w:rPr>
            </w:pPr>
            <w:r>
              <w:rPr>
                <w:noProof/>
              </w:rPr>
              <w:t>E1.2 2 Creșterea ponderii transporturilor cu emisii zero și cu emisii scăzute, prevenirea și reducerea impactului negativ al transporturilor asupra mediului</w:t>
            </w:r>
          </w:p>
        </w:tc>
        <w:tc>
          <w:tcPr>
            <w:tcW w:w="1134" w:type="dxa"/>
            <w:shd w:val="clear" w:color="auto" w:fill="C6EFCE"/>
            <w:hideMark/>
          </w:tcPr>
          <w:p w14:paraId="1216CA77" w14:textId="77777777" w:rsidR="00A60DDE" w:rsidRDefault="00095506">
            <w:pPr>
              <w:pStyle w:val="P68B1DB1-Normal85"/>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78" w14:textId="77777777" w:rsidR="00A60DDE" w:rsidRDefault="00095506">
            <w:pPr>
              <w:pStyle w:val="P68B1DB1-Normal87"/>
              <w:spacing w:line="240" w:lineRule="auto"/>
              <w:textAlignment w:val="baseline"/>
              <w:rPr>
                <w:noProof/>
              </w:rPr>
            </w:pPr>
            <w:r>
              <w:rPr>
                <w:noProof/>
              </w:rPr>
              <w:t>Zone de transport cu emisii scăzute</w:t>
            </w:r>
          </w:p>
        </w:tc>
      </w:tr>
      <w:tr w:rsidR="00A60DDE" w14:paraId="31A3CDEC" w14:textId="77777777">
        <w:trPr>
          <w:trHeight w:val="300"/>
          <w:jc w:val="center"/>
        </w:trPr>
        <w:tc>
          <w:tcPr>
            <w:tcW w:w="1134" w:type="dxa"/>
            <w:shd w:val="clear" w:color="auto" w:fill="C6EFCE"/>
          </w:tcPr>
          <w:p w14:paraId="5E207C94" w14:textId="79712C91" w:rsidR="00A60DDE" w:rsidRDefault="00095506">
            <w:pPr>
              <w:pStyle w:val="P68B1DB1-Normal85"/>
              <w:spacing w:line="240" w:lineRule="auto"/>
              <w:ind w:right="45"/>
              <w:jc w:val="center"/>
              <w:textAlignment w:val="baseline"/>
              <w:rPr>
                <w:noProof/>
              </w:rPr>
            </w:pPr>
            <w:r>
              <w:rPr>
                <w:noProof/>
              </w:rPr>
              <w:t xml:space="preserve">E4L </w:t>
            </w:r>
          </w:p>
        </w:tc>
        <w:tc>
          <w:tcPr>
            <w:tcW w:w="3402" w:type="dxa"/>
            <w:shd w:val="clear" w:color="auto" w:fill="C6EFCE"/>
          </w:tcPr>
          <w:p w14:paraId="1F5810C2" w14:textId="728DADA0" w:rsidR="00A60DDE" w:rsidRDefault="00095506">
            <w:pPr>
              <w:pStyle w:val="P68B1DB1-Normal85"/>
              <w:spacing w:line="240" w:lineRule="auto"/>
              <w:ind w:right="15"/>
              <w:textAlignment w:val="baseline"/>
              <w:rPr>
                <w:noProof/>
              </w:rPr>
            </w:pPr>
            <w:r>
              <w:rPr>
                <w:noProof/>
              </w:rPr>
              <w:t>E1.2.1 Transportul public în orașe (tramvaie)</w:t>
            </w:r>
          </w:p>
        </w:tc>
        <w:tc>
          <w:tcPr>
            <w:tcW w:w="1134" w:type="dxa"/>
            <w:shd w:val="clear" w:color="auto" w:fill="C6EFCE"/>
          </w:tcPr>
          <w:p w14:paraId="1087B7E6" w14:textId="5B241773" w:rsidR="00A60DDE" w:rsidRDefault="00095506">
            <w:pPr>
              <w:pStyle w:val="P68B1DB1-Normal85"/>
              <w:spacing w:line="240" w:lineRule="auto"/>
              <w:ind w:right="30"/>
              <w:jc w:val="center"/>
              <w:rPr>
                <w:noProof/>
              </w:rPr>
            </w:pPr>
            <w:r>
              <w:rPr>
                <w:noProof/>
              </w:rPr>
              <w:t>Țintă</w:t>
            </w:r>
          </w:p>
        </w:tc>
        <w:tc>
          <w:tcPr>
            <w:tcW w:w="3827" w:type="dxa"/>
            <w:shd w:val="clear" w:color="auto" w:fill="C6EFCE"/>
          </w:tcPr>
          <w:p w14:paraId="41A6A8BA" w14:textId="404ACFA8" w:rsidR="00A60DDE" w:rsidRDefault="00095506">
            <w:pPr>
              <w:pStyle w:val="P68B1DB1-Normal87"/>
              <w:spacing w:line="240" w:lineRule="auto"/>
              <w:textAlignment w:val="baseline"/>
              <w:rPr>
                <w:noProof/>
              </w:rPr>
            </w:pPr>
            <w:r>
              <w:rPr>
                <w:noProof/>
              </w:rPr>
              <w:t>Tramvaiele</w:t>
            </w:r>
          </w:p>
        </w:tc>
      </w:tr>
      <w:tr w:rsidR="00A60DDE" w14:paraId="1216CA7E" w14:textId="77777777">
        <w:trPr>
          <w:trHeight w:val="300"/>
          <w:jc w:val="center"/>
        </w:trPr>
        <w:tc>
          <w:tcPr>
            <w:tcW w:w="1134" w:type="dxa"/>
            <w:shd w:val="clear" w:color="auto" w:fill="C6EFCE"/>
            <w:hideMark/>
          </w:tcPr>
          <w:p w14:paraId="1216CA7A" w14:textId="77777777" w:rsidR="00A60DDE" w:rsidRDefault="00095506">
            <w:pPr>
              <w:pStyle w:val="P68B1DB1-Normal85"/>
              <w:spacing w:line="240" w:lineRule="auto"/>
              <w:ind w:right="45"/>
              <w:jc w:val="center"/>
              <w:rPr>
                <w:noProof/>
              </w:rPr>
            </w:pPr>
            <w:r>
              <w:rPr>
                <w:noProof/>
              </w:rPr>
              <w:t>E9L</w:t>
            </w:r>
          </w:p>
        </w:tc>
        <w:tc>
          <w:tcPr>
            <w:tcW w:w="3402" w:type="dxa"/>
            <w:shd w:val="clear" w:color="auto" w:fill="C6EFCE"/>
            <w:hideMark/>
          </w:tcPr>
          <w:p w14:paraId="1216CA7B" w14:textId="77777777" w:rsidR="00A60DDE" w:rsidRDefault="00095506">
            <w:pPr>
              <w:pStyle w:val="P68B1DB1-Normal85"/>
              <w:spacing w:line="240" w:lineRule="auto"/>
              <w:ind w:right="45"/>
              <w:rPr>
                <w:noProof/>
              </w:rPr>
            </w:pPr>
            <w:r>
              <w:rPr>
                <w:noProof/>
              </w:rPr>
              <w:t>E3.1.1 Mecanismul de sprijinire a unei economii cu emisii scăzute de dioxid de carbon</w:t>
            </w:r>
          </w:p>
        </w:tc>
        <w:tc>
          <w:tcPr>
            <w:tcW w:w="1134" w:type="dxa"/>
            <w:shd w:val="clear" w:color="auto" w:fill="C6EFCE"/>
            <w:hideMark/>
          </w:tcPr>
          <w:p w14:paraId="1216CA7C" w14:textId="77777777" w:rsidR="00A60DDE" w:rsidRDefault="00095506">
            <w:pPr>
              <w:pStyle w:val="P68B1DB1-Normal85"/>
              <w:spacing w:line="240" w:lineRule="auto"/>
              <w:ind w:right="45"/>
              <w:jc w:val="center"/>
              <w:rPr>
                <w:noProof/>
              </w:rPr>
            </w:pPr>
            <w:r>
              <w:rPr>
                <w:noProof/>
              </w:rPr>
              <w:t>Etapa de referință</w:t>
            </w:r>
          </w:p>
        </w:tc>
        <w:tc>
          <w:tcPr>
            <w:tcW w:w="3827" w:type="dxa"/>
            <w:shd w:val="clear" w:color="auto" w:fill="C6EFCE"/>
            <w:hideMark/>
          </w:tcPr>
          <w:p w14:paraId="1216CA7D" w14:textId="77777777" w:rsidR="00A60DDE" w:rsidRDefault="00095506">
            <w:pPr>
              <w:pStyle w:val="P68B1DB1-Normal87"/>
              <w:spacing w:line="240" w:lineRule="auto"/>
              <w:ind w:right="45"/>
              <w:rPr>
                <w:noProof/>
              </w:rPr>
            </w:pPr>
            <w:r>
              <w:rPr>
                <w:noProof/>
              </w:rPr>
              <w:t>Semnarea acordurilor de finanțare</w:t>
            </w:r>
          </w:p>
        </w:tc>
      </w:tr>
      <w:tr w:rsidR="00A60DDE" w14:paraId="1216CA83" w14:textId="77777777">
        <w:trPr>
          <w:trHeight w:val="300"/>
          <w:jc w:val="center"/>
        </w:trPr>
        <w:tc>
          <w:tcPr>
            <w:tcW w:w="1134" w:type="dxa"/>
            <w:shd w:val="clear" w:color="auto" w:fill="C6EFCE"/>
            <w:hideMark/>
          </w:tcPr>
          <w:p w14:paraId="1216CA7F"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G10L </w:t>
            </w:r>
          </w:p>
        </w:tc>
        <w:tc>
          <w:tcPr>
            <w:tcW w:w="3402" w:type="dxa"/>
            <w:shd w:val="clear" w:color="auto" w:fill="C6EFCE"/>
            <w:hideMark/>
          </w:tcPr>
          <w:p w14:paraId="1216CA80" w14:textId="77777777" w:rsidR="00A60DDE" w:rsidRDefault="00095506">
            <w:pPr>
              <w:pStyle w:val="P68B1DB1-Normal85"/>
              <w:spacing w:line="240" w:lineRule="auto"/>
              <w:textAlignment w:val="baseline"/>
              <w:rPr>
                <w:rFonts w:eastAsia="Times New Roman" w:cs="Times New Roman"/>
                <w:noProof/>
              </w:rPr>
            </w:pPr>
            <w:r>
              <w:rPr>
                <w:noProof/>
              </w:rPr>
              <w:t>G3.1.2 Competențe pentru tranziția verde</w:t>
            </w:r>
          </w:p>
        </w:tc>
        <w:tc>
          <w:tcPr>
            <w:tcW w:w="1134" w:type="dxa"/>
            <w:shd w:val="clear" w:color="auto" w:fill="C6EFCE"/>
            <w:hideMark/>
          </w:tcPr>
          <w:p w14:paraId="1216CA81" w14:textId="77777777" w:rsidR="00A60DDE" w:rsidRDefault="00095506">
            <w:pPr>
              <w:pStyle w:val="P68B1DB1-Normal85"/>
              <w:spacing w:line="240" w:lineRule="auto"/>
              <w:ind w:left="75"/>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82" w14:textId="77777777" w:rsidR="00A60DDE" w:rsidRDefault="00095506">
            <w:pPr>
              <w:pStyle w:val="P68B1DB1-Normal87"/>
              <w:spacing w:line="240" w:lineRule="auto"/>
              <w:textAlignment w:val="baseline"/>
              <w:rPr>
                <w:noProof/>
              </w:rPr>
            </w:pPr>
            <w:r>
              <w:rPr>
                <w:noProof/>
              </w:rPr>
              <w:t>Cadre sectoriale de calificare pentru construcții, energie, gestionarea apei și gestionarea deșeurilor încorporate în Sistemul Integrat de Calificări</w:t>
            </w:r>
          </w:p>
        </w:tc>
      </w:tr>
      <w:tr w:rsidR="00A60DDE" w14:paraId="1216CA88" w14:textId="77777777">
        <w:trPr>
          <w:trHeight w:val="300"/>
          <w:jc w:val="center"/>
        </w:trPr>
        <w:tc>
          <w:tcPr>
            <w:tcW w:w="1134" w:type="dxa"/>
            <w:shd w:val="clear" w:color="auto" w:fill="C6EFCE"/>
          </w:tcPr>
          <w:p w14:paraId="1216CA84" w14:textId="77777777" w:rsidR="00A60DDE" w:rsidRDefault="00095506">
            <w:pPr>
              <w:pStyle w:val="P68B1DB1-Normal85"/>
              <w:spacing w:line="240" w:lineRule="auto"/>
              <w:jc w:val="center"/>
              <w:textAlignment w:val="baseline"/>
              <w:rPr>
                <w:noProof/>
              </w:rPr>
            </w:pPr>
            <w:r>
              <w:rPr>
                <w:noProof/>
              </w:rPr>
              <w:t xml:space="preserve">G14L </w:t>
            </w:r>
          </w:p>
        </w:tc>
        <w:tc>
          <w:tcPr>
            <w:tcW w:w="3402" w:type="dxa"/>
            <w:shd w:val="clear" w:color="auto" w:fill="C6EFCE"/>
          </w:tcPr>
          <w:p w14:paraId="1216CA85" w14:textId="77777777" w:rsidR="00A60DDE" w:rsidRDefault="00095506">
            <w:pPr>
              <w:pStyle w:val="P68B1DB1-Normal85"/>
              <w:spacing w:line="240" w:lineRule="auto"/>
              <w:textAlignment w:val="baseline"/>
              <w:rPr>
                <w:noProof/>
              </w:rPr>
            </w:pPr>
            <w:r>
              <w:rPr>
                <w:noProof/>
              </w:rPr>
              <w:t>G3.1.4 Sprijin pentru sistemul energetic național (Fondul de sprijin pentru energie)</w:t>
            </w:r>
          </w:p>
        </w:tc>
        <w:tc>
          <w:tcPr>
            <w:tcW w:w="1134" w:type="dxa"/>
            <w:shd w:val="clear" w:color="auto" w:fill="C6EFCE"/>
          </w:tcPr>
          <w:p w14:paraId="1216CA86" w14:textId="77777777" w:rsidR="00A60DDE" w:rsidRDefault="00095506">
            <w:pPr>
              <w:pStyle w:val="P68B1DB1-Normal85"/>
              <w:spacing w:line="240" w:lineRule="auto"/>
              <w:ind w:left="75"/>
              <w:jc w:val="center"/>
              <w:textAlignment w:val="baseline"/>
              <w:rPr>
                <w:noProof/>
              </w:rPr>
            </w:pPr>
            <w:r>
              <w:rPr>
                <w:noProof/>
              </w:rPr>
              <w:t>Țintă</w:t>
            </w:r>
          </w:p>
        </w:tc>
        <w:tc>
          <w:tcPr>
            <w:tcW w:w="3827" w:type="dxa"/>
            <w:shd w:val="clear" w:color="auto" w:fill="C6EFCE"/>
          </w:tcPr>
          <w:p w14:paraId="1216CA87" w14:textId="77777777" w:rsidR="00A60DDE" w:rsidRDefault="00095506">
            <w:pPr>
              <w:pStyle w:val="P68B1DB1-Normal85"/>
              <w:spacing w:line="240" w:lineRule="auto"/>
              <w:textAlignment w:val="baseline"/>
              <w:rPr>
                <w:noProof/>
              </w:rPr>
            </w:pPr>
            <w:r>
              <w:rPr>
                <w:noProof/>
              </w:rPr>
              <w:t>Acorduri juridice semnate cu beneficiarii finali</w:t>
            </w:r>
          </w:p>
        </w:tc>
      </w:tr>
      <w:tr w:rsidR="00A60DDE" w14:paraId="1216CA8D" w14:textId="77777777">
        <w:trPr>
          <w:trHeight w:val="300"/>
          <w:jc w:val="center"/>
        </w:trPr>
        <w:tc>
          <w:tcPr>
            <w:tcW w:w="1134" w:type="dxa"/>
            <w:shd w:val="clear" w:color="auto" w:fill="C6EFCE"/>
          </w:tcPr>
          <w:p w14:paraId="1216CA89" w14:textId="77777777" w:rsidR="00A60DDE" w:rsidRDefault="00095506">
            <w:pPr>
              <w:pStyle w:val="P68B1DB1-Normal85"/>
              <w:spacing w:line="240" w:lineRule="auto"/>
              <w:jc w:val="center"/>
              <w:textAlignment w:val="baseline"/>
              <w:rPr>
                <w:noProof/>
              </w:rPr>
            </w:pPr>
            <w:r>
              <w:rPr>
                <w:noProof/>
              </w:rPr>
              <w:t xml:space="preserve">G24L </w:t>
            </w:r>
          </w:p>
        </w:tc>
        <w:tc>
          <w:tcPr>
            <w:tcW w:w="3402" w:type="dxa"/>
            <w:shd w:val="clear" w:color="auto" w:fill="C6EFCE"/>
          </w:tcPr>
          <w:p w14:paraId="1216CA8A" w14:textId="77777777" w:rsidR="00A60DDE" w:rsidRDefault="00095506">
            <w:pPr>
              <w:pStyle w:val="P68B1DB1-Normal85"/>
              <w:spacing w:line="240" w:lineRule="auto"/>
              <w:textAlignment w:val="baseline"/>
              <w:rPr>
                <w:noProof/>
              </w:rPr>
            </w:pPr>
            <w:r>
              <w:rPr>
                <w:noProof/>
              </w:rPr>
              <w:t>G3.3.1 Sisteme de stocare a energiei (sprijin rambursabil)</w:t>
            </w:r>
          </w:p>
        </w:tc>
        <w:tc>
          <w:tcPr>
            <w:tcW w:w="1134" w:type="dxa"/>
            <w:shd w:val="clear" w:color="auto" w:fill="C6EFCE"/>
          </w:tcPr>
          <w:p w14:paraId="1216CA8B" w14:textId="77777777" w:rsidR="00A60DDE" w:rsidRDefault="00095506">
            <w:pPr>
              <w:pStyle w:val="P68B1DB1-Normal85"/>
              <w:spacing w:line="240" w:lineRule="auto"/>
              <w:ind w:left="75"/>
              <w:jc w:val="center"/>
              <w:textAlignment w:val="baseline"/>
              <w:rPr>
                <w:noProof/>
              </w:rPr>
            </w:pPr>
            <w:r>
              <w:rPr>
                <w:noProof/>
              </w:rPr>
              <w:t>Etapa de referință</w:t>
            </w:r>
          </w:p>
        </w:tc>
        <w:tc>
          <w:tcPr>
            <w:tcW w:w="3827" w:type="dxa"/>
            <w:shd w:val="clear" w:color="auto" w:fill="C6EFCE"/>
          </w:tcPr>
          <w:p w14:paraId="1216CA8C" w14:textId="77777777" w:rsidR="00A60DDE" w:rsidRDefault="00095506">
            <w:pPr>
              <w:pStyle w:val="P68B1DB1-Normal85"/>
              <w:spacing w:line="240" w:lineRule="auto"/>
              <w:textAlignment w:val="baseline"/>
              <w:rPr>
                <w:noProof/>
              </w:rPr>
            </w:pPr>
            <w:r>
              <w:rPr>
                <w:noProof/>
              </w:rPr>
              <w:t>Modernizarea instalațiilor de acumulare prin pompare existente</w:t>
            </w:r>
          </w:p>
        </w:tc>
      </w:tr>
      <w:tr w:rsidR="00A60DDE" w14:paraId="1216CA92" w14:textId="77777777">
        <w:trPr>
          <w:trHeight w:val="300"/>
          <w:jc w:val="center"/>
        </w:trPr>
        <w:tc>
          <w:tcPr>
            <w:tcW w:w="1134" w:type="dxa"/>
            <w:shd w:val="clear" w:color="auto" w:fill="C6EFCE"/>
            <w:hideMark/>
          </w:tcPr>
          <w:p w14:paraId="1216CA8E" w14:textId="77777777" w:rsidR="00A60DDE" w:rsidRDefault="00095506">
            <w:pPr>
              <w:pStyle w:val="P68B1DB1-Normal85"/>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8F" w14:textId="77777777" w:rsidR="00A60DDE" w:rsidRDefault="00095506">
            <w:pPr>
              <w:pStyle w:val="P68B1DB1-Normal85"/>
              <w:spacing w:line="240" w:lineRule="auto"/>
              <w:textAlignment w:val="baseline"/>
              <w:rPr>
                <w:rFonts w:eastAsia="Times New Roman" w:cs="Times New Roman"/>
                <w:noProof/>
              </w:rPr>
            </w:pPr>
            <w:r>
              <w:rPr>
                <w:noProof/>
              </w:rPr>
              <w:t xml:space="preserve"> </w:t>
            </w:r>
          </w:p>
        </w:tc>
        <w:tc>
          <w:tcPr>
            <w:tcW w:w="1134" w:type="dxa"/>
            <w:shd w:val="clear" w:color="auto" w:fill="C6EFCE"/>
            <w:hideMark/>
          </w:tcPr>
          <w:p w14:paraId="1216CA90" w14:textId="77777777" w:rsidR="00A60DDE" w:rsidRDefault="00095506">
            <w:pPr>
              <w:pStyle w:val="P68B1DB1-Normal85"/>
              <w:spacing w:line="240" w:lineRule="auto"/>
              <w:jc w:val="center"/>
              <w:textAlignment w:val="baseline"/>
              <w:rPr>
                <w:rFonts w:eastAsia="Times New Roman" w:cs="Times New Roman"/>
                <w:noProof/>
              </w:rPr>
            </w:pPr>
            <w:r>
              <w:rPr>
                <w:noProof/>
              </w:rPr>
              <w:t>Valoarea tranșei</w:t>
            </w:r>
          </w:p>
        </w:tc>
        <w:tc>
          <w:tcPr>
            <w:tcW w:w="3827" w:type="dxa"/>
            <w:shd w:val="clear" w:color="auto" w:fill="C6EFCE"/>
            <w:hideMark/>
          </w:tcPr>
          <w:p w14:paraId="1216CA91" w14:textId="7C8A5AA1" w:rsidR="00A60DDE" w:rsidRDefault="00095506">
            <w:pPr>
              <w:pStyle w:val="P68B1DB1-Normal85"/>
              <w:spacing w:line="240" w:lineRule="auto"/>
              <w:textAlignment w:val="baseline"/>
              <w:rPr>
                <w:rFonts w:eastAsia="Times New Roman" w:cs="Times New Roman"/>
                <w:noProof/>
                <w:u w:val="single"/>
              </w:rPr>
            </w:pPr>
            <w:r>
              <w:rPr>
                <w:noProof/>
              </w:rPr>
              <w:t>4 659 813 429 EUR</w:t>
            </w:r>
          </w:p>
        </w:tc>
      </w:tr>
    </w:tbl>
    <w:p w14:paraId="1216CA93" w14:textId="77777777" w:rsidR="00A60DDE" w:rsidRDefault="00A60DDE">
      <w:pPr>
        <w:spacing w:line="240" w:lineRule="auto"/>
        <w:textAlignment w:val="baseline"/>
        <w:rPr>
          <w:rFonts w:ascii="Segoe UI" w:eastAsia="Times New Roman" w:hAnsi="Segoe UI" w:cs="Segoe UI"/>
          <w:noProof/>
          <w:sz w:val="18"/>
          <w:szCs w:val="18"/>
        </w:rPr>
      </w:pPr>
    </w:p>
    <w:p w14:paraId="1216CA94" w14:textId="19DA2E4C" w:rsidR="00A60DDE" w:rsidRDefault="00095506">
      <w:pPr>
        <w:pStyle w:val="P68B1DB1-Normal85"/>
        <w:spacing w:line="240" w:lineRule="auto"/>
        <w:textAlignment w:val="baseline"/>
        <w:rPr>
          <w:rFonts w:ascii="Segoe UI" w:eastAsia="Times New Roman" w:hAnsi="Segoe UI" w:cs="Segoe UI"/>
          <w:noProof/>
          <w:sz w:val="18"/>
          <w:szCs w:val="18"/>
        </w:rPr>
      </w:pPr>
      <w:r>
        <w:rPr>
          <w:noProof/>
        </w:rPr>
        <w:t>2.2.9. A noua tranșă (sprijin rambursabil):</w:t>
      </w:r>
    </w:p>
    <w:tbl>
      <w:tblPr>
        <w:tblW w:w="9497"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A60DDE" w14:paraId="1216CA99" w14:textId="77777777">
        <w:trPr>
          <w:trHeight w:val="300"/>
          <w:tblHeader/>
          <w:jc w:val="center"/>
        </w:trPr>
        <w:tc>
          <w:tcPr>
            <w:tcW w:w="1134" w:type="dxa"/>
            <w:shd w:val="clear" w:color="auto" w:fill="C6D9F1" w:themeFill="text2" w:themeFillTint="33"/>
          </w:tcPr>
          <w:p w14:paraId="1216CA95"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tcPr>
          <w:p w14:paraId="1216CA96"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Măsură conexă (reformă sau investiție)</w:t>
            </w:r>
          </w:p>
        </w:tc>
        <w:tc>
          <w:tcPr>
            <w:tcW w:w="1134" w:type="dxa"/>
            <w:shd w:val="clear" w:color="auto" w:fill="C6D9F1" w:themeFill="text2" w:themeFillTint="33"/>
          </w:tcPr>
          <w:p w14:paraId="1216CA97" w14:textId="77777777" w:rsidR="00A60DDE" w:rsidRDefault="00095506">
            <w:pPr>
              <w:pStyle w:val="P68B1DB1-Normal99"/>
              <w:spacing w:line="240" w:lineRule="auto"/>
              <w:ind w:left="15"/>
              <w:jc w:val="center"/>
              <w:textAlignment w:val="baseline"/>
              <w:rPr>
                <w:rFonts w:eastAsia="Times New Roman" w:cs="Times New Roman"/>
                <w:noProof/>
                <w:sz w:val="24"/>
                <w:szCs w:val="24"/>
              </w:rPr>
            </w:pPr>
            <w:r>
              <w:rPr>
                <w:noProof/>
              </w:rPr>
              <w:t>Etapa/ținta</w:t>
            </w:r>
          </w:p>
        </w:tc>
        <w:tc>
          <w:tcPr>
            <w:tcW w:w="3827" w:type="dxa"/>
            <w:shd w:val="clear" w:color="auto" w:fill="C6D9F1" w:themeFill="text2" w:themeFillTint="33"/>
          </w:tcPr>
          <w:p w14:paraId="1216CA98" w14:textId="77777777" w:rsidR="00A60DDE" w:rsidRDefault="00095506">
            <w:pPr>
              <w:pStyle w:val="P68B1DB1-Normal99"/>
              <w:spacing w:line="240" w:lineRule="auto"/>
              <w:jc w:val="center"/>
              <w:textAlignment w:val="baseline"/>
              <w:rPr>
                <w:rFonts w:eastAsia="Times New Roman" w:cs="Times New Roman"/>
                <w:noProof/>
                <w:sz w:val="24"/>
                <w:szCs w:val="24"/>
              </w:rPr>
            </w:pPr>
            <w:r>
              <w:rPr>
                <w:noProof/>
              </w:rPr>
              <w:t>Denumire</w:t>
            </w:r>
          </w:p>
        </w:tc>
      </w:tr>
      <w:tr w:rsidR="00A60DDE" w14:paraId="1216CA9E" w14:textId="77777777">
        <w:trPr>
          <w:trHeight w:val="300"/>
          <w:jc w:val="center"/>
        </w:trPr>
        <w:tc>
          <w:tcPr>
            <w:tcW w:w="1134" w:type="dxa"/>
            <w:shd w:val="clear" w:color="auto" w:fill="C6EFCE"/>
            <w:hideMark/>
          </w:tcPr>
          <w:p w14:paraId="1216CA9A"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A11L </w:t>
            </w:r>
          </w:p>
        </w:tc>
        <w:tc>
          <w:tcPr>
            <w:tcW w:w="3402" w:type="dxa"/>
            <w:shd w:val="clear" w:color="auto" w:fill="C6EFCE"/>
            <w:hideMark/>
          </w:tcPr>
          <w:p w14:paraId="1216CA9B" w14:textId="77777777" w:rsidR="00A60DDE" w:rsidRDefault="00095506">
            <w:pPr>
              <w:pStyle w:val="P68B1DB1-Normal85"/>
              <w:spacing w:line="240" w:lineRule="auto"/>
              <w:textAlignment w:val="baseline"/>
              <w:rPr>
                <w:rFonts w:eastAsia="Times New Roman" w:cs="Times New Roman"/>
                <w:noProof/>
              </w:rPr>
            </w:pPr>
            <w:r>
              <w:rPr>
                <w:noProof/>
              </w:rPr>
              <w:t>A2.6.1 Investiții în Sistemul național de informații prin satelit (NSIS) și în sateliți</w:t>
            </w:r>
          </w:p>
        </w:tc>
        <w:tc>
          <w:tcPr>
            <w:tcW w:w="1134" w:type="dxa"/>
            <w:shd w:val="clear" w:color="auto" w:fill="C6EFCE"/>
            <w:hideMark/>
          </w:tcPr>
          <w:p w14:paraId="1216CA9C" w14:textId="77777777" w:rsidR="00A60DDE" w:rsidRDefault="00095506">
            <w:pPr>
              <w:pStyle w:val="P68B1DB1-Normal85"/>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9D" w14:textId="77777777" w:rsidR="00A60DDE" w:rsidRDefault="00095506">
            <w:pPr>
              <w:pStyle w:val="P68B1DB1-Normal87"/>
              <w:spacing w:line="240" w:lineRule="auto"/>
              <w:textAlignment w:val="baseline"/>
              <w:rPr>
                <w:noProof/>
              </w:rPr>
            </w:pPr>
            <w:r>
              <w:rPr>
                <w:noProof/>
              </w:rPr>
              <w:t>Construcția a patru sateliți</w:t>
            </w:r>
          </w:p>
        </w:tc>
      </w:tr>
      <w:tr w:rsidR="00A60DDE" w14:paraId="1216CAA3" w14:textId="77777777">
        <w:trPr>
          <w:trHeight w:val="300"/>
          <w:jc w:val="center"/>
        </w:trPr>
        <w:tc>
          <w:tcPr>
            <w:tcW w:w="1134" w:type="dxa"/>
            <w:shd w:val="clear" w:color="auto" w:fill="C6EFCE"/>
            <w:hideMark/>
          </w:tcPr>
          <w:p w14:paraId="1216CA9F" w14:textId="77777777" w:rsidR="00A60DDE" w:rsidRDefault="00095506">
            <w:pPr>
              <w:pStyle w:val="P68B1DB1-Normal85"/>
              <w:spacing w:line="240" w:lineRule="auto"/>
              <w:jc w:val="center"/>
              <w:textAlignment w:val="baseline"/>
              <w:rPr>
                <w:rFonts w:eastAsia="Times New Roman" w:cs="Times New Roman"/>
                <w:noProof/>
              </w:rPr>
            </w:pPr>
            <w:r>
              <w:rPr>
                <w:noProof/>
              </w:rPr>
              <w:t>A14L </w:t>
            </w:r>
          </w:p>
        </w:tc>
        <w:tc>
          <w:tcPr>
            <w:tcW w:w="3402" w:type="dxa"/>
            <w:shd w:val="clear" w:color="auto" w:fill="C6EFCE"/>
            <w:hideMark/>
          </w:tcPr>
          <w:p w14:paraId="1216CAA0" w14:textId="77777777" w:rsidR="00A60DDE" w:rsidRDefault="00095506">
            <w:pPr>
              <w:pStyle w:val="P68B1DB1-Normal85"/>
              <w:spacing w:line="240" w:lineRule="auto"/>
              <w:textAlignment w:val="baseline"/>
              <w:rPr>
                <w:rFonts w:eastAsia="Times New Roman" w:cs="Times New Roman"/>
                <w:noProof/>
              </w:rPr>
            </w:pPr>
            <w:r>
              <w:rPr>
                <w:noProof/>
              </w:rPr>
              <w:t>A2.7.1 Fondul pentru securitate și apărare</w:t>
            </w:r>
          </w:p>
        </w:tc>
        <w:tc>
          <w:tcPr>
            <w:tcW w:w="1134" w:type="dxa"/>
            <w:shd w:val="clear" w:color="auto" w:fill="C6EFCE"/>
            <w:hideMark/>
          </w:tcPr>
          <w:p w14:paraId="1216CAA1" w14:textId="77777777" w:rsidR="00A60DDE" w:rsidRDefault="00095506">
            <w:pPr>
              <w:pStyle w:val="P68B1DB1-Normal85"/>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A2" w14:textId="77777777" w:rsidR="00A60DDE" w:rsidRDefault="00095506">
            <w:pPr>
              <w:pStyle w:val="P68B1DB1-Normal87"/>
              <w:spacing w:line="240" w:lineRule="auto"/>
              <w:textAlignment w:val="baseline"/>
              <w:rPr>
                <w:noProof/>
              </w:rPr>
            </w:pPr>
            <w:r>
              <w:rPr>
                <w:noProof/>
              </w:rPr>
              <w:t>Injecție de capital</w:t>
            </w:r>
          </w:p>
        </w:tc>
      </w:tr>
      <w:tr w:rsidR="00A60DDE" w14:paraId="1216CAA8" w14:textId="77777777">
        <w:trPr>
          <w:trHeight w:val="300"/>
          <w:jc w:val="center"/>
        </w:trPr>
        <w:tc>
          <w:tcPr>
            <w:tcW w:w="1134" w:type="dxa"/>
            <w:shd w:val="clear" w:color="auto" w:fill="C6EFCE"/>
            <w:hideMark/>
          </w:tcPr>
          <w:p w14:paraId="1216CAA4"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B16L </w:t>
            </w:r>
          </w:p>
        </w:tc>
        <w:tc>
          <w:tcPr>
            <w:tcW w:w="3402" w:type="dxa"/>
            <w:shd w:val="clear" w:color="auto" w:fill="C6EFCE"/>
            <w:hideMark/>
          </w:tcPr>
          <w:p w14:paraId="1216CAA5" w14:textId="77777777" w:rsidR="00A60DDE" w:rsidRDefault="00095506">
            <w:pPr>
              <w:pStyle w:val="P68B1DB1-Normal85"/>
              <w:spacing w:line="240" w:lineRule="auto"/>
              <w:textAlignment w:val="baseline"/>
              <w:rPr>
                <w:rFonts w:eastAsia="Times New Roman" w:cs="Times New Roman"/>
                <w:noProof/>
              </w:rPr>
            </w:pPr>
            <w:r>
              <w:rPr>
                <w:noProof/>
              </w:rPr>
              <w:t> B3.2.1 Investiții în neutralizarea riscurilor și refacerea siturilor terestre și offshore</w:t>
            </w:r>
          </w:p>
        </w:tc>
        <w:tc>
          <w:tcPr>
            <w:tcW w:w="1134" w:type="dxa"/>
            <w:shd w:val="clear" w:color="auto" w:fill="C6EFCE"/>
            <w:hideMark/>
          </w:tcPr>
          <w:p w14:paraId="1216CAA6" w14:textId="77777777" w:rsidR="00A60DDE" w:rsidRDefault="00095506">
            <w:pPr>
              <w:pStyle w:val="P68B1DB1-Normal85"/>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A7" w14:textId="77777777" w:rsidR="00A60DDE" w:rsidRDefault="00095506">
            <w:pPr>
              <w:pStyle w:val="P68B1DB1-Normal87"/>
              <w:spacing w:line="240" w:lineRule="auto"/>
              <w:textAlignment w:val="baseline"/>
              <w:rPr>
                <w:noProof/>
              </w:rPr>
            </w:pPr>
            <w:r>
              <w:rPr>
                <w:noProof/>
              </w:rPr>
              <w:t>Documentația pentru investițiile legate de siturile terestre și offshore care sunt expuse la prezența poluanților sau a substanțelor periculoase</w:t>
            </w:r>
          </w:p>
        </w:tc>
      </w:tr>
      <w:tr w:rsidR="00A60DDE" w14:paraId="1216CAAD" w14:textId="77777777">
        <w:trPr>
          <w:trHeight w:val="465"/>
          <w:jc w:val="center"/>
        </w:trPr>
        <w:tc>
          <w:tcPr>
            <w:tcW w:w="1134" w:type="dxa"/>
            <w:shd w:val="clear" w:color="auto" w:fill="C6EFCE"/>
            <w:hideMark/>
          </w:tcPr>
          <w:p w14:paraId="1216CAA9" w14:textId="77777777" w:rsidR="00A60DDE" w:rsidRDefault="00095506">
            <w:pPr>
              <w:pStyle w:val="P68B1DB1-Normal85"/>
              <w:spacing w:line="240" w:lineRule="auto"/>
              <w:jc w:val="center"/>
              <w:textAlignment w:val="baseline"/>
              <w:rPr>
                <w:rFonts w:eastAsia="Times New Roman" w:cs="Times New Roman"/>
                <w:noProof/>
              </w:rPr>
            </w:pPr>
            <w:r>
              <w:rPr>
                <w:noProof/>
              </w:rPr>
              <w:t>B27aL</w:t>
            </w:r>
            <w:r>
              <w:rPr>
                <w:b/>
                <w:noProof/>
              </w:rPr>
              <w:t xml:space="preserve"> </w:t>
            </w:r>
          </w:p>
        </w:tc>
        <w:tc>
          <w:tcPr>
            <w:tcW w:w="3402" w:type="dxa"/>
            <w:shd w:val="clear" w:color="auto" w:fill="C6EFCE"/>
            <w:hideMark/>
          </w:tcPr>
          <w:p w14:paraId="1216CAAA" w14:textId="77777777" w:rsidR="00A60DDE" w:rsidRDefault="00095506">
            <w:pPr>
              <w:pStyle w:val="P68B1DB1-Normal85"/>
              <w:spacing w:line="240" w:lineRule="auto"/>
              <w:textAlignment w:val="baseline"/>
              <w:rPr>
                <w:rFonts w:eastAsia="Times New Roman" w:cs="Times New Roman"/>
                <w:noProof/>
              </w:rPr>
            </w:pPr>
            <w:r>
              <w:rPr>
                <w:noProof/>
              </w:rPr>
              <w:t>B3.4.1 Investiții într-o transformare ecologică a orașelor</w:t>
            </w:r>
          </w:p>
        </w:tc>
        <w:tc>
          <w:tcPr>
            <w:tcW w:w="1134" w:type="dxa"/>
            <w:shd w:val="clear" w:color="auto" w:fill="C6EFCE"/>
            <w:hideMark/>
          </w:tcPr>
          <w:p w14:paraId="1216CAAB" w14:textId="77777777" w:rsidR="00A60DDE" w:rsidRDefault="00095506">
            <w:pPr>
              <w:pStyle w:val="P68B1DB1-Normal85"/>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AC" w14:textId="046020A3" w:rsidR="00A60DDE" w:rsidRDefault="00095506">
            <w:pPr>
              <w:pStyle w:val="P68B1DB1-Normal87"/>
              <w:spacing w:line="240" w:lineRule="auto"/>
              <w:textAlignment w:val="baseline"/>
              <w:rPr>
                <w:noProof/>
              </w:rPr>
            </w:pPr>
            <w:r>
              <w:rPr>
                <w:noProof/>
              </w:rPr>
              <w:t>T2 – Investiții în tranziția verde</w:t>
            </w:r>
          </w:p>
        </w:tc>
      </w:tr>
      <w:tr w:rsidR="00A60DDE" w14:paraId="1216CAB2" w14:textId="77777777">
        <w:trPr>
          <w:trHeight w:val="300"/>
          <w:jc w:val="center"/>
        </w:trPr>
        <w:tc>
          <w:tcPr>
            <w:tcW w:w="1134" w:type="dxa"/>
            <w:shd w:val="clear" w:color="auto" w:fill="C6EFCE"/>
            <w:hideMark/>
          </w:tcPr>
          <w:p w14:paraId="1216CAAE"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B30L </w:t>
            </w:r>
          </w:p>
        </w:tc>
        <w:tc>
          <w:tcPr>
            <w:tcW w:w="3402" w:type="dxa"/>
            <w:shd w:val="clear" w:color="auto" w:fill="C6EFCE"/>
            <w:hideMark/>
          </w:tcPr>
          <w:p w14:paraId="1216CAAF" w14:textId="79082FA0" w:rsidR="00A60DDE" w:rsidRDefault="00095506">
            <w:pPr>
              <w:pStyle w:val="P68B1DB1-Normal85"/>
              <w:spacing w:line="240" w:lineRule="auto"/>
              <w:textAlignment w:val="baseline"/>
              <w:rPr>
                <w:rFonts w:eastAsia="Times New Roman" w:cs="Times New Roman"/>
                <w:noProof/>
              </w:rPr>
            </w:pPr>
            <w:r>
              <w:rPr>
                <w:noProof/>
              </w:rPr>
              <w:t>B3.5.1 Investiții în proiecte locative</w:t>
            </w:r>
          </w:p>
        </w:tc>
        <w:tc>
          <w:tcPr>
            <w:tcW w:w="1134" w:type="dxa"/>
            <w:shd w:val="clear" w:color="auto" w:fill="C6EFCE"/>
            <w:hideMark/>
          </w:tcPr>
          <w:p w14:paraId="1216CAB0" w14:textId="77777777" w:rsidR="00A60DDE" w:rsidRDefault="00095506">
            <w:pPr>
              <w:pStyle w:val="P68B1DB1-Normal85"/>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B1" w14:textId="77777777" w:rsidR="00A60DDE" w:rsidRDefault="00095506">
            <w:pPr>
              <w:pStyle w:val="P68B1DB1-Normal87"/>
              <w:spacing w:line="240" w:lineRule="auto"/>
              <w:textAlignment w:val="baseline"/>
              <w:rPr>
                <w:noProof/>
              </w:rPr>
            </w:pPr>
            <w:r>
              <w:rPr>
                <w:noProof/>
              </w:rPr>
              <w:t>Construcția sau renovarea clădirilor</w:t>
            </w:r>
          </w:p>
        </w:tc>
      </w:tr>
      <w:tr w:rsidR="00A60DDE" w14:paraId="1216CAB7" w14:textId="77777777">
        <w:trPr>
          <w:trHeight w:val="300"/>
          <w:jc w:val="center"/>
        </w:trPr>
        <w:tc>
          <w:tcPr>
            <w:tcW w:w="1134" w:type="dxa"/>
            <w:shd w:val="clear" w:color="auto" w:fill="C6EFCE"/>
          </w:tcPr>
          <w:p w14:paraId="1216CAB3" w14:textId="77777777" w:rsidR="00A60DDE" w:rsidRDefault="00095506">
            <w:pPr>
              <w:pStyle w:val="P68B1DB1-Normal85"/>
              <w:spacing w:line="240" w:lineRule="auto"/>
              <w:jc w:val="center"/>
              <w:rPr>
                <w:noProof/>
              </w:rPr>
            </w:pPr>
            <w:r>
              <w:rPr>
                <w:noProof/>
              </w:rPr>
              <w:t>C12L</w:t>
            </w:r>
          </w:p>
        </w:tc>
        <w:tc>
          <w:tcPr>
            <w:tcW w:w="3402" w:type="dxa"/>
            <w:shd w:val="clear" w:color="auto" w:fill="C6EFCE"/>
          </w:tcPr>
          <w:p w14:paraId="1216CAB4" w14:textId="77777777" w:rsidR="00A60DDE" w:rsidRDefault="00095506">
            <w:pPr>
              <w:pStyle w:val="P68B1DB1-Normal85"/>
              <w:spacing w:line="240" w:lineRule="auto"/>
              <w:rPr>
                <w:rFonts w:eastAsia="Times New Roman" w:cs="Times New Roman"/>
                <w:noProof/>
              </w:rPr>
            </w:pPr>
            <w:r>
              <w:rPr>
                <w:noProof/>
              </w:rPr>
              <w:t>C2.2.1 Tehnologiile digitale în predare</w:t>
            </w:r>
          </w:p>
        </w:tc>
        <w:tc>
          <w:tcPr>
            <w:tcW w:w="1134" w:type="dxa"/>
            <w:shd w:val="clear" w:color="auto" w:fill="C6EFCE"/>
          </w:tcPr>
          <w:p w14:paraId="1216CAB5" w14:textId="77777777" w:rsidR="00A60DDE" w:rsidRDefault="00095506">
            <w:pPr>
              <w:pStyle w:val="P68B1DB1-Normal85"/>
              <w:spacing w:line="240" w:lineRule="auto"/>
              <w:jc w:val="center"/>
              <w:rPr>
                <w:noProof/>
              </w:rPr>
            </w:pPr>
            <w:r>
              <w:rPr>
                <w:noProof/>
              </w:rPr>
              <w:t>Țintă</w:t>
            </w:r>
          </w:p>
        </w:tc>
        <w:tc>
          <w:tcPr>
            <w:tcW w:w="3827" w:type="dxa"/>
            <w:shd w:val="clear" w:color="auto" w:fill="C6EFCE"/>
          </w:tcPr>
          <w:p w14:paraId="1216CAB6" w14:textId="2643D90D" w:rsidR="00A60DDE" w:rsidRDefault="00095506">
            <w:pPr>
              <w:pStyle w:val="P68B1DB1-Normal87"/>
              <w:spacing w:line="240" w:lineRule="auto"/>
              <w:rPr>
                <w:noProof/>
              </w:rPr>
            </w:pPr>
            <w:r>
              <w:rPr>
                <w:noProof/>
              </w:rPr>
              <w:t>Furnizare de kituri TIC („Zestaw”)</w:t>
            </w:r>
          </w:p>
        </w:tc>
      </w:tr>
      <w:tr w:rsidR="00A60DDE" w14:paraId="1216CABC" w14:textId="77777777">
        <w:trPr>
          <w:trHeight w:val="300"/>
          <w:jc w:val="center"/>
        </w:trPr>
        <w:tc>
          <w:tcPr>
            <w:tcW w:w="1134" w:type="dxa"/>
            <w:shd w:val="clear" w:color="auto" w:fill="C6EFCE"/>
          </w:tcPr>
          <w:p w14:paraId="1216CAB8" w14:textId="77777777" w:rsidR="00A60DDE" w:rsidRDefault="00095506">
            <w:pPr>
              <w:pStyle w:val="P68B1DB1-Normal85"/>
              <w:spacing w:line="240" w:lineRule="auto"/>
              <w:jc w:val="center"/>
              <w:textAlignment w:val="baseline"/>
              <w:rPr>
                <w:noProof/>
              </w:rPr>
            </w:pPr>
            <w:r>
              <w:rPr>
                <w:noProof/>
              </w:rPr>
              <w:t xml:space="preserve">C13L </w:t>
            </w:r>
          </w:p>
        </w:tc>
        <w:tc>
          <w:tcPr>
            <w:tcW w:w="3402" w:type="dxa"/>
            <w:shd w:val="clear" w:color="auto" w:fill="C6EFCE"/>
          </w:tcPr>
          <w:p w14:paraId="1216CAB9" w14:textId="77777777" w:rsidR="00A60DDE" w:rsidRDefault="00095506">
            <w:pPr>
              <w:pStyle w:val="P68B1DB1-Normal85"/>
              <w:spacing w:line="240" w:lineRule="auto"/>
              <w:textAlignment w:val="baseline"/>
              <w:rPr>
                <w:rFonts w:eastAsia="Times New Roman" w:cs="Times New Roman"/>
                <w:noProof/>
              </w:rPr>
            </w:pPr>
            <w:r>
              <w:rPr>
                <w:noProof/>
              </w:rPr>
              <w:t>C2.2.1 Tehnologiile digitale în predare</w:t>
            </w:r>
          </w:p>
        </w:tc>
        <w:tc>
          <w:tcPr>
            <w:tcW w:w="1134" w:type="dxa"/>
            <w:shd w:val="clear" w:color="auto" w:fill="C6EFCE"/>
          </w:tcPr>
          <w:p w14:paraId="1216CABA" w14:textId="77777777" w:rsidR="00A60DDE" w:rsidRDefault="00095506">
            <w:pPr>
              <w:pStyle w:val="P68B1DB1-Normal85"/>
              <w:spacing w:line="240" w:lineRule="auto"/>
              <w:jc w:val="center"/>
              <w:textAlignment w:val="baseline"/>
              <w:rPr>
                <w:noProof/>
              </w:rPr>
            </w:pPr>
            <w:r>
              <w:rPr>
                <w:noProof/>
              </w:rPr>
              <w:t>Țintă</w:t>
            </w:r>
          </w:p>
        </w:tc>
        <w:tc>
          <w:tcPr>
            <w:tcW w:w="3827" w:type="dxa"/>
            <w:shd w:val="clear" w:color="auto" w:fill="C6EFCE"/>
          </w:tcPr>
          <w:p w14:paraId="1216CABB" w14:textId="0748988F" w:rsidR="00A60DDE" w:rsidRDefault="00095506">
            <w:pPr>
              <w:pStyle w:val="P68B1DB1-Normal87"/>
              <w:spacing w:line="240" w:lineRule="auto"/>
              <w:textAlignment w:val="baseline"/>
              <w:rPr>
                <w:noProof/>
              </w:rPr>
            </w:pPr>
            <w:r>
              <w:rPr>
                <w:noProof/>
              </w:rPr>
              <w:t>Laboratoarele de inteligență artificială (IA) („Zestaw”) livrate</w:t>
            </w:r>
          </w:p>
        </w:tc>
      </w:tr>
      <w:tr w:rsidR="00A60DDE" w14:paraId="7562B4A2" w14:textId="77777777">
        <w:trPr>
          <w:trHeight w:val="300"/>
          <w:jc w:val="center"/>
        </w:trPr>
        <w:tc>
          <w:tcPr>
            <w:tcW w:w="1134" w:type="dxa"/>
            <w:shd w:val="clear" w:color="auto" w:fill="C6EFCE"/>
          </w:tcPr>
          <w:p w14:paraId="17BF5789" w14:textId="025E0894" w:rsidR="00A60DDE" w:rsidRDefault="00095506">
            <w:pPr>
              <w:pStyle w:val="P68B1DB1-Normal85"/>
              <w:spacing w:line="240" w:lineRule="auto"/>
              <w:jc w:val="center"/>
              <w:rPr>
                <w:rFonts w:eastAsia="Times New Roman" w:cs="Times New Roman"/>
                <w:noProof/>
              </w:rPr>
            </w:pPr>
            <w:r>
              <w:rPr>
                <w:noProof/>
              </w:rPr>
              <w:t>C17L</w:t>
            </w:r>
          </w:p>
        </w:tc>
        <w:tc>
          <w:tcPr>
            <w:tcW w:w="3402" w:type="dxa"/>
            <w:shd w:val="clear" w:color="auto" w:fill="C6EFCE"/>
          </w:tcPr>
          <w:p w14:paraId="228DD101" w14:textId="4EA07261" w:rsidR="00A60DDE" w:rsidRDefault="00095506">
            <w:pPr>
              <w:pStyle w:val="P68B1DB1-Normal85"/>
              <w:spacing w:line="240" w:lineRule="auto"/>
              <w:rPr>
                <w:rFonts w:eastAsia="Times New Roman" w:cs="Times New Roman"/>
                <w:noProof/>
              </w:rPr>
            </w:pPr>
            <w:r>
              <w:rPr>
                <w:noProof/>
              </w:rPr>
              <w:t>C4.1.1 Sprijin pentru transformarea digitală avansată</w:t>
            </w:r>
          </w:p>
        </w:tc>
        <w:tc>
          <w:tcPr>
            <w:tcW w:w="1134" w:type="dxa"/>
            <w:shd w:val="clear" w:color="auto" w:fill="C6EFCE"/>
          </w:tcPr>
          <w:p w14:paraId="3597C99D" w14:textId="5E30663F" w:rsidR="00A60DDE" w:rsidRDefault="00095506">
            <w:pPr>
              <w:pStyle w:val="P68B1DB1-Normal85"/>
              <w:spacing w:line="240" w:lineRule="auto"/>
              <w:jc w:val="center"/>
              <w:rPr>
                <w:rFonts w:eastAsia="Times New Roman" w:cs="Times New Roman"/>
                <w:noProof/>
              </w:rPr>
            </w:pPr>
            <w:r>
              <w:rPr>
                <w:noProof/>
              </w:rPr>
              <w:t>Țintă</w:t>
            </w:r>
          </w:p>
        </w:tc>
        <w:tc>
          <w:tcPr>
            <w:tcW w:w="3827" w:type="dxa"/>
            <w:shd w:val="clear" w:color="auto" w:fill="C6EFCE"/>
          </w:tcPr>
          <w:p w14:paraId="1B1E52FF" w14:textId="44130A23" w:rsidR="00A60DDE" w:rsidRDefault="00095506">
            <w:pPr>
              <w:pStyle w:val="P68B1DB1-Normal85"/>
              <w:spacing w:line="240" w:lineRule="auto"/>
              <w:rPr>
                <w:rFonts w:eastAsia="Times New Roman" w:cs="Times New Roman"/>
                <w:noProof/>
              </w:rPr>
            </w:pPr>
            <w:r>
              <w:rPr>
                <w:noProof/>
              </w:rPr>
              <w:t>Acorduri juridice semnate cu beneficiarii finali</w:t>
            </w:r>
          </w:p>
        </w:tc>
      </w:tr>
      <w:tr w:rsidR="00A60DDE" w14:paraId="40D687D7" w14:textId="77777777">
        <w:trPr>
          <w:trHeight w:val="300"/>
          <w:jc w:val="center"/>
        </w:trPr>
        <w:tc>
          <w:tcPr>
            <w:tcW w:w="1134" w:type="dxa"/>
            <w:shd w:val="clear" w:color="auto" w:fill="C6EFCE"/>
          </w:tcPr>
          <w:p w14:paraId="170C3911" w14:textId="4890089A" w:rsidR="00A60DDE" w:rsidRDefault="00095506">
            <w:pPr>
              <w:pStyle w:val="P68B1DB1-Normal85"/>
              <w:spacing w:line="240" w:lineRule="auto"/>
              <w:jc w:val="center"/>
              <w:rPr>
                <w:rFonts w:eastAsia="Times New Roman" w:cs="Times New Roman"/>
                <w:noProof/>
              </w:rPr>
            </w:pPr>
            <w:r>
              <w:rPr>
                <w:noProof/>
              </w:rPr>
              <w:t>C18L</w:t>
            </w:r>
          </w:p>
        </w:tc>
        <w:tc>
          <w:tcPr>
            <w:tcW w:w="3402" w:type="dxa"/>
            <w:shd w:val="clear" w:color="auto" w:fill="C6EFCE"/>
          </w:tcPr>
          <w:p w14:paraId="4AF5F972" w14:textId="2C5DFB18" w:rsidR="00A60DDE" w:rsidRDefault="00095506">
            <w:pPr>
              <w:pStyle w:val="P68B1DB1-Normal85"/>
              <w:spacing w:line="240" w:lineRule="auto"/>
              <w:rPr>
                <w:rFonts w:eastAsia="Times New Roman" w:cs="Times New Roman"/>
                <w:noProof/>
              </w:rPr>
            </w:pPr>
            <w:r>
              <w:rPr>
                <w:noProof/>
              </w:rPr>
              <w:t>C4.1.1 Sprijin pentru transformarea digitală avansată</w:t>
            </w:r>
          </w:p>
        </w:tc>
        <w:tc>
          <w:tcPr>
            <w:tcW w:w="1134" w:type="dxa"/>
            <w:shd w:val="clear" w:color="auto" w:fill="C6EFCE"/>
          </w:tcPr>
          <w:p w14:paraId="596F7410" w14:textId="62A354C6" w:rsidR="00A60DDE" w:rsidRDefault="00095506">
            <w:pPr>
              <w:pStyle w:val="P68B1DB1-Normal85"/>
              <w:spacing w:line="240" w:lineRule="auto"/>
              <w:jc w:val="center"/>
              <w:rPr>
                <w:rFonts w:eastAsia="Times New Roman" w:cs="Times New Roman"/>
                <w:noProof/>
              </w:rPr>
            </w:pPr>
            <w:r>
              <w:rPr>
                <w:noProof/>
              </w:rPr>
              <w:t>Etapa de referință</w:t>
            </w:r>
          </w:p>
        </w:tc>
        <w:tc>
          <w:tcPr>
            <w:tcW w:w="3827" w:type="dxa"/>
            <w:shd w:val="clear" w:color="auto" w:fill="C6EFCE"/>
          </w:tcPr>
          <w:p w14:paraId="23C46800" w14:textId="6924EA97" w:rsidR="00A60DDE" w:rsidRDefault="00095506">
            <w:pPr>
              <w:pStyle w:val="P68B1DB1-Normal85"/>
              <w:spacing w:line="240" w:lineRule="auto"/>
              <w:rPr>
                <w:rFonts w:eastAsia="Times New Roman" w:cs="Times New Roman"/>
                <w:noProof/>
              </w:rPr>
            </w:pPr>
            <w:r>
              <w:rPr>
                <w:noProof/>
              </w:rPr>
              <w:t>Ministerul a finalizat investiția</w:t>
            </w:r>
          </w:p>
        </w:tc>
      </w:tr>
      <w:tr w:rsidR="00A60DDE" w14:paraId="1216CAC6" w14:textId="77777777">
        <w:trPr>
          <w:trHeight w:val="300"/>
          <w:jc w:val="center"/>
        </w:trPr>
        <w:tc>
          <w:tcPr>
            <w:tcW w:w="1134" w:type="dxa"/>
            <w:shd w:val="clear" w:color="auto" w:fill="C6EFCE"/>
            <w:hideMark/>
          </w:tcPr>
          <w:p w14:paraId="1216CAC2" w14:textId="77777777" w:rsidR="00A60DDE" w:rsidRDefault="00095506">
            <w:pPr>
              <w:pStyle w:val="P68B1DB1-Normal87"/>
              <w:spacing w:line="240" w:lineRule="auto"/>
              <w:jc w:val="center"/>
              <w:rPr>
                <w:noProof/>
              </w:rPr>
            </w:pPr>
            <w:r>
              <w:rPr>
                <w:noProof/>
              </w:rPr>
              <w:t>E10L</w:t>
            </w:r>
          </w:p>
        </w:tc>
        <w:tc>
          <w:tcPr>
            <w:tcW w:w="3402" w:type="dxa"/>
            <w:shd w:val="clear" w:color="auto" w:fill="C6EFCE"/>
            <w:hideMark/>
          </w:tcPr>
          <w:p w14:paraId="1216CAC3" w14:textId="427FCC55" w:rsidR="00A60DDE" w:rsidRDefault="00095506">
            <w:pPr>
              <w:pStyle w:val="P68B1DB1-Normal87"/>
              <w:spacing w:line="240" w:lineRule="auto"/>
              <w:rPr>
                <w:noProof/>
              </w:rPr>
            </w:pPr>
            <w:r>
              <w:rPr>
                <w:noProof/>
              </w:rPr>
              <w:t xml:space="preserve">E3.1.1 Mecanismul de sprijinire a unei economii cu emisii scăzute de dioxid de carbon </w:t>
            </w:r>
          </w:p>
        </w:tc>
        <w:tc>
          <w:tcPr>
            <w:tcW w:w="1134" w:type="dxa"/>
            <w:shd w:val="clear" w:color="auto" w:fill="C6EFCE"/>
            <w:hideMark/>
          </w:tcPr>
          <w:p w14:paraId="1216CAC4" w14:textId="77777777" w:rsidR="00A60DDE" w:rsidRDefault="00095506">
            <w:pPr>
              <w:pStyle w:val="P68B1DB1-Normal87"/>
              <w:spacing w:line="240" w:lineRule="auto"/>
              <w:jc w:val="center"/>
              <w:rPr>
                <w:noProof/>
              </w:rPr>
            </w:pPr>
            <w:r>
              <w:rPr>
                <w:noProof/>
              </w:rPr>
              <w:t>Etapa de referință</w:t>
            </w:r>
          </w:p>
        </w:tc>
        <w:tc>
          <w:tcPr>
            <w:tcW w:w="3827" w:type="dxa"/>
            <w:shd w:val="clear" w:color="auto" w:fill="C6EFCE"/>
            <w:hideMark/>
          </w:tcPr>
          <w:p w14:paraId="1216CAC5" w14:textId="0582794F" w:rsidR="00A60DDE" w:rsidRDefault="00095506">
            <w:pPr>
              <w:pStyle w:val="P68B1DB1-Normal87"/>
              <w:spacing w:line="240" w:lineRule="auto"/>
              <w:rPr>
                <w:noProof/>
              </w:rPr>
            </w:pPr>
            <w:r>
              <w:rPr>
                <w:noProof/>
              </w:rPr>
              <w:t xml:space="preserve">Finalizarea investițiilor de capital </w:t>
            </w:r>
          </w:p>
        </w:tc>
      </w:tr>
      <w:tr w:rsidR="00A60DDE" w14:paraId="1216CACB" w14:textId="77777777">
        <w:trPr>
          <w:trHeight w:val="300"/>
          <w:jc w:val="center"/>
        </w:trPr>
        <w:tc>
          <w:tcPr>
            <w:tcW w:w="1134" w:type="dxa"/>
            <w:shd w:val="clear" w:color="auto" w:fill="C6EFCE"/>
            <w:hideMark/>
          </w:tcPr>
          <w:p w14:paraId="1216CAC7"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G5L </w:t>
            </w:r>
          </w:p>
        </w:tc>
        <w:tc>
          <w:tcPr>
            <w:tcW w:w="3402" w:type="dxa"/>
            <w:shd w:val="clear" w:color="auto" w:fill="C6EFCE"/>
            <w:hideMark/>
          </w:tcPr>
          <w:p w14:paraId="1216CAC8" w14:textId="77777777" w:rsidR="00A60DDE" w:rsidRDefault="00095506">
            <w:pPr>
              <w:pStyle w:val="P68B1DB1-Normal85"/>
              <w:spacing w:line="240" w:lineRule="auto"/>
              <w:textAlignment w:val="baseline"/>
              <w:rPr>
                <w:rFonts w:eastAsia="Times New Roman" w:cs="Times New Roman"/>
                <w:noProof/>
              </w:rPr>
            </w:pPr>
            <w:r>
              <w:rPr>
                <w:noProof/>
              </w:rPr>
              <w:t>G3.1.1 Raționalizarea procesului de autorizare pentru sursele regenerabile de energie</w:t>
            </w:r>
          </w:p>
        </w:tc>
        <w:tc>
          <w:tcPr>
            <w:tcW w:w="1134" w:type="dxa"/>
            <w:shd w:val="clear" w:color="auto" w:fill="C6EFCE"/>
            <w:hideMark/>
          </w:tcPr>
          <w:p w14:paraId="1216CAC9" w14:textId="77777777" w:rsidR="00A60DDE" w:rsidRDefault="00095506">
            <w:pPr>
              <w:pStyle w:val="P68B1DB1-Normal85"/>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CA" w14:textId="68A6B745" w:rsidR="00A60DDE" w:rsidRDefault="00095506">
            <w:pPr>
              <w:pStyle w:val="P68B1DB1-Normal87"/>
              <w:spacing w:line="240" w:lineRule="auto"/>
              <w:textAlignment w:val="baseline"/>
              <w:rPr>
                <w:noProof/>
              </w:rPr>
            </w:pPr>
            <w:r>
              <w:rPr>
                <w:noProof/>
              </w:rPr>
              <w:t>Intrarea în vigoare a unei rezoluții de aprobare a finanțării unei platforme informatice pentru procedurile de autorizare a instalațiilor de energie din surse regenerabile</w:t>
            </w:r>
          </w:p>
        </w:tc>
      </w:tr>
      <w:tr w:rsidR="00A60DDE" w14:paraId="1216CAD0" w14:textId="77777777">
        <w:trPr>
          <w:trHeight w:val="300"/>
          <w:jc w:val="center"/>
        </w:trPr>
        <w:tc>
          <w:tcPr>
            <w:tcW w:w="1134" w:type="dxa"/>
            <w:shd w:val="clear" w:color="auto" w:fill="C6EFCE"/>
            <w:hideMark/>
          </w:tcPr>
          <w:p w14:paraId="1216CACC"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G15L </w:t>
            </w:r>
          </w:p>
        </w:tc>
        <w:tc>
          <w:tcPr>
            <w:tcW w:w="3402" w:type="dxa"/>
            <w:shd w:val="clear" w:color="auto" w:fill="C6EFCE"/>
            <w:hideMark/>
          </w:tcPr>
          <w:p w14:paraId="1216CACD" w14:textId="77777777" w:rsidR="00A60DDE" w:rsidRDefault="00095506">
            <w:pPr>
              <w:pStyle w:val="P68B1DB1-Normal85"/>
              <w:spacing w:line="240" w:lineRule="auto"/>
              <w:textAlignment w:val="baseline"/>
              <w:rPr>
                <w:rFonts w:eastAsia="Times New Roman" w:cs="Times New Roman"/>
                <w:noProof/>
              </w:rPr>
            </w:pPr>
            <w:r>
              <w:rPr>
                <w:noProof/>
              </w:rPr>
              <w:t>G3.1.4 Sprijin pentru sistemul energetic național (Fondul de sprijin pentru energie)</w:t>
            </w:r>
          </w:p>
        </w:tc>
        <w:tc>
          <w:tcPr>
            <w:tcW w:w="1134" w:type="dxa"/>
            <w:shd w:val="clear" w:color="auto" w:fill="C6EFCE"/>
            <w:hideMark/>
          </w:tcPr>
          <w:p w14:paraId="1216CACE" w14:textId="77777777" w:rsidR="00A60DDE" w:rsidRDefault="00095506">
            <w:pPr>
              <w:pStyle w:val="P68B1DB1-Normal85"/>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CF" w14:textId="77777777" w:rsidR="00A60DDE" w:rsidRDefault="00095506">
            <w:pPr>
              <w:pStyle w:val="P68B1DB1-Normal87"/>
              <w:spacing w:line="240" w:lineRule="auto"/>
              <w:textAlignment w:val="baseline"/>
              <w:rPr>
                <w:noProof/>
              </w:rPr>
            </w:pPr>
            <w:r>
              <w:rPr>
                <w:noProof/>
              </w:rPr>
              <w:t>Ministerul a finalizat investiția</w:t>
            </w:r>
          </w:p>
        </w:tc>
      </w:tr>
      <w:tr w:rsidR="00A60DDE" w14:paraId="1216CAD5" w14:textId="77777777">
        <w:trPr>
          <w:trHeight w:val="300"/>
          <w:jc w:val="center"/>
        </w:trPr>
        <w:tc>
          <w:tcPr>
            <w:tcW w:w="1134" w:type="dxa"/>
            <w:shd w:val="clear" w:color="auto" w:fill="C6EFCE"/>
            <w:hideMark/>
          </w:tcPr>
          <w:p w14:paraId="1216CAD1" w14:textId="77777777" w:rsidR="00A60DDE" w:rsidRDefault="00095506">
            <w:pPr>
              <w:pStyle w:val="P68B1DB1-Normal85"/>
              <w:spacing w:line="240" w:lineRule="auto"/>
              <w:jc w:val="center"/>
              <w:textAlignment w:val="baseline"/>
              <w:rPr>
                <w:rFonts w:eastAsia="Times New Roman" w:cs="Times New Roman"/>
                <w:noProof/>
              </w:rPr>
            </w:pPr>
            <w:r>
              <w:rPr>
                <w:noProof/>
              </w:rPr>
              <w:t xml:space="preserve">G23L </w:t>
            </w:r>
          </w:p>
        </w:tc>
        <w:tc>
          <w:tcPr>
            <w:tcW w:w="3402" w:type="dxa"/>
            <w:shd w:val="clear" w:color="auto" w:fill="C6EFCE"/>
            <w:hideMark/>
          </w:tcPr>
          <w:p w14:paraId="1216CAD2" w14:textId="77777777" w:rsidR="00A60DDE" w:rsidRDefault="00095506">
            <w:pPr>
              <w:pStyle w:val="P68B1DB1-Normal85"/>
              <w:spacing w:line="240" w:lineRule="auto"/>
              <w:textAlignment w:val="baseline"/>
              <w:rPr>
                <w:rFonts w:eastAsia="Times New Roman" w:cs="Times New Roman"/>
                <w:noProof/>
              </w:rPr>
            </w:pPr>
            <w:r>
              <w:rPr>
                <w:noProof/>
              </w:rPr>
              <w:t> G3.2.1 Construirea infrastructurii de gaze naturale pentru a asigura securitatea energetică</w:t>
            </w:r>
          </w:p>
        </w:tc>
        <w:tc>
          <w:tcPr>
            <w:tcW w:w="1134" w:type="dxa"/>
            <w:shd w:val="clear" w:color="auto" w:fill="C6EFCE"/>
            <w:hideMark/>
          </w:tcPr>
          <w:p w14:paraId="1216CAD3" w14:textId="77777777" w:rsidR="00A60DDE" w:rsidRDefault="00095506">
            <w:pPr>
              <w:pStyle w:val="P68B1DB1-Normal85"/>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D4" w14:textId="77777777" w:rsidR="00A60DDE" w:rsidRDefault="00095506">
            <w:pPr>
              <w:pStyle w:val="P68B1DB1-Normal87"/>
              <w:spacing w:line="240" w:lineRule="auto"/>
              <w:textAlignment w:val="baseline"/>
              <w:rPr>
                <w:noProof/>
              </w:rPr>
            </w:pPr>
            <w:r>
              <w:rPr>
                <w:noProof/>
              </w:rPr>
              <w:t>Construcția conductei de gaz</w:t>
            </w:r>
          </w:p>
        </w:tc>
      </w:tr>
      <w:tr w:rsidR="00A60DDE" w14:paraId="1216CADA" w14:textId="77777777">
        <w:trPr>
          <w:trHeight w:val="300"/>
          <w:jc w:val="center"/>
        </w:trPr>
        <w:tc>
          <w:tcPr>
            <w:tcW w:w="1134" w:type="dxa"/>
            <w:shd w:val="clear" w:color="auto" w:fill="C6EFCE"/>
            <w:hideMark/>
          </w:tcPr>
          <w:p w14:paraId="1216CAD6"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D7" w14:textId="77777777" w:rsidR="00A60DDE" w:rsidRDefault="00095506">
            <w:pPr>
              <w:pStyle w:val="P68B1DB1-Normal85"/>
              <w:spacing w:line="240" w:lineRule="auto"/>
              <w:textAlignment w:val="baseline"/>
              <w:rPr>
                <w:rFonts w:eastAsia="Times New Roman" w:cs="Times New Roman"/>
                <w:noProof/>
                <w:sz w:val="24"/>
                <w:szCs w:val="24"/>
              </w:rPr>
            </w:pPr>
            <w:r>
              <w:rPr>
                <w:noProof/>
              </w:rPr>
              <w:t xml:space="preserve"> </w:t>
            </w:r>
          </w:p>
        </w:tc>
        <w:tc>
          <w:tcPr>
            <w:tcW w:w="1134" w:type="dxa"/>
            <w:shd w:val="clear" w:color="auto" w:fill="C6EFCE"/>
            <w:hideMark/>
          </w:tcPr>
          <w:p w14:paraId="1216CAD8" w14:textId="77777777" w:rsidR="00A60DDE" w:rsidRDefault="00095506">
            <w:pPr>
              <w:pStyle w:val="P68B1DB1-Normal85"/>
              <w:spacing w:line="240" w:lineRule="auto"/>
              <w:jc w:val="center"/>
              <w:textAlignment w:val="baseline"/>
              <w:rPr>
                <w:rFonts w:eastAsia="Times New Roman" w:cs="Times New Roman"/>
                <w:noProof/>
                <w:sz w:val="24"/>
                <w:szCs w:val="24"/>
              </w:rPr>
            </w:pPr>
            <w:r>
              <w:rPr>
                <w:noProof/>
              </w:rPr>
              <w:t>Valoarea tranșei</w:t>
            </w:r>
          </w:p>
        </w:tc>
        <w:tc>
          <w:tcPr>
            <w:tcW w:w="3827" w:type="dxa"/>
            <w:shd w:val="clear" w:color="auto" w:fill="C6EFCE"/>
            <w:hideMark/>
          </w:tcPr>
          <w:p w14:paraId="1216CAD9" w14:textId="2AF43CD0" w:rsidR="00A60DDE" w:rsidRDefault="00095506">
            <w:pPr>
              <w:pStyle w:val="P68B1DB1-Normal85"/>
              <w:spacing w:line="240" w:lineRule="auto"/>
              <w:textAlignment w:val="baseline"/>
              <w:rPr>
                <w:rFonts w:eastAsia="Times New Roman" w:cs="Times New Roman"/>
                <w:noProof/>
                <w:u w:val="single"/>
              </w:rPr>
            </w:pPr>
            <w:r>
              <w:rPr>
                <w:noProof/>
              </w:rPr>
              <w:t>7 148 195 959 EUR</w:t>
            </w:r>
          </w:p>
        </w:tc>
      </w:tr>
    </w:tbl>
    <w:p w14:paraId="1216CADB" w14:textId="77777777" w:rsidR="00A60DDE" w:rsidRDefault="00A60DDE">
      <w:pPr>
        <w:pStyle w:val="Heading1"/>
        <w:spacing w:before="73" w:after="0"/>
        <w:ind w:left="0" w:firstLine="0"/>
        <w:rPr>
          <w:noProof/>
        </w:rPr>
        <w:sectPr w:rsidR="00A60DDE" w:rsidSect="006C5441">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299"/>
        </w:sectPr>
      </w:pPr>
    </w:p>
    <w:p w14:paraId="1216CADC" w14:textId="77777777" w:rsidR="00A60DDE" w:rsidRDefault="00095506">
      <w:pPr>
        <w:pStyle w:val="Heading1"/>
        <w:spacing w:before="73" w:after="0"/>
        <w:ind w:left="0" w:firstLine="0"/>
        <w:rPr>
          <w:bCs/>
          <w:noProof/>
        </w:rPr>
      </w:pPr>
      <w:r>
        <w:rPr>
          <w:noProof/>
        </w:rPr>
        <w:t>Secțiunea 3: DISPOZIȚII SUPLIMENTARE</w:t>
      </w:r>
    </w:p>
    <w:p w14:paraId="1216CADD" w14:textId="77777777" w:rsidR="00A60DDE" w:rsidRDefault="00A60DDE">
      <w:pPr>
        <w:spacing w:after="0"/>
        <w:ind w:left="141" w:right="1132"/>
        <w:rPr>
          <w:rFonts w:ascii="Times New Roman" w:eastAsia="Times New Roman" w:hAnsi="Times New Roman" w:cs="Times New Roman"/>
          <w:b/>
          <w:bCs/>
          <w:noProof/>
          <w:sz w:val="24"/>
          <w:szCs w:val="24"/>
        </w:rPr>
      </w:pPr>
    </w:p>
    <w:p w14:paraId="1216CADE" w14:textId="77777777" w:rsidR="00A60DDE" w:rsidRDefault="00095506">
      <w:pPr>
        <w:pStyle w:val="P68B1DB1-Normal13"/>
        <w:spacing w:before="120" w:after="0" w:line="240" w:lineRule="auto"/>
        <w:ind w:left="142" w:right="1132"/>
        <w:rPr>
          <w:bCs/>
          <w:noProof/>
        </w:rPr>
      </w:pPr>
      <w:r>
        <w:rPr>
          <w:noProof/>
        </w:rPr>
        <w:t>Modalități de monitorizare și punere în aplicare a planului de redresare și reziliență</w:t>
      </w:r>
    </w:p>
    <w:p w14:paraId="1216CADF" w14:textId="77777777" w:rsidR="00A60DDE" w:rsidRDefault="00095506">
      <w:pPr>
        <w:pStyle w:val="P68B1DB1-Normal15"/>
        <w:spacing w:before="120" w:after="0" w:line="240" w:lineRule="auto"/>
        <w:ind w:left="142" w:right="147"/>
        <w:jc w:val="both"/>
        <w:rPr>
          <w:noProof/>
        </w:rPr>
      </w:pPr>
      <w:r>
        <w:rPr>
          <w:noProof/>
        </w:rPr>
        <w:t>Monitorizarea și punerea în aplicare a planului de redresare și reziliență al Poloniei se efectuează în conformitate cu următoarele dispoziții:</w:t>
      </w:r>
    </w:p>
    <w:p w14:paraId="1216CAE0" w14:textId="77777777" w:rsidR="00A60DDE" w:rsidRDefault="00095506">
      <w:pPr>
        <w:pStyle w:val="P68B1DB1-Normal15"/>
        <w:spacing w:before="120" w:after="0" w:line="240" w:lineRule="auto"/>
        <w:ind w:left="142" w:right="136"/>
        <w:jc w:val="both"/>
        <w:rPr>
          <w:noProof/>
        </w:rPr>
      </w:pPr>
      <w:r>
        <w:rPr>
          <w:noProof/>
        </w:rPr>
        <w:t>Organismul responsabil cu coordonarea generală a punerii în aplicare și a monitorizării planului de redresare și reziliență este Ministerul Fondurilor și Politicii Regionale. Acest organism este, de asemenea, responsabil de întocmirea cererilor de plată, a declarațiilor de gestiune și a rezumatelor auditurilor și acționează, de asemenea, ca punct de legătură între Comisie și autoritățile poloneze. Instituțiile responsabile cu punerea în aplicare a reformelor și a investițiilor verifică conformitatea măsurilor puse în aplicare cu dreptul Uniunii și cu dreptul intern aplicabil și progresele înregistrate în atingerea jaloanelor și a țintelor definite la nivelul destinatarilor finali. Informațiile și rezultatele acestor verificări se transmit organismului de coordonare prin intermediul unui sistem informatic.</w:t>
      </w:r>
    </w:p>
    <w:p w14:paraId="1216CAE1" w14:textId="77777777" w:rsidR="00A60DDE" w:rsidRDefault="00095506">
      <w:pPr>
        <w:pStyle w:val="P68B1DB1-Normal15"/>
        <w:spacing w:before="120" w:after="0" w:line="240" w:lineRule="auto"/>
        <w:ind w:left="142" w:right="139"/>
        <w:jc w:val="both"/>
        <w:rPr>
          <w:noProof/>
        </w:rPr>
      </w:pPr>
      <w:r>
        <w:rPr>
          <w:noProof/>
        </w:rPr>
        <w:t>În plus, prin intermediul unui act legislativ se instituie un comitet de monitorizare format din părțile interesate și partenerii sociali implicați în punerea în aplicare a planului de redresare și reziliență. Comitetul de monitorizare supraveghează punerea în aplicare eficace a planului de redresare și reziliență. Actul legislativ include o dispoziție care prevede obligația legală de a consulta comitetul de monitorizare în cursul punerii în aplicare a planului de redresare și reziliență.</w:t>
      </w:r>
    </w:p>
    <w:p w14:paraId="1216CAE2" w14:textId="77777777" w:rsidR="00A60DDE" w:rsidRDefault="00095506">
      <w:pPr>
        <w:pStyle w:val="P68B1DB1-Normal15"/>
        <w:spacing w:before="120" w:after="0" w:line="240" w:lineRule="auto"/>
        <w:ind w:left="142" w:right="140"/>
        <w:jc w:val="both"/>
        <w:rPr>
          <w:noProof/>
        </w:rPr>
      </w:pPr>
      <w:r>
        <w:rPr>
          <w:noProof/>
        </w:rPr>
        <w:t>Auditurile sunt efectuate de Administrația Națională a Veniturilor, în special de Departamentul de Audit al Fondurilor Publice din cadrul Ministerului Finanțelor și de 16 camere ale administrației fiscale (birouri regionale) din țară. Acest organism de audit verifică punerea corectă în aplicare a reformelor și a investițiilor, atingerea jaloanelor și a țintelor definite, eficacitatea mecanismelor de prevenire, detectare și corectare a neregulilor grave, și anume a fraudei, a corupției și a conflictelor de interese, și evită dubla finanțare, precum și fiabilitatea și securitatea sistemului informatic.</w:t>
      </w:r>
    </w:p>
    <w:p w14:paraId="1216CAE3" w14:textId="77777777" w:rsidR="00A60DDE" w:rsidRDefault="00A60DDE">
      <w:pPr>
        <w:spacing w:before="120" w:after="0" w:line="240" w:lineRule="auto"/>
        <w:ind w:left="142"/>
        <w:rPr>
          <w:rFonts w:ascii="Times New Roman" w:eastAsia="Times New Roman" w:hAnsi="Times New Roman" w:cs="Times New Roman"/>
          <w:b/>
          <w:bCs/>
          <w:noProof/>
          <w:sz w:val="24"/>
          <w:szCs w:val="24"/>
        </w:rPr>
      </w:pPr>
    </w:p>
    <w:p w14:paraId="1216CAE4" w14:textId="77777777" w:rsidR="00A60DDE" w:rsidRDefault="00095506">
      <w:pPr>
        <w:pStyle w:val="P68B1DB1-Normal13"/>
        <w:spacing w:before="120" w:after="0" w:line="240" w:lineRule="auto"/>
        <w:ind w:left="142"/>
        <w:rPr>
          <w:bCs/>
          <w:noProof/>
        </w:rPr>
      </w:pPr>
      <w:r>
        <w:rPr>
          <w:noProof/>
        </w:rPr>
        <w:t>Modalități de asigurare a accesului deplin al Comisiei la datele subiacente</w:t>
      </w:r>
    </w:p>
    <w:p w14:paraId="1216CAE5" w14:textId="77777777" w:rsidR="00A60DDE" w:rsidRDefault="00095506">
      <w:pPr>
        <w:pStyle w:val="P68B1DB1-Normal15"/>
        <w:spacing w:before="120" w:after="0" w:line="240" w:lineRule="auto"/>
        <w:ind w:left="142" w:right="142"/>
        <w:jc w:val="both"/>
        <w:rPr>
          <w:noProof/>
        </w:rPr>
      </w:pPr>
      <w:r>
        <w:rPr>
          <w:noProof/>
        </w:rPr>
        <w:t>Ministerul Fondurilor și Politicii Regionale, în calitate de organism central de coordonare pentru planul de redresare și reziliență al Poloniei și pentru punerea în aplicare a acestuia, este responsabil de coordonarea și monitorizarea generală a planului. În special, acesta acționează ca organism de coordonare pentru monitorizarea progreselor înregistrate în ceea ce privește jaloanele și țintele și pentru furnizarea de rapoarte și cereri de plată. Acesta coordonează raportarea jaloanelor și a țintelor, a indicatorilor relevanți, dar și a informațiilor financiare calitative și a altor date, cum ar fi cele privind destinatarii finali. Codificarea datelor are loc într-un sistem informatic prin care instituțiile responsabile cu punerea în aplicare a reformelor și a investițiilor sunt obligate să raporteze Ministerului Fondurilor și Politicii Regionale.</w:t>
      </w:r>
    </w:p>
    <w:p w14:paraId="1216CAE6" w14:textId="77777777" w:rsidR="00A60DDE" w:rsidRDefault="00095506">
      <w:pPr>
        <w:pStyle w:val="P68B1DB1-Normal15"/>
        <w:spacing w:before="120" w:after="0" w:line="240" w:lineRule="auto"/>
        <w:ind w:left="142" w:right="141"/>
        <w:jc w:val="both"/>
        <w:rPr>
          <w:noProof/>
        </w:rPr>
      </w:pPr>
      <w:r>
        <w:rPr>
          <w:noProof/>
        </w:rPr>
        <w:t>În conformitate cu articolul 24 alineatul (2) din Regulamentul (UE) 2021/241, după îndeplinirea jaloanelor și a țintelor relevante convenite în secțiunea 2.1 din prezenta anexă, Polonia transmite Comisiei o cerere justificată în mod corespunzător de plată a contribuției financiare și, după caz, a împrumutului. Polonia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A60DDE">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02A88" w14:textId="77777777" w:rsidR="00282567" w:rsidRDefault="00282567">
      <w:r>
        <w:separator/>
      </w:r>
    </w:p>
  </w:endnote>
  <w:endnote w:type="continuationSeparator" w:id="0">
    <w:p w14:paraId="66FD96C0" w14:textId="77777777" w:rsidR="00282567" w:rsidRDefault="0028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EC Square Sans Pro">
    <w:altName w:val="Cambria"/>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47FB1" w14:textId="50E0F519" w:rsidR="00AA13FA" w:rsidRPr="00AA13FA" w:rsidRDefault="00AA13FA" w:rsidP="00AA13FA">
    <w:pPr>
      <w:pStyle w:val="FooterCoverPage"/>
      <w:rPr>
        <w:rFonts w:ascii="Arial" w:hAnsi="Arial" w:cs="Arial"/>
        <w:b/>
        <w:sz w:val="48"/>
      </w:rPr>
    </w:pPr>
    <w:r w:rsidRPr="00AA13FA">
      <w:rPr>
        <w:rFonts w:ascii="Arial" w:hAnsi="Arial" w:cs="Arial"/>
        <w:b/>
        <w:sz w:val="48"/>
      </w:rPr>
      <w:t>RO</w:t>
    </w:r>
    <w:r w:rsidRPr="00AA13FA">
      <w:rPr>
        <w:rFonts w:ascii="Arial" w:hAnsi="Arial" w:cs="Arial"/>
        <w:b/>
        <w:sz w:val="48"/>
      </w:rPr>
      <w:tab/>
    </w:r>
    <w:r w:rsidRPr="00AA13FA">
      <w:rPr>
        <w:rFonts w:ascii="Arial" w:hAnsi="Arial" w:cs="Arial"/>
        <w:b/>
        <w:sz w:val="48"/>
      </w:rPr>
      <w:tab/>
    </w:r>
    <w:r w:rsidRPr="00AA13FA">
      <w:tab/>
    </w:r>
    <w:r w:rsidRPr="00AA13F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B93E" w14:textId="5B1EAF69" w:rsidR="00AA13FA" w:rsidRPr="00AA13FA" w:rsidRDefault="00AA13FA" w:rsidP="00AA13FA">
    <w:pPr>
      <w:pStyle w:val="FooterCoverPage"/>
      <w:rPr>
        <w:rFonts w:ascii="Arial" w:hAnsi="Arial" w:cs="Arial"/>
        <w:b/>
        <w:sz w:val="48"/>
      </w:rPr>
    </w:pPr>
    <w:r w:rsidRPr="00AA13FA">
      <w:rPr>
        <w:rFonts w:ascii="Arial" w:hAnsi="Arial" w:cs="Arial"/>
        <w:b/>
        <w:sz w:val="48"/>
      </w:rPr>
      <w:t>RO</w:t>
    </w:r>
    <w:r w:rsidRPr="00AA13FA">
      <w:rPr>
        <w:rFonts w:ascii="Arial" w:hAnsi="Arial" w:cs="Arial"/>
        <w:b/>
        <w:sz w:val="48"/>
      </w:rPr>
      <w:tab/>
    </w:r>
    <w:r w:rsidRPr="00AA13FA">
      <w:rPr>
        <w:rFonts w:ascii="Arial" w:hAnsi="Arial" w:cs="Arial"/>
        <w:b/>
        <w:sz w:val="48"/>
      </w:rPr>
      <w:tab/>
    </w:r>
    <w:r w:rsidRPr="00AA13FA">
      <w:tab/>
    </w:r>
    <w:r w:rsidRPr="00AA13F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291AA" w14:textId="77777777" w:rsidR="00AA13FA" w:rsidRPr="00AA13FA" w:rsidRDefault="00AA13FA" w:rsidP="00AA13F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F0388" w14:textId="77777777" w:rsidR="00A60DDE" w:rsidRDefault="00A60D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2558043"/>
      <w:docPartObj>
        <w:docPartGallery w:val="Page Numbers (Bottom of Page)"/>
        <w:docPartUnique/>
      </w:docPartObj>
    </w:sdtPr>
    <w:sdtEndPr/>
    <w:sdtContent>
      <w:p w14:paraId="1211407E" w14:textId="747517C2" w:rsidR="00A60DDE" w:rsidRDefault="00095506">
        <w:pPr>
          <w:pStyle w:val="Footer"/>
          <w:jc w:val="center"/>
        </w:pPr>
        <w:r>
          <w:fldChar w:fldCharType="begin"/>
        </w:r>
        <w:r>
          <w:instrText xml:space="preserve"> PAGE   \* MERGEFORMAT </w:instrText>
        </w:r>
        <w:r>
          <w:fldChar w:fldCharType="separate"/>
        </w:r>
        <w:r w:rsidR="00AA13FA">
          <w:rPr>
            <w:noProof/>
          </w:rPr>
          <w:t>9</w:t>
        </w:r>
        <w:r>
          <w:fldChar w:fldCharType="end"/>
        </w:r>
      </w:p>
    </w:sdtContent>
  </w:sdt>
  <w:p w14:paraId="4918383C" w14:textId="77777777" w:rsidR="00A60DDE" w:rsidRDefault="00A60DD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7041" w14:textId="77777777" w:rsidR="00A60DDE" w:rsidRDefault="00A60DD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4" w14:textId="77777777" w:rsidR="00A60DDE" w:rsidRDefault="00A60D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82635410"/>
      <w:docPartObj>
        <w:docPartGallery w:val="Page Numbers (Bottom of Page)"/>
        <w:docPartUnique/>
      </w:docPartObj>
    </w:sdtPr>
    <w:sdtEndPr/>
    <w:sdtContent>
      <w:p w14:paraId="0B74F304" w14:textId="2A41561B" w:rsidR="00A60DDE" w:rsidRDefault="00095506">
        <w:pPr>
          <w:pStyle w:val="Footer"/>
          <w:jc w:val="center"/>
        </w:pPr>
        <w:r>
          <w:fldChar w:fldCharType="begin"/>
        </w:r>
        <w:r>
          <w:instrText xml:space="preserve"> PAGE   \* MERGEFORMAT </w:instrText>
        </w:r>
        <w:r>
          <w:fldChar w:fldCharType="separate"/>
        </w:r>
        <w:r w:rsidR="00051AAB">
          <w:rPr>
            <w:noProof/>
          </w:rPr>
          <w:t>14</w:t>
        </w:r>
        <w:r>
          <w:fldChar w:fldCharType="end"/>
        </w:r>
      </w:p>
    </w:sdtContent>
  </w:sdt>
  <w:p w14:paraId="31BAAED8" w14:textId="77777777" w:rsidR="00A60DDE" w:rsidRDefault="00A60D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6" w14:textId="77777777" w:rsidR="00A60DDE" w:rsidRDefault="00A60DD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8" w14:textId="77777777" w:rsidR="00A60DDE" w:rsidRDefault="00A60DD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1171449"/>
      <w:docPartObj>
        <w:docPartGallery w:val="Page Numbers (Bottom of Page)"/>
        <w:docPartUnique/>
      </w:docPartObj>
    </w:sdtPr>
    <w:sdtEndPr/>
    <w:sdtContent>
      <w:p w14:paraId="26E9E10E" w14:textId="5E518FAD"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1D5D3B7D" w14:textId="77777777" w:rsidR="00A60DDE" w:rsidRDefault="00A60DD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A" w14:textId="77777777" w:rsidR="00A60DDE" w:rsidRDefault="00A60DD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D" w14:textId="77777777" w:rsidR="00A60DDE" w:rsidRDefault="00A60DD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07228031"/>
      <w:docPartObj>
        <w:docPartGallery w:val="Page Numbers (Bottom of Page)"/>
        <w:docPartUnique/>
      </w:docPartObj>
    </w:sdtPr>
    <w:sdtEndPr/>
    <w:sdtContent>
      <w:p w14:paraId="15AC7BA2" w14:textId="0028F860"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62EBF3C5" w14:textId="1E22B868" w:rsidR="00A60DDE" w:rsidRDefault="00A60DD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C" w14:textId="77777777" w:rsidR="00A60DDE" w:rsidRDefault="00A60DD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F" w14:textId="77777777" w:rsidR="00A60DDE" w:rsidRDefault="00A60DD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61376780"/>
      <w:docPartObj>
        <w:docPartGallery w:val="Page Numbers (Bottom of Page)"/>
        <w:docPartUnique/>
      </w:docPartObj>
    </w:sdtPr>
    <w:sdtEndPr/>
    <w:sdtContent>
      <w:p w14:paraId="3914DC40" w14:textId="54584C00"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672A6659" w14:textId="77777777" w:rsidR="00A60DDE" w:rsidRDefault="00A60DD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E" w14:textId="77777777" w:rsidR="00A60DDE" w:rsidRDefault="00A60DD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1" w14:textId="77777777" w:rsidR="00A60DDE" w:rsidRDefault="00A60DD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694237838"/>
      <w:docPartObj>
        <w:docPartGallery w:val="Page Numbers (Bottom of Page)"/>
        <w:docPartUnique/>
      </w:docPartObj>
    </w:sdtPr>
    <w:sdtEndPr/>
    <w:sdtContent>
      <w:p w14:paraId="4784CF12" w14:textId="7B684C99"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3656B9AB" w14:textId="571B276F" w:rsidR="00A60DDE" w:rsidRDefault="00A60DD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0" w14:textId="77777777" w:rsidR="00A60DDE" w:rsidRDefault="00A60DD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3" w14:textId="77777777" w:rsidR="00A60DDE" w:rsidRDefault="00A60DD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70549749"/>
      <w:docPartObj>
        <w:docPartGallery w:val="Page Numbers (Bottom of Page)"/>
        <w:docPartUnique/>
      </w:docPartObj>
    </w:sdtPr>
    <w:sdtEndPr/>
    <w:sdtContent>
      <w:p w14:paraId="7FFB0035" w14:textId="74973CEE"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0A37501D" w14:textId="5D3CB471" w:rsidR="00A60DDE" w:rsidRDefault="00A60DD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2" w14:textId="77777777" w:rsidR="00A60DDE" w:rsidRDefault="00A60DD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5" w14:textId="77777777" w:rsidR="00A60DDE" w:rsidRDefault="00A60DD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13624848"/>
      <w:docPartObj>
        <w:docPartGallery w:val="Page Numbers (Bottom of Page)"/>
        <w:docPartUnique/>
      </w:docPartObj>
    </w:sdtPr>
    <w:sdtEndPr/>
    <w:sdtContent>
      <w:p w14:paraId="561713B7" w14:textId="63654466"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4DDBEF00" w14:textId="4777BC34" w:rsidR="00A60DDE" w:rsidRDefault="00A60DD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4" w14:textId="77777777" w:rsidR="00A60DDE" w:rsidRDefault="00A60DD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7" w14:textId="77777777" w:rsidR="00A60DDE" w:rsidRDefault="00A60DD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44959083"/>
      <w:docPartObj>
        <w:docPartGallery w:val="Page Numbers (Bottom of Page)"/>
        <w:docPartUnique/>
      </w:docPartObj>
    </w:sdtPr>
    <w:sdtEndPr/>
    <w:sdtContent>
      <w:p w14:paraId="6D335170" w14:textId="2916C692"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4B94D5A5" w14:textId="70CEEF78" w:rsidR="00A60DDE" w:rsidRDefault="00A60DD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6" w14:textId="77777777" w:rsidR="00A60DDE" w:rsidRDefault="00A60DD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9" w14:textId="77777777" w:rsidR="00A60DDE" w:rsidRDefault="00A60DD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7849618"/>
      <w:docPartObj>
        <w:docPartGallery w:val="Page Numbers (Bottom of Page)"/>
        <w:docPartUnique/>
      </w:docPartObj>
    </w:sdtPr>
    <w:sdtEndPr/>
    <w:sdtContent>
      <w:p w14:paraId="5C166EB8" w14:textId="00516398"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1299C43A" w14:textId="4337B72F" w:rsidR="00A60DDE" w:rsidRDefault="00A60DD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8" w14:textId="77777777" w:rsidR="00A60DDE" w:rsidRDefault="00A60DD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B" w14:textId="77777777" w:rsidR="00A60DDE" w:rsidRDefault="00A60DD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89470810"/>
      <w:docPartObj>
        <w:docPartGallery w:val="Page Numbers (Bottom of Page)"/>
        <w:docPartUnique/>
      </w:docPartObj>
    </w:sdtPr>
    <w:sdtEndPr/>
    <w:sdtContent>
      <w:p w14:paraId="7DBD72EB" w14:textId="0903B622"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0E27B00A" w14:textId="501FF311" w:rsidR="00A60DDE" w:rsidRDefault="00A60DD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A" w14:textId="77777777" w:rsidR="00A60DDE" w:rsidRDefault="00A60DD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D" w14:textId="77777777" w:rsidR="00A60DDE" w:rsidRDefault="00A60DD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86230926"/>
      <w:docPartObj>
        <w:docPartGallery w:val="Page Numbers (Bottom of Page)"/>
        <w:docPartUnique/>
      </w:docPartObj>
    </w:sdtPr>
    <w:sdtEndPr/>
    <w:sdtContent>
      <w:p w14:paraId="3DA34D61" w14:textId="7769E9D2"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4101652C" w14:textId="14419BDB" w:rsidR="00A60DDE" w:rsidRDefault="00A60DD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C" w14:textId="77777777" w:rsidR="00A60DDE" w:rsidRDefault="00A60DD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F" w14:textId="77777777" w:rsidR="00A60DDE" w:rsidRDefault="00A60DD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11625358"/>
      <w:docPartObj>
        <w:docPartGallery w:val="Page Numbers (Bottom of Page)"/>
        <w:docPartUnique/>
      </w:docPartObj>
    </w:sdtPr>
    <w:sdtEndPr/>
    <w:sdtContent>
      <w:p w14:paraId="6FA8251F" w14:textId="74E92A47"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45FB0818" w14:textId="792E337F" w:rsidR="00A60DDE" w:rsidRDefault="00A60DD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E" w14:textId="77777777" w:rsidR="00A60DDE" w:rsidRDefault="00A60DD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1" w14:textId="77777777" w:rsidR="00A60DDE" w:rsidRDefault="00A60DD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55741976"/>
      <w:docPartObj>
        <w:docPartGallery w:val="Page Numbers (Bottom of Page)"/>
        <w:docPartUnique/>
      </w:docPartObj>
    </w:sdtPr>
    <w:sdtEndPr/>
    <w:sdtContent>
      <w:p w14:paraId="6342FA7A" w14:textId="36D0207A"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44EAFD9C" w14:textId="41ECAC0D" w:rsidR="00A60DDE" w:rsidRDefault="00A60DD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0" w14:textId="77777777" w:rsidR="00A60DDE" w:rsidRDefault="00A60DD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3" w14:textId="77777777" w:rsidR="00A60DDE" w:rsidRDefault="00A60DD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8839345"/>
      <w:docPartObj>
        <w:docPartGallery w:val="Page Numbers (Bottom of Page)"/>
        <w:docPartUnique/>
      </w:docPartObj>
    </w:sdtPr>
    <w:sdtEndPr/>
    <w:sdtContent>
      <w:p w14:paraId="74673D66" w14:textId="69479659"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6A05A809" w14:textId="403FE9B0" w:rsidR="00A60DDE" w:rsidRDefault="00A60DD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2" w14:textId="77777777" w:rsidR="00A60DDE" w:rsidRDefault="00A60DD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5" w14:textId="77777777" w:rsidR="00A60DDE" w:rsidRDefault="00A60DD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99291419"/>
      <w:docPartObj>
        <w:docPartGallery w:val="Page Numbers (Bottom of Page)"/>
        <w:docPartUnique/>
      </w:docPartObj>
    </w:sdtPr>
    <w:sdtEndPr/>
    <w:sdtContent>
      <w:p w14:paraId="345C077F" w14:textId="727DA59F"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1FC39945" w14:textId="134649A4" w:rsidR="00A60DDE" w:rsidRDefault="00A60DD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4" w14:textId="77777777" w:rsidR="00A60DDE" w:rsidRDefault="00A60DD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7" w14:textId="77777777" w:rsidR="00A60DDE" w:rsidRDefault="00A60DD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89950125"/>
      <w:docPartObj>
        <w:docPartGallery w:val="Page Numbers (Bottom of Page)"/>
        <w:docPartUnique/>
      </w:docPartObj>
    </w:sdtPr>
    <w:sdtEndPr/>
    <w:sdtContent>
      <w:p w14:paraId="14FBC9BD" w14:textId="1535AFFC"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5DAB6C7B" w14:textId="57593965" w:rsidR="00A60DDE" w:rsidRDefault="00A60DD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6" w14:textId="77777777" w:rsidR="00A60DDE" w:rsidRDefault="00A60DD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9" w14:textId="77777777" w:rsidR="00A60DDE" w:rsidRDefault="00A60DD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09262939"/>
      <w:docPartObj>
        <w:docPartGallery w:val="Page Numbers (Bottom of Page)"/>
        <w:docPartUnique/>
      </w:docPartObj>
    </w:sdtPr>
    <w:sdtEndPr/>
    <w:sdtContent>
      <w:p w14:paraId="03669FAC" w14:textId="1610D051"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049F31CB" w14:textId="3FD9BE18" w:rsidR="00A60DDE" w:rsidRDefault="00A60DD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8" w14:textId="77777777" w:rsidR="00A60DDE" w:rsidRDefault="00A60DD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B" w14:textId="77777777" w:rsidR="00A60DDE" w:rsidRDefault="00A60DD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7293575"/>
      <w:docPartObj>
        <w:docPartGallery w:val="Page Numbers (Bottom of Page)"/>
        <w:docPartUnique/>
      </w:docPartObj>
    </w:sdtPr>
    <w:sdtEndPr/>
    <w:sdtContent>
      <w:p w14:paraId="66ED6911" w14:textId="44CFFEB8"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3461D779" w14:textId="555E1C82" w:rsidR="00A60DDE" w:rsidRDefault="00A60DD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A" w14:textId="77777777" w:rsidR="00A60DDE" w:rsidRDefault="00A60DD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D" w14:textId="77777777" w:rsidR="00A60DDE" w:rsidRDefault="00A60DD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39851314"/>
      <w:docPartObj>
        <w:docPartGallery w:val="Page Numbers (Bottom of Page)"/>
        <w:docPartUnique/>
      </w:docPartObj>
    </w:sdtPr>
    <w:sdtEndPr/>
    <w:sdtContent>
      <w:p w14:paraId="680072BF" w14:textId="00BF0FBA"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3CF2D8B6" w14:textId="7FDC0817" w:rsidR="00A60DDE" w:rsidRDefault="00A60DD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C" w14:textId="77777777" w:rsidR="00A60DDE" w:rsidRDefault="00A60DD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F" w14:textId="77777777" w:rsidR="00A60DDE" w:rsidRDefault="00A60DD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04997327"/>
      <w:docPartObj>
        <w:docPartGallery w:val="Page Numbers (Bottom of Page)"/>
        <w:docPartUnique/>
      </w:docPartObj>
    </w:sdtPr>
    <w:sdtEndPr/>
    <w:sdtContent>
      <w:p w14:paraId="5F9DF63C" w14:textId="1495FD1E"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0562CB0E" w14:textId="39EE69DD" w:rsidR="00A60DDE" w:rsidRDefault="00A60DD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E" w14:textId="77777777" w:rsidR="00A60DDE" w:rsidRDefault="00A60DD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1" w14:textId="77777777" w:rsidR="00A60DDE" w:rsidRDefault="00A60DD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42511791"/>
      <w:docPartObj>
        <w:docPartGallery w:val="Page Numbers (Bottom of Page)"/>
        <w:docPartUnique/>
      </w:docPartObj>
    </w:sdtPr>
    <w:sdtEndPr/>
    <w:sdtContent>
      <w:p w14:paraId="44802CD5" w14:textId="47EA93AF"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3DEEC669" w14:textId="36FEFE55" w:rsidR="00A60DDE" w:rsidRDefault="00A60DD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0" w14:textId="77777777" w:rsidR="00A60DDE" w:rsidRDefault="00A60DD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3" w14:textId="77777777" w:rsidR="00A60DDE" w:rsidRDefault="00A60DD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33272423"/>
      <w:docPartObj>
        <w:docPartGallery w:val="Page Numbers (Bottom of Page)"/>
        <w:docPartUnique/>
      </w:docPartObj>
    </w:sdtPr>
    <w:sdtEndPr/>
    <w:sdtContent>
      <w:p w14:paraId="5105CED2" w14:textId="41F373A3"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41C8F396" w14:textId="7100A06A" w:rsidR="00A60DDE" w:rsidRDefault="00A60DD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2" w14:textId="77777777" w:rsidR="00A60DDE" w:rsidRDefault="00A60DD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5" w14:textId="77777777" w:rsidR="00A60DDE" w:rsidRDefault="00A60DD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06299444"/>
      <w:docPartObj>
        <w:docPartGallery w:val="Page Numbers (Bottom of Page)"/>
        <w:docPartUnique/>
      </w:docPartObj>
    </w:sdtPr>
    <w:sdtEndPr/>
    <w:sdtContent>
      <w:p w14:paraId="5A3F76BE" w14:textId="39E9B6CF"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0D0B940D" w14:textId="4F1450E7" w:rsidR="00A60DDE" w:rsidRDefault="00A60DD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4" w14:textId="77777777" w:rsidR="00A60DDE" w:rsidRDefault="00A60DDE">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7" w14:textId="77777777" w:rsidR="00A60DDE" w:rsidRDefault="00A60DDE">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00519616"/>
      <w:docPartObj>
        <w:docPartGallery w:val="Page Numbers (Bottom of Page)"/>
        <w:docPartUnique/>
      </w:docPartObj>
    </w:sdtPr>
    <w:sdtEndPr/>
    <w:sdtContent>
      <w:p w14:paraId="056E3AF9" w14:textId="7C7D757B"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60061E4C" w14:textId="71337C9A" w:rsidR="00A60DDE" w:rsidRDefault="00A60DDE">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6" w14:textId="77777777" w:rsidR="00A60DDE" w:rsidRDefault="00A60DDE">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9" w14:textId="77777777" w:rsidR="00A60DDE" w:rsidRDefault="00A60DDE">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133839385"/>
      <w:docPartObj>
        <w:docPartGallery w:val="Page Numbers (Bottom of Page)"/>
        <w:docPartUnique/>
      </w:docPartObj>
    </w:sdtPr>
    <w:sdtEndPr/>
    <w:sdtContent>
      <w:p w14:paraId="6DEBBA16" w14:textId="483B30C6"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0FB78278" w14:textId="02F5EF65" w:rsidR="00A60DDE" w:rsidRDefault="00A60DDE">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8" w14:textId="77777777" w:rsidR="00A60DDE" w:rsidRDefault="00A60DDE">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B" w14:textId="77777777" w:rsidR="00A60DDE" w:rsidRDefault="00A60DDE">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27133434"/>
      <w:docPartObj>
        <w:docPartGallery w:val="Page Numbers (Bottom of Page)"/>
        <w:docPartUnique/>
      </w:docPartObj>
    </w:sdtPr>
    <w:sdtEndPr/>
    <w:sdtContent>
      <w:p w14:paraId="555AB6B3" w14:textId="59CA9A1F"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5A39BBE3" w14:textId="234E39F4" w:rsidR="00A60DDE" w:rsidRDefault="00A60DDE">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A" w14:textId="77777777" w:rsidR="00A60DDE" w:rsidRDefault="00A60DDE">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2" w14:textId="77777777" w:rsidR="00A60DDE" w:rsidRDefault="00A60DDE">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65382367"/>
      <w:docPartObj>
        <w:docPartGallery w:val="Page Numbers (Bottom of Page)"/>
        <w:docPartUnique/>
      </w:docPartObj>
    </w:sdtPr>
    <w:sdtEndPr/>
    <w:sdtContent>
      <w:p w14:paraId="2C27B56F" w14:textId="7F76EFC7"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419F64DE" w14:textId="77777777" w:rsidR="00A60DDE" w:rsidRDefault="00A60DDE">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4" w14:textId="77777777" w:rsidR="00A60DDE" w:rsidRDefault="00A60DDE">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6" w14:textId="77777777" w:rsidR="00A60DDE" w:rsidRDefault="00A60DDE">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62900469"/>
      <w:docPartObj>
        <w:docPartGallery w:val="Page Numbers (Bottom of Page)"/>
        <w:docPartUnique/>
      </w:docPartObj>
    </w:sdtPr>
    <w:sdtEndPr/>
    <w:sdtContent>
      <w:p w14:paraId="7E5B40AB" w14:textId="139DFA31" w:rsidR="00A60DDE" w:rsidRDefault="00095506">
        <w:pPr>
          <w:pStyle w:val="Footer"/>
          <w:jc w:val="center"/>
        </w:pPr>
        <w:r>
          <w:fldChar w:fldCharType="begin"/>
        </w:r>
        <w:r>
          <w:instrText xml:space="preserve"> PAGE   \* MERGEFORMAT </w:instrText>
        </w:r>
        <w:r>
          <w:fldChar w:fldCharType="separate"/>
        </w:r>
        <w:r>
          <w:t>2</w:t>
        </w:r>
        <w:r>
          <w:fldChar w:fldCharType="end"/>
        </w:r>
      </w:p>
    </w:sdtContent>
  </w:sdt>
  <w:p w14:paraId="75928736" w14:textId="77777777" w:rsidR="00A60DDE" w:rsidRDefault="00A60DDE">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8" w14:textId="77777777" w:rsidR="00A60DDE" w:rsidRDefault="00A60D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CD432" w14:textId="77777777" w:rsidR="00282567" w:rsidRDefault="00282567">
      <w:pPr>
        <w:spacing w:after="0" w:line="240" w:lineRule="auto"/>
      </w:pPr>
      <w:r>
        <w:separator/>
      </w:r>
    </w:p>
  </w:footnote>
  <w:footnote w:type="continuationSeparator" w:id="0">
    <w:p w14:paraId="330B130E" w14:textId="77777777" w:rsidR="00282567" w:rsidRDefault="00282567">
      <w:pPr>
        <w:spacing w:after="0" w:line="240" w:lineRule="auto"/>
      </w:pPr>
      <w:r>
        <w:continuationSeparator/>
      </w:r>
    </w:p>
  </w:footnote>
  <w:footnote w:type="continuationNotice" w:id="1">
    <w:p w14:paraId="13187ABC" w14:textId="77777777" w:rsidR="00282567" w:rsidRDefault="00282567">
      <w:pPr>
        <w:spacing w:after="0" w:line="240" w:lineRule="auto"/>
      </w:pPr>
    </w:p>
  </w:footnote>
  <w:footnote w:id="2">
    <w:p w14:paraId="1216CCF9" w14:textId="403D9AAF" w:rsidR="00A60DDE" w:rsidRDefault="00095506">
      <w:pPr>
        <w:pStyle w:val="FootnoteText"/>
        <w:ind w:left="0" w:firstLine="0"/>
      </w:pPr>
      <w:r>
        <w:rPr>
          <w:rStyle w:val="FootnoteReference"/>
        </w:rPr>
        <w:footnoteRef/>
      </w:r>
      <w:r>
        <w:t xml:space="preserve"> </w:t>
      </w:r>
      <w:r>
        <w:rPr>
          <w:rFonts w:eastAsia="Times New Roman"/>
          <w:color w:val="000000" w:themeColor="text1"/>
          <w:sz w:val="19"/>
          <w:szCs w:val="19"/>
        </w:rPr>
        <w:t>Cu excepția (a) proiectelor de producere a energiei electrice și/sau termice, precum și a infrastructurii de transport și distribuție aferente, care utilizează gaze naturale, care respectă condițiile prevăzute în anexa III la Orientările tehnice de „a nu prejudicia în mod semnificativ” [(2023) 6454 final] și (b) a activităților și activelor de la punctul (ii) pentru care utilizarea combustibililor fosili este temporară și inevitabilă din punct de vedere tehnic pentru tranziția în timp util către o operațiune fără combustibili fosili.</w:t>
      </w:r>
    </w:p>
  </w:footnote>
  <w:footnote w:id="3">
    <w:p w14:paraId="1216CCFA" w14:textId="77777777" w:rsidR="00A60DDE" w:rsidRDefault="00095506">
      <w:pPr>
        <w:pStyle w:val="FootnoteText"/>
        <w:ind w:left="0" w:firstLine="0"/>
      </w:pPr>
      <w:r>
        <w:rPr>
          <w:rStyle w:val="FootnoteReference"/>
        </w:rPr>
        <w:footnoteRef/>
      </w:r>
      <w:r>
        <w:t xml:space="preserve"> </w:t>
      </w:r>
      <w:r>
        <w:rPr>
          <w:rFonts w:eastAsia="Times New Roman"/>
          <w:color w:val="000000" w:themeColor="text1"/>
          <w:sz w:val="19"/>
          <w:szCs w:val="19"/>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4">
    <w:p w14:paraId="1216CCFB" w14:textId="77777777" w:rsidR="00A60DDE" w:rsidRDefault="00095506">
      <w:pPr>
        <w:pStyle w:val="FootnoteText"/>
        <w:ind w:left="0" w:firstLine="0"/>
      </w:pPr>
      <w:r>
        <w:rPr>
          <w:rStyle w:val="FootnoteReference"/>
        </w:rPr>
        <w:footnoteRef/>
      </w:r>
      <w:r>
        <w:t xml:space="preserve"> </w:t>
      </w:r>
      <w:r>
        <w:rPr>
          <w:rFonts w:eastAsia="Times New Roman"/>
          <w:color w:val="000000" w:themeColor="text1"/>
          <w:sz w:val="19"/>
          <w:szCs w:val="19"/>
        </w:rPr>
        <w:t>Această excludere nu se aplică acțiunilor din instalațiile dedicate exclusiv tratării deșeurilor periculoase nereciclabile și nici instalațiilor existente, în cazul în care acțiunile au ca scop creșterea eficienței energetice, captarea gazelor de eșapament în vederea stocării sau utilizării sau recuperarea materialelor din cenușa de incinerare, cu condiția ca astfel de acțiuni să nu conducă la o creștere a capacității de prelucrare a deșeurilor a instalațiilor sau la o prelungire a duratei de viață a instalațiilor; pentru care se furnizează dovezi la nivel de instalație.</w:t>
      </w:r>
    </w:p>
  </w:footnote>
  <w:footnote w:id="5">
    <w:p w14:paraId="1216CCFC" w14:textId="77777777" w:rsidR="00A60DDE" w:rsidRDefault="00095506">
      <w:pPr>
        <w:pStyle w:val="FootnoteText"/>
        <w:ind w:left="0" w:firstLine="0"/>
      </w:pPr>
      <w:r>
        <w:rPr>
          <w:rStyle w:val="FootnoteReference"/>
        </w:rPr>
        <w:footnoteRef/>
      </w:r>
      <w:r>
        <w:t xml:space="preserve"> </w:t>
      </w:r>
      <w:r>
        <w:rPr>
          <w:rFonts w:eastAsia="Times New Roman"/>
          <w:color w:val="000000" w:themeColor="text1"/>
          <w:sz w:val="19"/>
          <w:szCs w:val="19"/>
        </w:rPr>
        <w:t>Această excludere nu se aplică acțiunilor din stațiile de tratare mecano-biologică existente, în cazul în care acțiunile au ca scop creșterea eficienței energetice sau modernizarea operațiunilor de reciclare a deșeurilor separate pentru compostarea deșeurilor biologice și digestia anaerobă a deșeurilor biologice, cu condiția ca astfel de acțiuni să nu conducă la o creștere a capacității de prelucrare a deșeurilor a instalațiilor sau la o prelungire a duratei de viață a instalațiilor; pentru care se furnizează dovezi la nivel de instalație.</w:t>
      </w:r>
    </w:p>
  </w:footnote>
  <w:footnote w:id="6">
    <w:p w14:paraId="1216CCFD"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7">
    <w:p w14:paraId="1216CCFE" w14:textId="77777777" w:rsidR="00A60DDE" w:rsidRDefault="00095506">
      <w:pPr>
        <w:pStyle w:val="FootnoteText"/>
        <w:ind w:left="0" w:hanging="11"/>
        <w:rPr>
          <w:sz w:val="18"/>
          <w:szCs w:val="18"/>
        </w:rPr>
      </w:pPr>
      <w:r>
        <w:rPr>
          <w:rStyle w:val="FootnoteReference"/>
          <w:sz w:val="18"/>
          <w:szCs w:val="18"/>
        </w:rPr>
        <w:footnoteRef/>
      </w:r>
      <w:r>
        <w:rPr>
          <w:sz w:val="18"/>
          <w:szCs w:val="18"/>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8">
    <w:p w14:paraId="1216CCFF"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9">
    <w:p w14:paraId="1216CD00"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
    <w:p w14:paraId="1216CD01" w14:textId="77777777" w:rsidR="00A60DDE" w:rsidRDefault="00095506">
      <w:pPr>
        <w:pStyle w:val="FootnoteText"/>
        <w:ind w:left="0" w:firstLine="0"/>
      </w:pPr>
      <w:r>
        <w:rPr>
          <w:rStyle w:val="FootnoteReference"/>
        </w:rPr>
        <w:footnoteRef/>
      </w:r>
      <w:r>
        <w:t xml:space="preserve"> </w:t>
      </w:r>
      <w:r>
        <w:rPr>
          <w:sz w:val="18"/>
          <w:szCs w:val="18"/>
        </w:rPr>
        <w:t>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11">
    <w:p w14:paraId="1216CD02" w14:textId="77777777" w:rsidR="00A60DDE" w:rsidRDefault="00095506">
      <w:pPr>
        <w:pStyle w:val="FootnoteText"/>
        <w:ind w:left="0" w:hanging="11"/>
      </w:pPr>
      <w:r>
        <w:rPr>
          <w:rStyle w:val="FootnoteReference"/>
        </w:rPr>
        <w:footnoteRef/>
      </w:r>
      <w:r>
        <w:t xml:space="preserve"> </w:t>
      </w:r>
      <w:r>
        <w:rPr>
          <w:sz w:val="18"/>
          <w:szCs w:val="18"/>
        </w:rPr>
        <w:t>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12">
    <w:p w14:paraId="1216CD03" w14:textId="77777777" w:rsidR="00A60DDE" w:rsidRDefault="00095506">
      <w:pPr>
        <w:pStyle w:val="FootnoteText"/>
        <w:ind w:left="0" w:firstLine="0"/>
        <w:rPr>
          <w:sz w:val="18"/>
          <w:szCs w:val="18"/>
        </w:rPr>
      </w:pPr>
      <w:r>
        <w:rPr>
          <w:rStyle w:val="FootnoteReference"/>
        </w:rPr>
        <w:footnoteRef/>
      </w:r>
      <w:r>
        <w:t xml:space="preserve"> </w:t>
      </w:r>
      <w:r>
        <w:rPr>
          <w:sz w:val="18"/>
          <w:szCs w:val="18"/>
        </w:rPr>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3">
    <w:p w14:paraId="1216CD04" w14:textId="77777777" w:rsidR="00A60DDE" w:rsidRDefault="00095506">
      <w:pPr>
        <w:pStyle w:val="FootnoteText"/>
        <w:ind w:left="0" w:firstLine="0"/>
        <w:rPr>
          <w:sz w:val="18"/>
          <w:szCs w:val="18"/>
        </w:rPr>
      </w:pPr>
      <w:r>
        <w:rPr>
          <w:rStyle w:val="FootnoteReference"/>
        </w:rPr>
        <w:footnoteRef/>
      </w:r>
      <w:r>
        <w:t xml:space="preserve"> </w:t>
      </w:r>
      <w:r>
        <w:rPr>
          <w:sz w:val="18"/>
          <w:szCs w:val="18"/>
        </w:rPr>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
    <w:p w14:paraId="1216CD05" w14:textId="380A2243" w:rsidR="00A60DDE" w:rsidRDefault="00095506">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(b) activitățile și activele menționate la punctul (ii) pentru care utilizarea combustibililor fosili este temporară și inevitabilă din punct de vedere tehnic pentru tranziția în timp util către o operațiune fără combustibili fosili; (c) aeronavele utilizate pentru protecția civilă sau pentru stingerea incendiilor, trenurile bimodale, navele hibride, navele cu dublă alimentare; (d) navele cu destinație specială și vehiculele cu destinație specială care se bazează pe cele mai bune niveluri disponibile de performanță de mediu; și (e) construirea de noi conexiuni rutiere, poduri, căi ferate neelectrificate și/sau tuneluri cu o lungime individuală mai mică de 20 de kilometri și renovarea căilor ferate, a drumurilor, a podurilor și/sau a tunelurilor.</w:t>
      </w:r>
    </w:p>
  </w:footnote>
  <w:footnote w:id="15">
    <w:p w14:paraId="1216CD06" w14:textId="5C816810" w:rsidR="00A60DDE" w:rsidRDefault="00095506">
      <w:pPr>
        <w:pStyle w:val="FootnoteText"/>
        <w:ind w:left="426" w:hanging="426"/>
        <w:rPr>
          <w:rFonts w:eastAsia="EC Square Sans Pro"/>
          <w:sz w:val="18"/>
          <w:szCs w:val="18"/>
        </w:rPr>
      </w:pPr>
      <w:r>
        <w:rPr>
          <w:rStyle w:val="FootnoteReference"/>
          <w:sz w:val="18"/>
          <w:szCs w:val="18"/>
        </w:rPr>
        <w:footnoteRef/>
      </w:r>
      <w:r>
        <w:rPr>
          <w:sz w:val="18"/>
          <w:szCs w:val="18"/>
        </w:rPr>
        <w:t xml:space="preserve"> </w:t>
      </w:r>
      <w:r>
        <w:rPr>
          <w:sz w:val="18"/>
          <w:szCs w:val="18"/>
        </w:rPr>
        <w:tab/>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6">
    <w:p w14:paraId="1216CD07" w14:textId="77777777" w:rsidR="00A60DDE" w:rsidRDefault="00095506">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17">
    <w:p w14:paraId="1216CD08" w14:textId="77777777" w:rsidR="00A60DDE" w:rsidRDefault="00095506">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8">
    <w:p w14:paraId="1216CD09" w14:textId="0C7670CD" w:rsidR="00A60DDE" w:rsidRDefault="00095506">
      <w:pPr>
        <w:pStyle w:val="FootnoteText"/>
        <w:ind w:left="426" w:hanging="426"/>
        <w:rPr>
          <w:sz w:val="18"/>
          <w:szCs w:val="18"/>
        </w:rPr>
      </w:pPr>
      <w:r>
        <w:rPr>
          <w:sz w:val="14"/>
          <w:szCs w:val="14"/>
        </w:rPr>
        <w:footnoteRef/>
      </w:r>
      <w:r>
        <w:rPr>
          <w:sz w:val="14"/>
          <w:szCs w:val="14"/>
        </w:rPr>
        <w:t xml:space="preserve"> </w:t>
      </w:r>
      <w:r>
        <w:rPr>
          <w:sz w:val="18"/>
          <w:szCs w:val="18"/>
        </w:rPr>
        <w:tab/>
        <w:t>Se consideră că un beneficiar final pune „un accent substanțial” pe un sector sau pe o activitate economică în cazul în care venitul brut generat de sectorul sau activitatea restricționată depășește 50 % din venitul brut.</w:t>
      </w:r>
    </w:p>
  </w:footnote>
  <w:footnote w:id="19">
    <w:p w14:paraId="1216CD0A" w14:textId="3838EBE9" w:rsidR="00A60DDE" w:rsidRDefault="00095506">
      <w:pPr>
        <w:pStyle w:val="FootnoteText"/>
        <w:ind w:left="426" w:hanging="426"/>
        <w:rPr>
          <w:rFonts w:eastAsia="Times New Roman"/>
          <w:sz w:val="18"/>
          <w:szCs w:val="18"/>
        </w:rPr>
      </w:pPr>
      <w:r>
        <w:rPr>
          <w:sz w:val="14"/>
          <w:szCs w:val="14"/>
        </w:rPr>
        <w:footnoteRef/>
      </w:r>
      <w:r>
        <w:rPr>
          <w:sz w:val="14"/>
          <w:szCs w:val="14"/>
        </w:rPr>
        <w:t xml:space="preserve"> </w:t>
      </w:r>
      <w:r>
        <w:rPr>
          <w:sz w:val="18"/>
          <w:szCs w:val="18"/>
        </w:rPr>
        <w:tab/>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20">
    <w:p w14:paraId="1216CD0B" w14:textId="77777777" w:rsidR="00A60DDE" w:rsidRDefault="00095506">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21">
    <w:p w14:paraId="1216CD0C" w14:textId="62074C2F" w:rsidR="00A60DDE" w:rsidRDefault="00095506">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Vehiculele poluante sunt definite ca vehicule fără emisii zero. Această excludere nu se aplică aeronavelor utilizate pentru protecția civilă sau pentru stingerea incendiilor, trenurilor bimodale, navelor hibride, navelor cu dublă alimentare și navelor cu destinație specială și vehiculelor cu destinație specială care se bazează pe cele mai bune niveluri disponibile de performanță de mediu în acest sector.</w:t>
      </w:r>
    </w:p>
  </w:footnote>
  <w:footnote w:id="22">
    <w:p w14:paraId="1216CD0D" w14:textId="77777777" w:rsidR="00A60DDE" w:rsidRDefault="00095506">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23">
    <w:p w14:paraId="1216CD0E" w14:textId="43EF4DC2" w:rsidR="00A60DDE" w:rsidRDefault="00095506">
      <w:pPr>
        <w:pStyle w:val="FootnoteText"/>
        <w:ind w:left="0" w:firstLine="0"/>
      </w:pPr>
      <w:r>
        <w:rPr>
          <w:rStyle w:val="FootnoteReference"/>
        </w:rPr>
        <w:footnoteRef/>
      </w:r>
      <w:r>
        <w:t xml:space="preserve"> Această valoare nu reprezintă în sine costul, ci volumul de investiții vizat. Aceasta poate sau nu să fie egală cu costul, în funcție de modul în care este structurat instrumentul, dacă se va obține efectul de levier și dacă partenerul de implementare are costuri/taxe percepute.</w:t>
      </w:r>
    </w:p>
  </w:footnote>
  <w:footnote w:id="24">
    <w:p w14:paraId="1216CD0F" w14:textId="77777777" w:rsidR="00A60DDE" w:rsidRDefault="00095506">
      <w:pPr>
        <w:pStyle w:val="FootnoteText"/>
        <w:ind w:left="0" w:firstLine="0"/>
      </w:pPr>
      <w:r>
        <w:rPr>
          <w:rStyle w:val="FootnoteReference"/>
        </w:rPr>
        <w:footnoteRef/>
      </w:r>
      <w:r>
        <w:t xml:space="preserve"> 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(b) a activităților și activelor de la punctul (ii) pentru care utilizarea combustibililor fosili este temporară și inevitabilă din punct de vedere tehnic pentru tranziția în timp util către o operațiune fără combustibili fosili; (c) instalațiile pe bază de hidrogen cu emisii scăzute de dioxid de carbon care respectă cerința de reducere a emisiilor de GES pe durata ciclului de viață de 73,4 % pentru hidrogen, având ca rezultat emisii de GES pe durata ciclului de viață mai mici de 3 tCO2eq/tH2) și de 70 % pentru combustibilii sintetici pe bază de hidrogen, în raport cu un combustibil fosil de referință de 94 g CO2e/MJ, având ca rezultat 2,256 tCO2eq/tH2, prin analogie cu abordarea prevăzută la articolul 25 alineatul (2) din Directiva (UE) 2018/2001 și în anexa V la aceasta. Reducerile de emisii de GES pe durata ciclului de viață se calculează utilizând metodologia menționată la articolul 28 alineatul (5) din Directiva (UE) 2018/2001 sau, alternativ, utilizând ISO 14067:2018 sau ISO 14064-1:2018.</w:t>
      </w:r>
    </w:p>
  </w:footnote>
  <w:footnote w:id="25">
    <w:p w14:paraId="1216CD10" w14:textId="77777777" w:rsidR="00A60DDE" w:rsidRDefault="00095506">
      <w:pPr>
        <w:pStyle w:val="FootnoteText"/>
        <w:ind w:left="0" w:firstLine="0"/>
      </w:pPr>
      <w:r>
        <w:rPr>
          <w:rStyle w:val="FootnoteReference"/>
        </w:rPr>
        <w:footnoteRef/>
      </w:r>
      <w:r>
        <w:t xml:space="preserve"> În cazul în care activitatea care beneficiază de sprijin generează emisii de gaze cu efect de seră preconizate care nu sunt semnificativ mai mici decât</w:t>
      </w:r>
    </w:p>
    <w:p w14:paraId="1216CD11" w14:textId="77777777" w:rsidR="00A60DDE" w:rsidRDefault="00095506">
      <w:pPr>
        <w:pStyle w:val="FootnoteText"/>
        <w:ind w:left="0" w:firstLine="0"/>
      </w:pPr>
      <w:r>
        <w:t>indicilor de referință relevanți ar trebui furnizată o explicație a motivelor pentru care acest lucru nu este posibil. Indici de referință stabiliți</w:t>
      </w:r>
    </w:p>
    <w:p w14:paraId="1216CD12" w14:textId="77777777" w:rsidR="00A60DDE" w:rsidRDefault="00095506">
      <w:pPr>
        <w:pStyle w:val="FootnoteText"/>
        <w:ind w:left="0" w:firstLine="0"/>
      </w:pPr>
      <w:r>
        <w:t>pentru alocarea cu titlu gratuit pentru activitățile care intră în domeniul de aplicare al schemei de comercializare a certificatelor de emisii, astfel cum se prevede în Comisie</w:t>
      </w:r>
    </w:p>
    <w:p w14:paraId="1216CD13" w14:textId="77777777" w:rsidR="00A60DDE" w:rsidRDefault="00095506">
      <w:pPr>
        <w:pStyle w:val="FootnoteText"/>
        <w:ind w:left="0" w:firstLine="0"/>
      </w:pPr>
      <w:r>
        <w:t>Regulamentul de punere în aplicare (UE) 2021/447.</w:t>
      </w:r>
    </w:p>
  </w:footnote>
  <w:footnote w:id="26">
    <w:p w14:paraId="1216CD14" w14:textId="77777777" w:rsidR="00A60DDE" w:rsidRDefault="00095506">
      <w:pPr>
        <w:pStyle w:val="FootnoteText"/>
        <w:ind w:left="0" w:firstLine="0"/>
      </w:pPr>
      <w:r>
        <w:rPr>
          <w:rStyle w:val="FootnoteReference"/>
        </w:rPr>
        <w:footnoteRef/>
      </w:r>
      <w: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27">
    <w:p w14:paraId="1216CD15" w14:textId="77777777" w:rsidR="00A60DDE" w:rsidRDefault="00095506">
      <w:pPr>
        <w:pStyle w:val="FootnoteText"/>
        <w:ind w:left="0" w:firstLine="0"/>
      </w:pPr>
      <w:r>
        <w:rPr>
          <w:rStyle w:val="FootnoteReference"/>
        </w:rPr>
        <w:footnoteRef/>
      </w:r>
      <w: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rPr>
          <w:sz w:val="18"/>
          <w:szCs w:val="18"/>
        </w:rPr>
        <w:t>.</w:t>
      </w:r>
    </w:p>
  </w:footnote>
  <w:footnote w:id="28">
    <w:p w14:paraId="1216CD16" w14:textId="77777777" w:rsidR="00A60DDE" w:rsidRDefault="00095506">
      <w:pPr>
        <w:pBdr>
          <w:top w:val="nil"/>
          <w:left w:val="nil"/>
          <w:bottom w:val="nil"/>
          <w:right w:val="nil"/>
          <w:between w:val="nil"/>
        </w:pBdr>
        <w:spacing w:after="0" w:line="257" w:lineRule="auto"/>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 58/01).</w:t>
      </w:r>
    </w:p>
  </w:footnote>
  <w:footnote w:id="29">
    <w:p w14:paraId="1216CD17" w14:textId="77777777" w:rsidR="00A60DDE" w:rsidRDefault="00095506">
      <w:pPr>
        <w:pStyle w:val="FootnoteText"/>
        <w:ind w:left="0" w:firstLine="0"/>
        <w:rPr>
          <w:sz w:val="18"/>
          <w:szCs w:val="18"/>
        </w:rPr>
      </w:pPr>
      <w:r>
        <w:rPr>
          <w:rStyle w:val="FootnoteReference"/>
          <w:sz w:val="18"/>
          <w:szCs w:val="18"/>
        </w:rPr>
        <w:footnoteRef/>
      </w:r>
      <w:r>
        <w:rPr>
          <w:sz w:val="18"/>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30">
    <w:p w14:paraId="1216CD18" w14:textId="77777777" w:rsidR="00A60DDE" w:rsidRDefault="00095506">
      <w:pPr>
        <w:pStyle w:val="FootnoteText"/>
        <w:ind w:left="0" w:firstLine="0"/>
        <w:rPr>
          <w:sz w:val="18"/>
          <w:szCs w:val="18"/>
        </w:rPr>
      </w:pPr>
      <w:r>
        <w:rPr>
          <w:rStyle w:val="FootnoteReference"/>
          <w:sz w:val="18"/>
          <w:szCs w:val="18"/>
        </w:rPr>
        <w:footnoteRef/>
      </w:r>
      <w:r>
        <w:rPr>
          <w:sz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1">
    <w:p w14:paraId="1216CD19" w14:textId="77777777" w:rsidR="00A60DDE" w:rsidRDefault="00095506">
      <w:pPr>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Pr>
          <w:rStyle w:val="FootnoteReference"/>
          <w:rFonts w:ascii="Times New Roman" w:hAnsi="Times New Roman" w:cs="Times New Roman"/>
          <w:sz w:val="18"/>
          <w:szCs w:val="18"/>
        </w:rPr>
        <w:footnoteRef/>
      </w:r>
      <w:r>
        <w:rPr>
          <w:rFonts w:ascii="Times New Roman" w:hAnsi="Times New Roman"/>
          <w:sz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2">
    <w:p w14:paraId="1216CD1A" w14:textId="77777777" w:rsidR="00A60DDE" w:rsidRDefault="00095506">
      <w:pPr>
        <w:pStyle w:val="FootnoteText"/>
        <w:ind w:left="0" w:firstLine="0"/>
        <w:rPr>
          <w:sz w:val="18"/>
          <w:szCs w:val="18"/>
        </w:rPr>
      </w:pPr>
      <w:r>
        <w:rPr>
          <w:rStyle w:val="FootnoteReference"/>
          <w:sz w:val="18"/>
          <w:szCs w:val="18"/>
        </w:rPr>
        <w:footnoteRef/>
      </w:r>
      <w:r>
        <w:rPr>
          <w:sz w:val="18"/>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33">
    <w:p w14:paraId="1216CD1B" w14:textId="77777777" w:rsidR="00A60DDE" w:rsidRDefault="00095506">
      <w:pPr>
        <w:pStyle w:val="FootnoteText"/>
        <w:ind w:left="0" w:firstLine="0"/>
        <w:rPr>
          <w:sz w:val="18"/>
          <w:szCs w:val="18"/>
        </w:rPr>
      </w:pPr>
      <w:r>
        <w:rPr>
          <w:rStyle w:val="FootnoteReference"/>
          <w:sz w:val="18"/>
          <w:szCs w:val="18"/>
        </w:rPr>
        <w:footnoteRef/>
      </w:r>
      <w:r>
        <w:rPr>
          <w:sz w:val="18"/>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34">
    <w:p w14:paraId="1216CD1C" w14:textId="77777777" w:rsidR="00A60DDE" w:rsidRDefault="00095506">
      <w:pPr>
        <w:pStyle w:val="FootnoteText"/>
        <w:ind w:left="0" w:firstLine="0"/>
        <w:rPr>
          <w:sz w:val="18"/>
          <w:szCs w:val="18"/>
        </w:rPr>
      </w:pPr>
      <w:r>
        <w:rPr>
          <w:rStyle w:val="FootnoteReference"/>
          <w:sz w:val="18"/>
          <w:szCs w:val="18"/>
        </w:rPr>
        <w:footnoteRef/>
      </w:r>
      <w:r>
        <w:rPr>
          <w:sz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5">
    <w:p w14:paraId="1216CD1D" w14:textId="77777777" w:rsidR="00A60DDE" w:rsidRDefault="00095506">
      <w:pPr>
        <w:pStyle w:val="FootnoteText"/>
        <w:ind w:left="0" w:firstLine="0"/>
        <w:rPr>
          <w:sz w:val="18"/>
          <w:szCs w:val="18"/>
        </w:rPr>
      </w:pPr>
      <w:r>
        <w:rPr>
          <w:rStyle w:val="FootnoteReference"/>
          <w:sz w:val="18"/>
          <w:szCs w:val="18"/>
        </w:rPr>
        <w:footnoteRef/>
      </w:r>
      <w:r>
        <w:rPr>
          <w:sz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6">
    <w:p w14:paraId="1216CD1E" w14:textId="77777777" w:rsidR="00A60DDE" w:rsidRDefault="00095506">
      <w:pPr>
        <w:pStyle w:val="FootnoteText"/>
        <w:ind w:left="0" w:firstLine="0"/>
        <w:rPr>
          <w:sz w:val="18"/>
          <w:szCs w:val="18"/>
        </w:rPr>
      </w:pPr>
      <w:r>
        <w:rPr>
          <w:rStyle w:val="FootnoteReference"/>
          <w:sz w:val="18"/>
          <w:szCs w:val="18"/>
        </w:rPr>
        <w:footnoteRef/>
      </w:r>
      <w:r>
        <w:rPr>
          <w:rStyle w:val="FootnoteReference"/>
          <w:sz w:val="18"/>
          <w:szCs w:val="18"/>
          <w:vertAlign w:val="baseline"/>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37">
    <w:p w14:paraId="1216CD1F" w14:textId="12F1D003" w:rsidR="00A60DDE" w:rsidRDefault="00095506">
      <w:pPr>
        <w:pStyle w:val="FootnoteText"/>
        <w:ind w:left="0" w:firstLine="0"/>
        <w:rPr>
          <w:rStyle w:val="FootnoteReference"/>
          <w:sz w:val="18"/>
          <w:szCs w:val="18"/>
          <w:vertAlign w:val="baseline"/>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r>
        <w:rPr>
          <w:rStyle w:val="FootnoteReference"/>
          <w:sz w:val="18"/>
          <w:szCs w:val="18"/>
        </w:rPr>
        <w:t xml:space="preserve"> </w:t>
      </w:r>
    </w:p>
  </w:footnote>
  <w:footnote w:id="38">
    <w:p w14:paraId="1216CD20" w14:textId="77777777" w:rsidR="00A60DDE" w:rsidRDefault="00095506">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39">
    <w:p w14:paraId="1216CD21" w14:textId="77777777" w:rsidR="00A60DDE" w:rsidRDefault="00095506">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p w14:paraId="1216CD22" w14:textId="77777777" w:rsidR="00A60DDE" w:rsidRDefault="00A60DDE">
      <w:pPr>
        <w:pStyle w:val="FootnoteText"/>
      </w:pPr>
    </w:p>
  </w:footnote>
  <w:footnote w:id="40">
    <w:p w14:paraId="1216CD23" w14:textId="77777777" w:rsidR="00A60DDE" w:rsidRDefault="00095506">
      <w:pPr>
        <w:pStyle w:val="FootnoteText"/>
        <w:ind w:left="0" w:firstLine="0"/>
        <w:rPr>
          <w:sz w:val="18"/>
          <w:szCs w:val="18"/>
        </w:rPr>
      </w:pPr>
      <w:r>
        <w:rPr>
          <w:rStyle w:val="FootnoteReference"/>
        </w:rPr>
        <w:footnoteRef/>
      </w:r>
      <w:r>
        <w:t xml:space="preserve"> </w:t>
      </w:r>
      <w:r>
        <w:rPr>
          <w:sz w:val="18"/>
          <w:szCs w:val="18"/>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DNSH [C(2023) 6454 final] și (b) activităților și activelor de la punctul (ii) pentru care utilizarea combustibililor fosili este temporară și inevitabilă din punct de vedere tehnic pentru tranziția în timp util către o operațiune fără combustibili fosili.</w:t>
      </w:r>
    </w:p>
  </w:footnote>
  <w:footnote w:id="41">
    <w:p w14:paraId="1216CD24"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42">
    <w:p w14:paraId="1216CD25"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43">
    <w:p w14:paraId="1216CD26" w14:textId="77777777" w:rsidR="00A60DDE" w:rsidRDefault="00095506">
      <w:pPr>
        <w:pStyle w:val="FootnoteText"/>
        <w:ind w:left="0" w:firstLine="0"/>
      </w:pPr>
      <w:r>
        <w:rPr>
          <w:rStyle w:val="FootnoteReference"/>
          <w:sz w:val="18"/>
          <w:szCs w:val="18"/>
        </w:rPr>
        <w:footnoteRef/>
      </w:r>
      <w:r>
        <w:rPr>
          <w:sz w:val="18"/>
          <w:szCs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4">
    <w:p w14:paraId="1216CD27" w14:textId="77777777" w:rsidR="00A60DDE" w:rsidRDefault="00095506">
      <w:pPr>
        <w:pStyle w:val="FootnoteText"/>
        <w:ind w:left="0" w:firstLine="0"/>
      </w:pPr>
      <w:r>
        <w:rPr>
          <w:rStyle w:val="FootnoteReference"/>
        </w:rPr>
        <w:footnoteRef/>
      </w:r>
      <w:r>
        <w:t xml:space="preserve"> Beneficiarii </w:t>
      </w:r>
      <w:r>
        <w:rPr>
          <w:sz w:val="18"/>
          <w:szCs w:val="18"/>
        </w:rPr>
        <w:t>finali asociați unor proiecte specifice au obligația de a furniza o justificare a domeniului de intervenție selectat pentru fiecare proiect sprijinit, împreună cu o descriere a proiectului, în scopul calculării contribuției la acțiunile climatice. Partenerul de implementare are, de asemenea, obligația de a furniza statului membru un raport semestrial privind punerea în aplicare a fiecărui proiect/activități.</w:t>
      </w:r>
    </w:p>
  </w:footnote>
  <w:footnote w:id="45">
    <w:p w14:paraId="1216CD28" w14:textId="77777777" w:rsidR="00A60DDE" w:rsidRDefault="00095506">
      <w:pPr>
        <w:pStyle w:val="FootnoteText"/>
        <w:ind w:left="0" w:firstLine="0"/>
        <w:rPr>
          <w:sz w:val="18"/>
          <w:szCs w:val="18"/>
        </w:rPr>
      </w:pPr>
      <w:r>
        <w:rPr>
          <w:rStyle w:val="FootnoteReference"/>
        </w:rPr>
        <w:footnoteRef/>
      </w:r>
      <w:r>
        <w:t xml:space="preserve"> </w:t>
      </w:r>
      <w:r>
        <w:rPr>
          <w:sz w:val="18"/>
          <w:szCs w:val="18"/>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DNSH [C(2023) 6454 final] și (b) activităților și activelor de la punctul (ii) pentru care utilizarea combustibililor fosili este temporară și inevitabilă din punct de vedere tehnic pentru tranziția în timp util către o operațiune fără combustibili fosili.</w:t>
      </w:r>
    </w:p>
  </w:footnote>
  <w:footnote w:id="46">
    <w:p w14:paraId="1216CD29"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47">
    <w:p w14:paraId="1216CD2A"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48">
    <w:p w14:paraId="1216CD2B" w14:textId="77777777" w:rsidR="00A60DDE" w:rsidRDefault="00095506">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9">
    <w:p w14:paraId="1216CD2C" w14:textId="77777777" w:rsidR="00A60DDE" w:rsidRDefault="00095506">
      <w:pPr>
        <w:pStyle w:val="NormalWeb"/>
        <w:spacing w:before="0" w:beforeAutospacing="0" w:after="0" w:afterAutospacing="0"/>
        <w:jc w:val="both"/>
        <w:rPr>
          <w:rFonts w:ascii="Calibri" w:hAnsi="Calibri" w:cs="Calibri"/>
          <w:sz w:val="22"/>
          <w:szCs w:val="22"/>
        </w:rPr>
      </w:pPr>
      <w:r>
        <w:rPr>
          <w:rStyle w:val="FootnoteReference"/>
          <w:sz w:val="18"/>
          <w:szCs w:val="18"/>
        </w:rPr>
        <w:footnoteRef/>
      </w:r>
      <w:r>
        <w:rPr>
          <w:sz w:val="18"/>
          <w:szCs w:val="18"/>
        </w:rPr>
        <w:t xml:space="preserve"> Beneficiarii </w:t>
      </w:r>
      <w:r>
        <w:rPr>
          <w:rFonts w:eastAsia="Calibri"/>
          <w:sz w:val="18"/>
          <w:szCs w:val="18"/>
        </w:rPr>
        <w:t>finali asociați unor proiecte specifice au obligația de a furniza o justificare a domeniului de intervenție selectat pentru fiecare proiect sprijinit, împreună cu o descriere a proiectului, în scopul calculării contribuției la acțiunile climatice. Partenerul de implementare are, de asemenea, obligația de a furniza statului membru un raport semestrial privind punerea în aplicare a fiecărui proiect/activități.</w:t>
      </w:r>
    </w:p>
    <w:p w14:paraId="1216CD2D" w14:textId="77777777" w:rsidR="00A60DDE" w:rsidRDefault="00A60DD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CAE2A" w14:textId="77777777" w:rsidR="00AA13FA" w:rsidRPr="00AA13FA" w:rsidRDefault="00AA13FA" w:rsidP="00AA13F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67B6E" w14:textId="77777777" w:rsidR="00AA13FA" w:rsidRPr="00AA13FA" w:rsidRDefault="00AA13FA" w:rsidP="00AA13F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A39CD" w14:textId="77777777" w:rsidR="00AA13FA" w:rsidRPr="00AA13FA" w:rsidRDefault="00AA13FA" w:rsidP="00AA13F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DD5B" w14:textId="77777777" w:rsidR="00A60DDE" w:rsidRDefault="00A60D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1392" w14:textId="77777777" w:rsidR="00A60DDE" w:rsidRDefault="00095506">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92AED" w14:textId="77777777" w:rsidR="00A60DDE" w:rsidRDefault="00A60D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3" w14:textId="77777777" w:rsidR="00A60DDE" w:rsidRDefault="00A60DD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5941A" w14:textId="77777777" w:rsidR="00A60DDE" w:rsidRDefault="00095506">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5" w14:textId="77777777" w:rsidR="00A60DDE" w:rsidRDefault="00A60D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7" w14:textId="77777777" w:rsidR="00A60DDE" w:rsidRDefault="00A60DD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A5D5" w14:textId="77777777" w:rsidR="00A60DDE" w:rsidRDefault="00095506">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9" w14:textId="77777777" w:rsidR="00A60DDE" w:rsidRDefault="00A60D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B" w14:textId="77777777" w:rsidR="00A60DDE" w:rsidRDefault="00A60DD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2BE8" w14:textId="77777777" w:rsidR="00A60DDE" w:rsidRDefault="00095506">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B" w14:textId="77777777" w:rsidR="00A60DDE" w:rsidRDefault="00A60DD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D" w14:textId="77777777" w:rsidR="00A60DDE" w:rsidRDefault="00A60DD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5302" w14:textId="77777777" w:rsidR="00A60DDE" w:rsidRDefault="00095506">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D" w14:textId="77777777" w:rsidR="00A60DDE" w:rsidRDefault="00A60DD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F" w14:textId="77777777" w:rsidR="00A60DDE" w:rsidRDefault="00A60DD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BA61" w14:textId="77777777" w:rsidR="00A60DDE" w:rsidRDefault="00095506">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F" w14:textId="77777777" w:rsidR="00A60DDE" w:rsidRDefault="00A60DD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1" w14:textId="77777777" w:rsidR="00A60DDE" w:rsidRDefault="00A60DD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F60B5" w14:textId="77777777" w:rsidR="00A60DDE" w:rsidRDefault="00095506">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1" w14:textId="77777777" w:rsidR="00A60DDE" w:rsidRDefault="00A60DD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3" w14:textId="77777777" w:rsidR="00A60DDE" w:rsidRDefault="00A60DD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318D" w14:textId="77777777" w:rsidR="00A60DDE" w:rsidRDefault="00095506">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3" w14:textId="77777777" w:rsidR="00A60DDE" w:rsidRDefault="00A60DD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5" w14:textId="77777777" w:rsidR="00A60DDE" w:rsidRDefault="00A60DD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D69FC" w14:textId="77777777" w:rsidR="00A60DDE" w:rsidRDefault="00095506">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5" w14:textId="77777777" w:rsidR="00A60DDE" w:rsidRDefault="00A60DD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7" w14:textId="77777777" w:rsidR="00A60DDE" w:rsidRDefault="00A60DD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473E8" w14:textId="77777777" w:rsidR="00A60DDE" w:rsidRDefault="00095506">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7" w14:textId="77777777" w:rsidR="00A60DDE" w:rsidRDefault="00A60DD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9" w14:textId="77777777" w:rsidR="00A60DDE" w:rsidRDefault="00A60DD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C1FA" w14:textId="77777777" w:rsidR="00A60DDE" w:rsidRDefault="00095506">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9" w14:textId="77777777" w:rsidR="00A60DDE" w:rsidRDefault="00A60DD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B" w14:textId="77777777" w:rsidR="00A60DDE" w:rsidRDefault="00A60DD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B114" w14:textId="77777777" w:rsidR="00A60DDE" w:rsidRDefault="00095506">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B" w14:textId="77777777" w:rsidR="00A60DDE" w:rsidRDefault="00A60DD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D" w14:textId="77777777" w:rsidR="00A60DDE" w:rsidRDefault="00A60DD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BEAA2" w14:textId="77777777" w:rsidR="00A60DDE" w:rsidRDefault="00095506">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D" w14:textId="77777777" w:rsidR="00A60DDE" w:rsidRDefault="00A60DD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F" w14:textId="77777777" w:rsidR="00A60DDE" w:rsidRDefault="00A60DD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70637" w14:textId="77777777" w:rsidR="00A60DDE" w:rsidRDefault="00095506">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F" w14:textId="77777777" w:rsidR="00A60DDE" w:rsidRDefault="00A60DD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1" w14:textId="77777777" w:rsidR="00A60DDE" w:rsidRDefault="00A60DD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02A59" w14:textId="77777777" w:rsidR="00A60DDE" w:rsidRDefault="00095506">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1" w14:textId="77777777" w:rsidR="00A60DDE" w:rsidRDefault="00A60DD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3" w14:textId="77777777" w:rsidR="00A60DDE" w:rsidRDefault="00A60DD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EF77" w14:textId="77777777" w:rsidR="00A60DDE" w:rsidRDefault="00095506">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3" w14:textId="77777777" w:rsidR="00A60DDE" w:rsidRDefault="00A60DD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5" w14:textId="77777777" w:rsidR="00A60DDE" w:rsidRDefault="00A60DD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A9CD" w14:textId="77777777" w:rsidR="00A60DDE" w:rsidRDefault="00095506">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5" w14:textId="77777777" w:rsidR="00A60DDE" w:rsidRDefault="00A60DD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7" w14:textId="77777777" w:rsidR="00A60DDE" w:rsidRDefault="00A60DD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AF0D" w14:textId="77777777" w:rsidR="00A60DDE" w:rsidRDefault="00095506">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7" w14:textId="77777777" w:rsidR="00A60DDE" w:rsidRDefault="00A60DD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9" w14:textId="77777777" w:rsidR="00A60DDE" w:rsidRDefault="00A60DD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84D5" w14:textId="77777777" w:rsidR="00A60DDE" w:rsidRDefault="00095506">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9" w14:textId="77777777" w:rsidR="00A60DDE" w:rsidRDefault="00A60DD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B" w14:textId="77777777" w:rsidR="00A60DDE" w:rsidRDefault="00A60DD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0889A" w14:textId="77777777" w:rsidR="00A60DDE" w:rsidRDefault="00095506">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B" w14:textId="77777777" w:rsidR="00A60DDE" w:rsidRDefault="00A60DD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D" w14:textId="77777777" w:rsidR="00A60DDE" w:rsidRDefault="00A60DD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4170" w14:textId="77777777" w:rsidR="00A60DDE" w:rsidRDefault="00095506">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D" w14:textId="77777777" w:rsidR="00A60DDE" w:rsidRDefault="00A60DD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F" w14:textId="77777777" w:rsidR="00A60DDE" w:rsidRDefault="00A60DD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BF348" w14:textId="77777777" w:rsidR="00A60DDE" w:rsidRDefault="00095506">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F" w14:textId="77777777" w:rsidR="00A60DDE" w:rsidRDefault="00A60DD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1" w14:textId="77777777" w:rsidR="00A60DDE" w:rsidRDefault="00A60DD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300F" w14:textId="77777777" w:rsidR="00A60DDE" w:rsidRDefault="00095506">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1" w14:textId="77777777" w:rsidR="00A60DDE" w:rsidRDefault="00A60DD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3" w14:textId="77777777" w:rsidR="00A60DDE" w:rsidRDefault="00A60DD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BCD6B" w14:textId="77777777" w:rsidR="00A60DDE" w:rsidRDefault="00095506">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3" w14:textId="77777777" w:rsidR="00A60DDE" w:rsidRDefault="00A60DDE">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5" w14:textId="77777777" w:rsidR="00A60DDE" w:rsidRDefault="00A60DDE">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F996B" w14:textId="77777777" w:rsidR="00A60DDE" w:rsidRDefault="00095506">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5" w14:textId="77777777" w:rsidR="00A60DDE" w:rsidRDefault="00A60DDE">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7" w14:textId="77777777" w:rsidR="00A60DDE" w:rsidRDefault="00A60DDE">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B29A5" w14:textId="77777777" w:rsidR="00A60DDE" w:rsidRDefault="00095506">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7" w14:textId="77777777" w:rsidR="00A60DDE" w:rsidRDefault="00A60DDE">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9" w14:textId="77777777" w:rsidR="00A60DDE" w:rsidRDefault="00A60DDE">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EC03" w14:textId="77777777" w:rsidR="00A60DDE" w:rsidRDefault="00095506">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9" w14:textId="77777777" w:rsidR="00A60DDE" w:rsidRDefault="00A60DDE">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1" w14:textId="77777777" w:rsidR="00A60DDE" w:rsidRDefault="00A60DDE">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F232" w14:textId="77777777" w:rsidR="00A60DDE" w:rsidRDefault="00095506">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3" w14:textId="77777777" w:rsidR="00A60DDE" w:rsidRDefault="00A60DDE">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5" w14:textId="77777777" w:rsidR="00A60DDE" w:rsidRDefault="00A60DDE">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5E11" w14:textId="77777777" w:rsidR="00A60DDE" w:rsidRDefault="00095506">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7" w14:textId="77777777" w:rsidR="00A60DDE" w:rsidRDefault="00A60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EEA"/>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90BE0"/>
    <w:multiLevelType w:val="hybridMultilevel"/>
    <w:tmpl w:val="65609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D47ABD"/>
    <w:multiLevelType w:val="multilevel"/>
    <w:tmpl w:val="C8C6E6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455DAD"/>
    <w:multiLevelType w:val="hybridMultilevel"/>
    <w:tmpl w:val="F4445680"/>
    <w:lvl w:ilvl="0" w:tplc="FB2A14C8">
      <w:start w:val="1"/>
      <w:numFmt w:val="bullet"/>
      <w:lvlText w:val="-"/>
      <w:lvlJc w:val="left"/>
      <w:pPr>
        <w:ind w:left="360" w:hanging="360"/>
      </w:pPr>
      <w:rPr>
        <w:rFonts w:ascii="Times New Roman" w:eastAsia="Times New Roman"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A2E978"/>
    <w:multiLevelType w:val="hybridMultilevel"/>
    <w:tmpl w:val="FFFFFFFF"/>
    <w:lvl w:ilvl="0" w:tplc="0DE8FFDC">
      <w:start w:val="1"/>
      <w:numFmt w:val="bullet"/>
      <w:lvlText w:val=""/>
      <w:lvlJc w:val="left"/>
      <w:pPr>
        <w:ind w:left="360" w:hanging="360"/>
      </w:pPr>
      <w:rPr>
        <w:rFonts w:ascii="Symbol" w:hAnsi="Symbol" w:hint="default"/>
      </w:rPr>
    </w:lvl>
    <w:lvl w:ilvl="1" w:tplc="5F5840C4">
      <w:start w:val="1"/>
      <w:numFmt w:val="bullet"/>
      <w:lvlText w:val="o"/>
      <w:lvlJc w:val="left"/>
      <w:pPr>
        <w:ind w:left="1080" w:hanging="360"/>
      </w:pPr>
      <w:rPr>
        <w:rFonts w:ascii="Courier New" w:hAnsi="Courier New" w:hint="default"/>
      </w:rPr>
    </w:lvl>
    <w:lvl w:ilvl="2" w:tplc="ED00D7D4">
      <w:start w:val="1"/>
      <w:numFmt w:val="bullet"/>
      <w:lvlText w:val=""/>
      <w:lvlJc w:val="left"/>
      <w:pPr>
        <w:ind w:left="1800" w:hanging="360"/>
      </w:pPr>
      <w:rPr>
        <w:rFonts w:ascii="Wingdings" w:hAnsi="Wingdings" w:hint="default"/>
      </w:rPr>
    </w:lvl>
    <w:lvl w:ilvl="3" w:tplc="73945A2C">
      <w:start w:val="1"/>
      <w:numFmt w:val="bullet"/>
      <w:lvlText w:val=""/>
      <w:lvlJc w:val="left"/>
      <w:pPr>
        <w:ind w:left="2520" w:hanging="360"/>
      </w:pPr>
      <w:rPr>
        <w:rFonts w:ascii="Symbol" w:hAnsi="Symbol" w:hint="default"/>
      </w:rPr>
    </w:lvl>
    <w:lvl w:ilvl="4" w:tplc="B7165AFC">
      <w:start w:val="1"/>
      <w:numFmt w:val="bullet"/>
      <w:lvlText w:val="o"/>
      <w:lvlJc w:val="left"/>
      <w:pPr>
        <w:ind w:left="3240" w:hanging="360"/>
      </w:pPr>
      <w:rPr>
        <w:rFonts w:ascii="Courier New" w:hAnsi="Courier New" w:hint="default"/>
      </w:rPr>
    </w:lvl>
    <w:lvl w:ilvl="5" w:tplc="EE48F12A">
      <w:start w:val="1"/>
      <w:numFmt w:val="bullet"/>
      <w:lvlText w:val=""/>
      <w:lvlJc w:val="left"/>
      <w:pPr>
        <w:ind w:left="3960" w:hanging="360"/>
      </w:pPr>
      <w:rPr>
        <w:rFonts w:ascii="Wingdings" w:hAnsi="Wingdings" w:hint="default"/>
      </w:rPr>
    </w:lvl>
    <w:lvl w:ilvl="6" w:tplc="57EC700A">
      <w:start w:val="1"/>
      <w:numFmt w:val="bullet"/>
      <w:lvlText w:val=""/>
      <w:lvlJc w:val="left"/>
      <w:pPr>
        <w:ind w:left="4680" w:hanging="360"/>
      </w:pPr>
      <w:rPr>
        <w:rFonts w:ascii="Symbol" w:hAnsi="Symbol" w:hint="default"/>
      </w:rPr>
    </w:lvl>
    <w:lvl w:ilvl="7" w:tplc="ACA6E79A">
      <w:start w:val="1"/>
      <w:numFmt w:val="bullet"/>
      <w:lvlText w:val="o"/>
      <w:lvlJc w:val="left"/>
      <w:pPr>
        <w:ind w:left="5400" w:hanging="360"/>
      </w:pPr>
      <w:rPr>
        <w:rFonts w:ascii="Courier New" w:hAnsi="Courier New" w:hint="default"/>
      </w:rPr>
    </w:lvl>
    <w:lvl w:ilvl="8" w:tplc="B85C5866">
      <w:start w:val="1"/>
      <w:numFmt w:val="bullet"/>
      <w:lvlText w:val=""/>
      <w:lvlJc w:val="left"/>
      <w:pPr>
        <w:ind w:left="6120" w:hanging="360"/>
      </w:pPr>
      <w:rPr>
        <w:rFonts w:ascii="Wingdings" w:hAnsi="Wingdings" w:hint="default"/>
      </w:rPr>
    </w:lvl>
  </w:abstractNum>
  <w:abstractNum w:abstractNumId="5" w15:restartNumberingAfterBreak="0">
    <w:nsid w:val="09D73FFF"/>
    <w:multiLevelType w:val="hybridMultilevel"/>
    <w:tmpl w:val="92D0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935FB7"/>
    <w:multiLevelType w:val="hybridMultilevel"/>
    <w:tmpl w:val="79008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094407"/>
    <w:multiLevelType w:val="hybridMultilevel"/>
    <w:tmpl w:val="034CDBE4"/>
    <w:lvl w:ilvl="0" w:tplc="F5AC9194">
      <w:start w:val="1"/>
      <w:numFmt w:val="lowerLetter"/>
      <w:lvlText w:val="%1)"/>
      <w:lvlJc w:val="left"/>
      <w:pPr>
        <w:ind w:left="720" w:hanging="360"/>
      </w:pPr>
    </w:lvl>
    <w:lvl w:ilvl="1" w:tplc="7BA61674">
      <w:start w:val="1"/>
      <w:numFmt w:val="lowerRoman"/>
      <w:lvlText w:val="(%2)"/>
      <w:lvlJc w:val="right"/>
      <w:pPr>
        <w:ind w:left="1440" w:hanging="360"/>
      </w:pPr>
    </w:lvl>
    <w:lvl w:ilvl="2" w:tplc="B3D22FE8">
      <w:start w:val="1"/>
      <w:numFmt w:val="bullet"/>
      <w:lvlText w:val=""/>
      <w:lvlJc w:val="left"/>
      <w:pPr>
        <w:ind w:left="2160" w:hanging="360"/>
      </w:pPr>
      <w:rPr>
        <w:rFonts w:ascii="Wingdings" w:hAnsi="Wingdings" w:hint="default"/>
      </w:rPr>
    </w:lvl>
    <w:lvl w:ilvl="3" w:tplc="32DC84FE">
      <w:start w:val="1"/>
      <w:numFmt w:val="bullet"/>
      <w:lvlText w:val=""/>
      <w:lvlJc w:val="left"/>
      <w:pPr>
        <w:ind w:left="2880" w:hanging="360"/>
      </w:pPr>
      <w:rPr>
        <w:rFonts w:ascii="Symbol" w:hAnsi="Symbol" w:hint="default"/>
      </w:rPr>
    </w:lvl>
    <w:lvl w:ilvl="4" w:tplc="8738D99E">
      <w:start w:val="1"/>
      <w:numFmt w:val="bullet"/>
      <w:lvlText w:val="o"/>
      <w:lvlJc w:val="left"/>
      <w:pPr>
        <w:ind w:left="3600" w:hanging="360"/>
      </w:pPr>
      <w:rPr>
        <w:rFonts w:ascii="Courier New" w:hAnsi="Courier New" w:hint="default"/>
      </w:rPr>
    </w:lvl>
    <w:lvl w:ilvl="5" w:tplc="1C2C2432">
      <w:start w:val="1"/>
      <w:numFmt w:val="bullet"/>
      <w:lvlText w:val=""/>
      <w:lvlJc w:val="left"/>
      <w:pPr>
        <w:ind w:left="4320" w:hanging="360"/>
      </w:pPr>
      <w:rPr>
        <w:rFonts w:ascii="Wingdings" w:hAnsi="Wingdings" w:hint="default"/>
      </w:rPr>
    </w:lvl>
    <w:lvl w:ilvl="6" w:tplc="0EA8BF4A">
      <w:start w:val="1"/>
      <w:numFmt w:val="bullet"/>
      <w:lvlText w:val=""/>
      <w:lvlJc w:val="left"/>
      <w:pPr>
        <w:ind w:left="5040" w:hanging="360"/>
      </w:pPr>
      <w:rPr>
        <w:rFonts w:ascii="Symbol" w:hAnsi="Symbol" w:hint="default"/>
      </w:rPr>
    </w:lvl>
    <w:lvl w:ilvl="7" w:tplc="1E9804D2">
      <w:start w:val="1"/>
      <w:numFmt w:val="bullet"/>
      <w:lvlText w:val="o"/>
      <w:lvlJc w:val="left"/>
      <w:pPr>
        <w:ind w:left="5760" w:hanging="360"/>
      </w:pPr>
      <w:rPr>
        <w:rFonts w:ascii="Courier New" w:hAnsi="Courier New" w:hint="default"/>
      </w:rPr>
    </w:lvl>
    <w:lvl w:ilvl="8" w:tplc="4FD89600">
      <w:start w:val="1"/>
      <w:numFmt w:val="bullet"/>
      <w:lvlText w:val=""/>
      <w:lvlJc w:val="left"/>
      <w:pPr>
        <w:ind w:left="6480" w:hanging="360"/>
      </w:pPr>
      <w:rPr>
        <w:rFonts w:ascii="Wingdings" w:hAnsi="Wingdings" w:hint="default"/>
      </w:rPr>
    </w:lvl>
  </w:abstractNum>
  <w:abstractNum w:abstractNumId="8" w15:restartNumberingAfterBreak="0">
    <w:nsid w:val="1AE618A1"/>
    <w:multiLevelType w:val="hybridMultilevel"/>
    <w:tmpl w:val="ACEA336C"/>
    <w:lvl w:ilvl="0" w:tplc="FFFFFFFF">
      <w:start w:val="1"/>
      <w:numFmt w:val="bullet"/>
      <w:lvlText w:val=""/>
      <w:lvlJc w:val="left"/>
      <w:pPr>
        <w:ind w:left="720" w:hanging="360"/>
      </w:pPr>
      <w:rPr>
        <w:rFonts w:ascii="Symbol" w:hAnsi="Symbol" w:hint="default"/>
      </w:rPr>
    </w:lvl>
    <w:lvl w:ilvl="1" w:tplc="8DAA47EA">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DC482C"/>
    <w:multiLevelType w:val="multilevel"/>
    <w:tmpl w:val="0A7466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7F1BFB"/>
    <w:multiLevelType w:val="hybridMultilevel"/>
    <w:tmpl w:val="3BA8FE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1305D05"/>
    <w:multiLevelType w:val="hybridMultilevel"/>
    <w:tmpl w:val="50705556"/>
    <w:lvl w:ilvl="0" w:tplc="18090001">
      <w:start w:val="1"/>
      <w:numFmt w:val="bullet"/>
      <w:lvlText w:val=""/>
      <w:lvlJc w:val="left"/>
      <w:pPr>
        <w:ind w:left="720" w:hanging="360"/>
      </w:pPr>
      <w:rPr>
        <w:rFonts w:ascii="Symbol" w:hAnsi="Symbol"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840FDD"/>
    <w:multiLevelType w:val="hybridMultilevel"/>
    <w:tmpl w:val="14D801B0"/>
    <w:lvl w:ilvl="0" w:tplc="8DAA47EA">
      <w:start w:val="1"/>
      <w:numFmt w:val="lowerLetter"/>
      <w:lvlText w:val="%1."/>
      <w:lvlJc w:val="left"/>
      <w:pPr>
        <w:ind w:left="720" w:hanging="360"/>
      </w:p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D21CC"/>
    <w:multiLevelType w:val="hybridMultilevel"/>
    <w:tmpl w:val="69E29B8A"/>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600B51"/>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722EC3"/>
    <w:multiLevelType w:val="hybridMultilevel"/>
    <w:tmpl w:val="F73EAE80"/>
    <w:lvl w:ilvl="0" w:tplc="18090011">
      <w:start w:val="1"/>
      <w:numFmt w:val="decimal"/>
      <w:lvlText w:val="%1)"/>
      <w:lvlJc w:val="left"/>
      <w:pPr>
        <w:tabs>
          <w:tab w:val="num" w:pos="-720"/>
        </w:tabs>
      </w:p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6" w15:restartNumberingAfterBreak="0">
    <w:nsid w:val="267C2B09"/>
    <w:multiLevelType w:val="hybridMultilevel"/>
    <w:tmpl w:val="ACAE3E30"/>
    <w:lvl w:ilvl="0" w:tplc="18090001">
      <w:start w:val="1"/>
      <w:numFmt w:val="bullet"/>
      <w:lvlText w:val=""/>
      <w:lvlJc w:val="left"/>
      <w:pPr>
        <w:ind w:left="791" w:hanging="360"/>
      </w:pPr>
      <w:rPr>
        <w:rFonts w:ascii="Symbol" w:hAnsi="Symbol" w:hint="default"/>
      </w:rPr>
    </w:lvl>
    <w:lvl w:ilvl="1" w:tplc="FFFFFFFF">
      <w:start w:val="1"/>
      <w:numFmt w:val="lowerLetter"/>
      <w:lvlText w:val="%2."/>
      <w:lvlJc w:val="left"/>
      <w:pPr>
        <w:ind w:left="1511" w:hanging="360"/>
      </w:pPr>
    </w:lvl>
    <w:lvl w:ilvl="2" w:tplc="FFFFFFFF">
      <w:start w:val="1"/>
      <w:numFmt w:val="lowerRoman"/>
      <w:lvlText w:val="%3."/>
      <w:lvlJc w:val="right"/>
      <w:pPr>
        <w:ind w:left="2231" w:hanging="180"/>
      </w:pPr>
    </w:lvl>
    <w:lvl w:ilvl="3" w:tplc="FFFFFFFF">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7" w15:restartNumberingAfterBreak="0">
    <w:nsid w:val="29420503"/>
    <w:multiLevelType w:val="hybridMultilevel"/>
    <w:tmpl w:val="20A0EC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512611"/>
    <w:multiLevelType w:val="multilevel"/>
    <w:tmpl w:val="05EC8D4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0" w15:restartNumberingAfterBreak="0">
    <w:nsid w:val="3780717B"/>
    <w:multiLevelType w:val="multilevel"/>
    <w:tmpl w:val="745EC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152BF6"/>
    <w:multiLevelType w:val="hybridMultilevel"/>
    <w:tmpl w:val="D4DA6962"/>
    <w:lvl w:ilvl="0" w:tplc="860AAF8C">
      <w:start w:val="1"/>
      <w:numFmt w:val="decimal"/>
      <w:lvlText w:val="%1."/>
      <w:lvlJc w:val="left"/>
      <w:pPr>
        <w:ind w:left="720" w:hanging="360"/>
      </w:pPr>
      <w:rPr>
        <w:rFonts w:ascii="Times New Roman" w:hAnsi="Times New Roman" w:hint="default"/>
      </w:rPr>
    </w:lvl>
    <w:lvl w:ilvl="1" w:tplc="3E36F4A4">
      <w:start w:val="1"/>
      <w:numFmt w:val="lowerLetter"/>
      <w:lvlText w:val="%2."/>
      <w:lvlJc w:val="left"/>
      <w:pPr>
        <w:ind w:left="1440" w:hanging="360"/>
      </w:pPr>
    </w:lvl>
    <w:lvl w:ilvl="2" w:tplc="CD608458">
      <w:start w:val="1"/>
      <w:numFmt w:val="lowerRoman"/>
      <w:lvlText w:val="%3."/>
      <w:lvlJc w:val="right"/>
      <w:pPr>
        <w:ind w:left="2160" w:hanging="180"/>
      </w:pPr>
    </w:lvl>
    <w:lvl w:ilvl="3" w:tplc="99421654" w:tentative="1">
      <w:start w:val="1"/>
      <w:numFmt w:val="decimal"/>
      <w:lvlText w:val="%4."/>
      <w:lvlJc w:val="left"/>
      <w:pPr>
        <w:ind w:left="2880" w:hanging="360"/>
      </w:pPr>
    </w:lvl>
    <w:lvl w:ilvl="4" w:tplc="1C52E704" w:tentative="1">
      <w:start w:val="1"/>
      <w:numFmt w:val="lowerLetter"/>
      <w:lvlText w:val="%5."/>
      <w:lvlJc w:val="left"/>
      <w:pPr>
        <w:ind w:left="3600" w:hanging="360"/>
      </w:pPr>
    </w:lvl>
    <w:lvl w:ilvl="5" w:tplc="168432A4" w:tentative="1">
      <w:start w:val="1"/>
      <w:numFmt w:val="lowerRoman"/>
      <w:lvlText w:val="%6."/>
      <w:lvlJc w:val="right"/>
      <w:pPr>
        <w:ind w:left="4320" w:hanging="180"/>
      </w:pPr>
    </w:lvl>
    <w:lvl w:ilvl="6" w:tplc="328EDB04" w:tentative="1">
      <w:start w:val="1"/>
      <w:numFmt w:val="decimal"/>
      <w:lvlText w:val="%7."/>
      <w:lvlJc w:val="left"/>
      <w:pPr>
        <w:ind w:left="5040" w:hanging="360"/>
      </w:pPr>
    </w:lvl>
    <w:lvl w:ilvl="7" w:tplc="C032DDE8" w:tentative="1">
      <w:start w:val="1"/>
      <w:numFmt w:val="lowerLetter"/>
      <w:lvlText w:val="%8."/>
      <w:lvlJc w:val="left"/>
      <w:pPr>
        <w:ind w:left="5760" w:hanging="360"/>
      </w:pPr>
    </w:lvl>
    <w:lvl w:ilvl="8" w:tplc="997241CC" w:tentative="1">
      <w:start w:val="1"/>
      <w:numFmt w:val="lowerRoman"/>
      <w:lvlText w:val="%9."/>
      <w:lvlJc w:val="right"/>
      <w:pPr>
        <w:ind w:left="6480" w:hanging="180"/>
      </w:pPr>
    </w:lvl>
  </w:abstractNum>
  <w:abstractNum w:abstractNumId="22" w15:restartNumberingAfterBreak="0">
    <w:nsid w:val="382B7F75"/>
    <w:multiLevelType w:val="multilevel"/>
    <w:tmpl w:val="C50609B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3" w15:restartNumberingAfterBreak="0">
    <w:nsid w:val="3A5803D6"/>
    <w:multiLevelType w:val="multilevel"/>
    <w:tmpl w:val="7B6E913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3A7F4B78"/>
    <w:multiLevelType w:val="hybridMultilevel"/>
    <w:tmpl w:val="B546E0E8"/>
    <w:lvl w:ilvl="0" w:tplc="BB821B3C">
      <w:start w:val="1"/>
      <w:numFmt w:val="bullet"/>
      <w:lvlText w:val=""/>
      <w:lvlJc w:val="left"/>
      <w:pPr>
        <w:ind w:left="720" w:hanging="360"/>
      </w:pPr>
      <w:rPr>
        <w:rFonts w:ascii="Symbol" w:hAnsi="Symbol" w:hint="default"/>
      </w:rPr>
    </w:lvl>
    <w:lvl w:ilvl="1" w:tplc="1FAEE13C" w:tentative="1">
      <w:start w:val="1"/>
      <w:numFmt w:val="bullet"/>
      <w:lvlText w:val="o"/>
      <w:lvlJc w:val="left"/>
      <w:pPr>
        <w:ind w:left="1440" w:hanging="360"/>
      </w:pPr>
      <w:rPr>
        <w:rFonts w:ascii="Courier New" w:hAnsi="Courier New" w:hint="default"/>
      </w:rPr>
    </w:lvl>
    <w:lvl w:ilvl="2" w:tplc="519C598E" w:tentative="1">
      <w:start w:val="1"/>
      <w:numFmt w:val="bullet"/>
      <w:lvlText w:val=""/>
      <w:lvlJc w:val="left"/>
      <w:pPr>
        <w:ind w:left="2160" w:hanging="360"/>
      </w:pPr>
      <w:rPr>
        <w:rFonts w:ascii="Wingdings" w:hAnsi="Wingdings" w:hint="default"/>
      </w:rPr>
    </w:lvl>
    <w:lvl w:ilvl="3" w:tplc="F62216D8" w:tentative="1">
      <w:start w:val="1"/>
      <w:numFmt w:val="bullet"/>
      <w:lvlText w:val=""/>
      <w:lvlJc w:val="left"/>
      <w:pPr>
        <w:ind w:left="2880" w:hanging="360"/>
      </w:pPr>
      <w:rPr>
        <w:rFonts w:ascii="Symbol" w:hAnsi="Symbol" w:hint="default"/>
      </w:rPr>
    </w:lvl>
    <w:lvl w:ilvl="4" w:tplc="DF9268E8" w:tentative="1">
      <w:start w:val="1"/>
      <w:numFmt w:val="bullet"/>
      <w:lvlText w:val="o"/>
      <w:lvlJc w:val="left"/>
      <w:pPr>
        <w:ind w:left="3600" w:hanging="360"/>
      </w:pPr>
      <w:rPr>
        <w:rFonts w:ascii="Courier New" w:hAnsi="Courier New" w:hint="default"/>
      </w:rPr>
    </w:lvl>
    <w:lvl w:ilvl="5" w:tplc="F6A01A72" w:tentative="1">
      <w:start w:val="1"/>
      <w:numFmt w:val="bullet"/>
      <w:lvlText w:val=""/>
      <w:lvlJc w:val="left"/>
      <w:pPr>
        <w:ind w:left="4320" w:hanging="360"/>
      </w:pPr>
      <w:rPr>
        <w:rFonts w:ascii="Wingdings" w:hAnsi="Wingdings" w:hint="default"/>
      </w:rPr>
    </w:lvl>
    <w:lvl w:ilvl="6" w:tplc="F558F294" w:tentative="1">
      <w:start w:val="1"/>
      <w:numFmt w:val="bullet"/>
      <w:lvlText w:val=""/>
      <w:lvlJc w:val="left"/>
      <w:pPr>
        <w:ind w:left="5040" w:hanging="360"/>
      </w:pPr>
      <w:rPr>
        <w:rFonts w:ascii="Symbol" w:hAnsi="Symbol" w:hint="default"/>
      </w:rPr>
    </w:lvl>
    <w:lvl w:ilvl="7" w:tplc="9B80F826" w:tentative="1">
      <w:start w:val="1"/>
      <w:numFmt w:val="bullet"/>
      <w:lvlText w:val="o"/>
      <w:lvlJc w:val="left"/>
      <w:pPr>
        <w:ind w:left="5760" w:hanging="360"/>
      </w:pPr>
      <w:rPr>
        <w:rFonts w:ascii="Courier New" w:hAnsi="Courier New" w:hint="default"/>
      </w:rPr>
    </w:lvl>
    <w:lvl w:ilvl="8" w:tplc="8E42FEE8" w:tentative="1">
      <w:start w:val="1"/>
      <w:numFmt w:val="bullet"/>
      <w:lvlText w:val=""/>
      <w:lvlJc w:val="left"/>
      <w:pPr>
        <w:ind w:left="6480" w:hanging="360"/>
      </w:pPr>
      <w:rPr>
        <w:rFonts w:ascii="Wingdings" w:hAnsi="Wingdings" w:hint="default"/>
      </w:rPr>
    </w:lvl>
  </w:abstractNum>
  <w:abstractNum w:abstractNumId="25" w15:restartNumberingAfterBreak="0">
    <w:nsid w:val="3AB0328D"/>
    <w:multiLevelType w:val="multilevel"/>
    <w:tmpl w:val="EAE85194"/>
    <w:lvl w:ilvl="0">
      <w:start w:val="5"/>
      <w:numFmt w:val="lowerLetter"/>
      <w:lvlText w:val="%1."/>
      <w:lvlJc w:val="right"/>
      <w:pPr>
        <w:tabs>
          <w:tab w:val="num" w:pos="720"/>
        </w:tabs>
        <w:ind w:left="720" w:hanging="360"/>
      </w:pPr>
      <w:rPr>
        <w:rFonts w:hint="default"/>
      </w:rPr>
    </w:lvl>
    <w:lvl w:ilvl="1">
      <w:start w:val="1"/>
      <w:numFmt w:val="decimal"/>
      <w:lvlText w:val="%2."/>
      <w:lvlJc w:val="right"/>
      <w:pPr>
        <w:ind w:left="567" w:firstLine="284"/>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6" w15:restartNumberingAfterBreak="0">
    <w:nsid w:val="3C4F37D1"/>
    <w:multiLevelType w:val="hybridMultilevel"/>
    <w:tmpl w:val="8AF44120"/>
    <w:lvl w:ilvl="0" w:tplc="E2DA4992">
      <w:start w:val="1"/>
      <w:numFmt w:val="bullet"/>
      <w:lvlText w:val=""/>
      <w:lvlJc w:val="left"/>
      <w:pPr>
        <w:ind w:left="720" w:hanging="360"/>
      </w:pPr>
      <w:rPr>
        <w:rFonts w:ascii="Symbol" w:hAnsi="Symbol" w:hint="default"/>
      </w:rPr>
    </w:lvl>
    <w:lvl w:ilvl="1" w:tplc="BC94FD6C">
      <w:start w:val="1"/>
      <w:numFmt w:val="bullet"/>
      <w:lvlText w:val="o"/>
      <w:lvlJc w:val="left"/>
      <w:pPr>
        <w:ind w:left="1440" w:hanging="360"/>
      </w:pPr>
      <w:rPr>
        <w:rFonts w:ascii="Courier New" w:hAnsi="Courier New" w:hint="default"/>
      </w:rPr>
    </w:lvl>
    <w:lvl w:ilvl="2" w:tplc="C422FFAC">
      <w:start w:val="1"/>
      <w:numFmt w:val="bullet"/>
      <w:lvlText w:val=""/>
      <w:lvlJc w:val="left"/>
      <w:pPr>
        <w:ind w:left="2160" w:hanging="360"/>
      </w:pPr>
      <w:rPr>
        <w:rFonts w:ascii="Wingdings" w:hAnsi="Wingdings" w:hint="default"/>
      </w:rPr>
    </w:lvl>
    <w:lvl w:ilvl="3" w:tplc="3828E6FA">
      <w:start w:val="1"/>
      <w:numFmt w:val="bullet"/>
      <w:lvlText w:val=""/>
      <w:lvlJc w:val="left"/>
      <w:pPr>
        <w:ind w:left="2880" w:hanging="360"/>
      </w:pPr>
      <w:rPr>
        <w:rFonts w:ascii="Symbol" w:hAnsi="Symbol" w:hint="default"/>
      </w:rPr>
    </w:lvl>
    <w:lvl w:ilvl="4" w:tplc="AD72A14E">
      <w:start w:val="1"/>
      <w:numFmt w:val="bullet"/>
      <w:lvlText w:val="o"/>
      <w:lvlJc w:val="left"/>
      <w:pPr>
        <w:ind w:left="3600" w:hanging="360"/>
      </w:pPr>
      <w:rPr>
        <w:rFonts w:ascii="Courier New" w:hAnsi="Courier New" w:hint="default"/>
      </w:rPr>
    </w:lvl>
    <w:lvl w:ilvl="5" w:tplc="B5340AE4">
      <w:start w:val="1"/>
      <w:numFmt w:val="bullet"/>
      <w:lvlText w:val=""/>
      <w:lvlJc w:val="left"/>
      <w:pPr>
        <w:ind w:left="4320" w:hanging="360"/>
      </w:pPr>
      <w:rPr>
        <w:rFonts w:ascii="Wingdings" w:hAnsi="Wingdings" w:hint="default"/>
      </w:rPr>
    </w:lvl>
    <w:lvl w:ilvl="6" w:tplc="42AC5014">
      <w:start w:val="1"/>
      <w:numFmt w:val="bullet"/>
      <w:lvlText w:val=""/>
      <w:lvlJc w:val="left"/>
      <w:pPr>
        <w:ind w:left="5040" w:hanging="360"/>
      </w:pPr>
      <w:rPr>
        <w:rFonts w:ascii="Symbol" w:hAnsi="Symbol" w:hint="default"/>
      </w:rPr>
    </w:lvl>
    <w:lvl w:ilvl="7" w:tplc="9820AADC">
      <w:start w:val="1"/>
      <w:numFmt w:val="bullet"/>
      <w:lvlText w:val="o"/>
      <w:lvlJc w:val="left"/>
      <w:pPr>
        <w:ind w:left="5760" w:hanging="360"/>
      </w:pPr>
      <w:rPr>
        <w:rFonts w:ascii="Courier New" w:hAnsi="Courier New" w:hint="default"/>
      </w:rPr>
    </w:lvl>
    <w:lvl w:ilvl="8" w:tplc="4DF41506">
      <w:start w:val="1"/>
      <w:numFmt w:val="bullet"/>
      <w:lvlText w:val=""/>
      <w:lvlJc w:val="left"/>
      <w:pPr>
        <w:ind w:left="6480" w:hanging="360"/>
      </w:pPr>
      <w:rPr>
        <w:rFonts w:ascii="Wingdings" w:hAnsi="Wingdings" w:hint="default"/>
      </w:rPr>
    </w:lvl>
  </w:abstractNum>
  <w:abstractNum w:abstractNumId="27" w15:restartNumberingAfterBreak="0">
    <w:nsid w:val="4389DB2B"/>
    <w:multiLevelType w:val="multilevel"/>
    <w:tmpl w:val="714CD33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5E11345"/>
    <w:multiLevelType w:val="hybridMultilevel"/>
    <w:tmpl w:val="C1707F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0FB761F"/>
    <w:multiLevelType w:val="hybridMultilevel"/>
    <w:tmpl w:val="ABFE9C44"/>
    <w:lvl w:ilvl="0" w:tplc="77B01DC8">
      <w:start w:val="1"/>
      <w:numFmt w:val="decimal"/>
      <w:lvlText w:val="%1)"/>
      <w:lvlJc w:val="left"/>
      <w:pPr>
        <w:ind w:left="1020" w:hanging="360"/>
      </w:pPr>
    </w:lvl>
    <w:lvl w:ilvl="1" w:tplc="C9B481C0">
      <w:start w:val="1"/>
      <w:numFmt w:val="decimal"/>
      <w:lvlText w:val="%2)"/>
      <w:lvlJc w:val="left"/>
      <w:pPr>
        <w:ind w:left="1020" w:hanging="360"/>
      </w:pPr>
    </w:lvl>
    <w:lvl w:ilvl="2" w:tplc="3034867A">
      <w:start w:val="1"/>
      <w:numFmt w:val="decimal"/>
      <w:lvlText w:val="%3)"/>
      <w:lvlJc w:val="left"/>
      <w:pPr>
        <w:ind w:left="1020" w:hanging="360"/>
      </w:pPr>
    </w:lvl>
    <w:lvl w:ilvl="3" w:tplc="97E25F14">
      <w:start w:val="1"/>
      <w:numFmt w:val="decimal"/>
      <w:lvlText w:val="%4)"/>
      <w:lvlJc w:val="left"/>
      <w:pPr>
        <w:ind w:left="1020" w:hanging="360"/>
      </w:pPr>
    </w:lvl>
    <w:lvl w:ilvl="4" w:tplc="D77AF268">
      <w:start w:val="1"/>
      <w:numFmt w:val="decimal"/>
      <w:lvlText w:val="%5)"/>
      <w:lvlJc w:val="left"/>
      <w:pPr>
        <w:ind w:left="1020" w:hanging="360"/>
      </w:pPr>
    </w:lvl>
    <w:lvl w:ilvl="5" w:tplc="41B649A0">
      <w:start w:val="1"/>
      <w:numFmt w:val="decimal"/>
      <w:lvlText w:val="%6)"/>
      <w:lvlJc w:val="left"/>
      <w:pPr>
        <w:ind w:left="1020" w:hanging="360"/>
      </w:pPr>
    </w:lvl>
    <w:lvl w:ilvl="6" w:tplc="D4AE9174">
      <w:start w:val="1"/>
      <w:numFmt w:val="decimal"/>
      <w:lvlText w:val="%7)"/>
      <w:lvlJc w:val="left"/>
      <w:pPr>
        <w:ind w:left="1020" w:hanging="360"/>
      </w:pPr>
    </w:lvl>
    <w:lvl w:ilvl="7" w:tplc="9974A702">
      <w:start w:val="1"/>
      <w:numFmt w:val="decimal"/>
      <w:lvlText w:val="%8)"/>
      <w:lvlJc w:val="left"/>
      <w:pPr>
        <w:ind w:left="1020" w:hanging="360"/>
      </w:pPr>
    </w:lvl>
    <w:lvl w:ilvl="8" w:tplc="7A2A35C0">
      <w:start w:val="1"/>
      <w:numFmt w:val="decimal"/>
      <w:lvlText w:val="%9)"/>
      <w:lvlJc w:val="left"/>
      <w:pPr>
        <w:ind w:left="1020" w:hanging="360"/>
      </w:pPr>
    </w:lvl>
  </w:abstractNum>
  <w:abstractNum w:abstractNumId="30" w15:restartNumberingAfterBreak="0">
    <w:nsid w:val="51CF33DB"/>
    <w:multiLevelType w:val="multilevel"/>
    <w:tmpl w:val="AEDA8ED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3DE2701"/>
    <w:multiLevelType w:val="multilevel"/>
    <w:tmpl w:val="E042E42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55D1683C"/>
    <w:multiLevelType w:val="hybridMultilevel"/>
    <w:tmpl w:val="05F83328"/>
    <w:lvl w:ilvl="0" w:tplc="1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3" w15:restartNumberingAfterBreak="0">
    <w:nsid w:val="57A04EC1"/>
    <w:multiLevelType w:val="multilevel"/>
    <w:tmpl w:val="00F87F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58236F01"/>
    <w:multiLevelType w:val="multilevel"/>
    <w:tmpl w:val="7E84EC8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D6B16AC"/>
    <w:multiLevelType w:val="hybridMultilevel"/>
    <w:tmpl w:val="15363A72"/>
    <w:lvl w:ilvl="0" w:tplc="80CCA7D6">
      <w:start w:val="1"/>
      <w:numFmt w:val="decimal"/>
      <w:lvlText w:val="%1)"/>
      <w:lvlJc w:val="left"/>
      <w:pPr>
        <w:ind w:left="1020" w:hanging="360"/>
      </w:pPr>
    </w:lvl>
    <w:lvl w:ilvl="1" w:tplc="3EEEB0DC">
      <w:start w:val="1"/>
      <w:numFmt w:val="decimal"/>
      <w:lvlText w:val="%2)"/>
      <w:lvlJc w:val="left"/>
      <w:pPr>
        <w:ind w:left="1020" w:hanging="360"/>
      </w:pPr>
    </w:lvl>
    <w:lvl w:ilvl="2" w:tplc="8570A1F2">
      <w:start w:val="1"/>
      <w:numFmt w:val="decimal"/>
      <w:lvlText w:val="%3)"/>
      <w:lvlJc w:val="left"/>
      <w:pPr>
        <w:ind w:left="1020" w:hanging="360"/>
      </w:pPr>
    </w:lvl>
    <w:lvl w:ilvl="3" w:tplc="61A08BBE">
      <w:start w:val="1"/>
      <w:numFmt w:val="decimal"/>
      <w:lvlText w:val="%4)"/>
      <w:lvlJc w:val="left"/>
      <w:pPr>
        <w:ind w:left="1020" w:hanging="360"/>
      </w:pPr>
    </w:lvl>
    <w:lvl w:ilvl="4" w:tplc="972AAA02">
      <w:start w:val="1"/>
      <w:numFmt w:val="decimal"/>
      <w:lvlText w:val="%5)"/>
      <w:lvlJc w:val="left"/>
      <w:pPr>
        <w:ind w:left="1020" w:hanging="360"/>
      </w:pPr>
    </w:lvl>
    <w:lvl w:ilvl="5" w:tplc="9050F606">
      <w:start w:val="1"/>
      <w:numFmt w:val="decimal"/>
      <w:lvlText w:val="%6)"/>
      <w:lvlJc w:val="left"/>
      <w:pPr>
        <w:ind w:left="1020" w:hanging="360"/>
      </w:pPr>
    </w:lvl>
    <w:lvl w:ilvl="6" w:tplc="E0DC1222">
      <w:start w:val="1"/>
      <w:numFmt w:val="decimal"/>
      <w:lvlText w:val="%7)"/>
      <w:lvlJc w:val="left"/>
      <w:pPr>
        <w:ind w:left="1020" w:hanging="360"/>
      </w:pPr>
    </w:lvl>
    <w:lvl w:ilvl="7" w:tplc="212E5C92">
      <w:start w:val="1"/>
      <w:numFmt w:val="decimal"/>
      <w:lvlText w:val="%8)"/>
      <w:lvlJc w:val="left"/>
      <w:pPr>
        <w:ind w:left="1020" w:hanging="360"/>
      </w:pPr>
    </w:lvl>
    <w:lvl w:ilvl="8" w:tplc="BEA43C32">
      <w:start w:val="1"/>
      <w:numFmt w:val="decimal"/>
      <w:lvlText w:val="%9)"/>
      <w:lvlJc w:val="left"/>
      <w:pPr>
        <w:ind w:left="1020" w:hanging="360"/>
      </w:pPr>
    </w:lvl>
  </w:abstractNum>
  <w:abstractNum w:abstractNumId="36" w15:restartNumberingAfterBreak="0">
    <w:nsid w:val="66BD1EB4"/>
    <w:multiLevelType w:val="hybridMultilevel"/>
    <w:tmpl w:val="9A9CD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A551E1B"/>
    <w:multiLevelType w:val="multilevel"/>
    <w:tmpl w:val="A41682B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C77799"/>
    <w:multiLevelType w:val="multilevel"/>
    <w:tmpl w:val="C226B378"/>
    <w:lvl w:ilvl="0">
      <w:start w:val="1"/>
      <w:numFmt w:val="decimal"/>
      <w:lvlText w:val="%1."/>
      <w:lvlJc w:val="left"/>
      <w:pPr>
        <w:tabs>
          <w:tab w:val="num" w:pos="720"/>
        </w:tabs>
        <w:ind w:left="720" w:hanging="360"/>
      </w:pPr>
      <w:rPr>
        <w:rFonts w:hint="default"/>
      </w:rPr>
    </w:lvl>
    <w:lvl w:ilvl="1">
      <w:start w:val="1"/>
      <w:numFmt w:val="lowerLetter"/>
      <w:lvlText w:val="%2."/>
      <w:lvlJc w:val="left"/>
      <w:pPr>
        <w:ind w:left="36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76D30F9A"/>
    <w:multiLevelType w:val="hybridMultilevel"/>
    <w:tmpl w:val="9112EC68"/>
    <w:lvl w:ilvl="0" w:tplc="1809001B">
      <w:start w:val="1"/>
      <w:numFmt w:val="lowerRoman"/>
      <w:lvlText w:val="%1."/>
      <w:lvlJc w:val="right"/>
      <w:pPr>
        <w:ind w:left="720" w:hanging="360"/>
      </w:pPr>
      <w:rPr>
        <w:rFonts w:hint="default"/>
      </w:rPr>
    </w:lvl>
    <w:lvl w:ilvl="1" w:tplc="1EFCF6E2">
      <w:start w:val="1"/>
      <w:numFmt w:val="bullet"/>
      <w:lvlText w:val=""/>
      <w:lvlJc w:val="left"/>
      <w:pPr>
        <w:ind w:left="1440" w:hanging="360"/>
      </w:pPr>
      <w:rPr>
        <w:rFonts w:ascii="Symbol" w:hAnsi="Symbol" w:hint="default"/>
      </w:rPr>
    </w:lvl>
    <w:lvl w:ilvl="2" w:tplc="FA66BF8A">
      <w:start w:val="1"/>
      <w:numFmt w:val="bullet"/>
      <w:lvlText w:val=""/>
      <w:lvlJc w:val="left"/>
      <w:pPr>
        <w:ind w:left="2160" w:hanging="360"/>
      </w:pPr>
      <w:rPr>
        <w:rFonts w:ascii="Wingdings" w:hAnsi="Wingdings" w:hint="default"/>
      </w:rPr>
    </w:lvl>
    <w:lvl w:ilvl="3" w:tplc="B8B0B8B0">
      <w:start w:val="1"/>
      <w:numFmt w:val="bullet"/>
      <w:lvlText w:val=""/>
      <w:lvlJc w:val="left"/>
      <w:pPr>
        <w:ind w:left="2880" w:hanging="360"/>
      </w:pPr>
      <w:rPr>
        <w:rFonts w:ascii="Symbol" w:hAnsi="Symbol" w:hint="default"/>
      </w:rPr>
    </w:lvl>
    <w:lvl w:ilvl="4" w:tplc="BD04F172">
      <w:start w:val="1"/>
      <w:numFmt w:val="bullet"/>
      <w:lvlText w:val="o"/>
      <w:lvlJc w:val="left"/>
      <w:pPr>
        <w:ind w:left="3600" w:hanging="360"/>
      </w:pPr>
      <w:rPr>
        <w:rFonts w:ascii="Courier New" w:hAnsi="Courier New" w:hint="default"/>
      </w:rPr>
    </w:lvl>
    <w:lvl w:ilvl="5" w:tplc="4FEEF374">
      <w:start w:val="1"/>
      <w:numFmt w:val="bullet"/>
      <w:lvlText w:val=""/>
      <w:lvlJc w:val="left"/>
      <w:pPr>
        <w:ind w:left="4320" w:hanging="360"/>
      </w:pPr>
      <w:rPr>
        <w:rFonts w:ascii="Wingdings" w:hAnsi="Wingdings" w:hint="default"/>
      </w:rPr>
    </w:lvl>
    <w:lvl w:ilvl="6" w:tplc="34FACFA4">
      <w:start w:val="1"/>
      <w:numFmt w:val="bullet"/>
      <w:lvlText w:val=""/>
      <w:lvlJc w:val="left"/>
      <w:pPr>
        <w:ind w:left="5040" w:hanging="360"/>
      </w:pPr>
      <w:rPr>
        <w:rFonts w:ascii="Symbol" w:hAnsi="Symbol" w:hint="default"/>
      </w:rPr>
    </w:lvl>
    <w:lvl w:ilvl="7" w:tplc="834EBA58">
      <w:start w:val="1"/>
      <w:numFmt w:val="bullet"/>
      <w:lvlText w:val="o"/>
      <w:lvlJc w:val="left"/>
      <w:pPr>
        <w:ind w:left="5760" w:hanging="360"/>
      </w:pPr>
      <w:rPr>
        <w:rFonts w:ascii="Courier New" w:hAnsi="Courier New" w:hint="default"/>
      </w:rPr>
    </w:lvl>
    <w:lvl w:ilvl="8" w:tplc="460A8394">
      <w:start w:val="1"/>
      <w:numFmt w:val="bullet"/>
      <w:lvlText w:val=""/>
      <w:lvlJc w:val="left"/>
      <w:pPr>
        <w:ind w:left="6480" w:hanging="360"/>
      </w:pPr>
      <w:rPr>
        <w:rFonts w:ascii="Wingdings" w:hAnsi="Wingdings" w:hint="default"/>
      </w:rPr>
    </w:lvl>
  </w:abstractNum>
  <w:abstractNum w:abstractNumId="40" w15:restartNumberingAfterBreak="0">
    <w:nsid w:val="76E614FF"/>
    <w:multiLevelType w:val="multilevel"/>
    <w:tmpl w:val="7B2232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41" w15:restartNumberingAfterBreak="0">
    <w:nsid w:val="7CB5111C"/>
    <w:multiLevelType w:val="hybridMultilevel"/>
    <w:tmpl w:val="F266D1EA"/>
    <w:lvl w:ilvl="0" w:tplc="FFBC6024">
      <w:start w:val="1"/>
      <w:numFmt w:val="bullet"/>
      <w:lvlText w:val=""/>
      <w:lvlJc w:val="left"/>
      <w:pPr>
        <w:ind w:left="720" w:hanging="360"/>
      </w:pPr>
      <w:rPr>
        <w:rFonts w:ascii="Symbol" w:hAnsi="Symbol" w:hint="default"/>
        <w:b w:val="0"/>
        <w:i w:val="0"/>
        <w:sz w:val="20"/>
      </w:rPr>
    </w:lvl>
    <w:lvl w:ilvl="1" w:tplc="410499FC">
      <w:start w:val="1"/>
      <w:numFmt w:val="lowerLetter"/>
      <w:lvlText w:val="%2."/>
      <w:lvlJc w:val="left"/>
      <w:pPr>
        <w:ind w:left="1440" w:hanging="360"/>
      </w:pPr>
    </w:lvl>
    <w:lvl w:ilvl="2" w:tplc="F2122FBC">
      <w:start w:val="1"/>
      <w:numFmt w:val="lowerRoman"/>
      <w:lvlText w:val="%3."/>
      <w:lvlJc w:val="right"/>
      <w:pPr>
        <w:ind w:left="2160" w:hanging="180"/>
      </w:pPr>
    </w:lvl>
    <w:lvl w:ilvl="3" w:tplc="A5842E00">
      <w:start w:val="1"/>
      <w:numFmt w:val="decimal"/>
      <w:lvlText w:val="%4."/>
      <w:lvlJc w:val="left"/>
      <w:pPr>
        <w:ind w:left="2880" w:hanging="360"/>
      </w:pPr>
    </w:lvl>
    <w:lvl w:ilvl="4" w:tplc="15A83A82">
      <w:start w:val="1"/>
      <w:numFmt w:val="lowerLetter"/>
      <w:lvlText w:val="%5."/>
      <w:lvlJc w:val="left"/>
      <w:pPr>
        <w:ind w:left="3600" w:hanging="360"/>
      </w:pPr>
    </w:lvl>
    <w:lvl w:ilvl="5" w:tplc="DBEA3690">
      <w:start w:val="1"/>
      <w:numFmt w:val="lowerRoman"/>
      <w:lvlText w:val="%6."/>
      <w:lvlJc w:val="right"/>
      <w:pPr>
        <w:ind w:left="4320" w:hanging="180"/>
      </w:pPr>
    </w:lvl>
    <w:lvl w:ilvl="6" w:tplc="B4084B7A">
      <w:start w:val="1"/>
      <w:numFmt w:val="decimal"/>
      <w:lvlText w:val="%7."/>
      <w:lvlJc w:val="left"/>
      <w:pPr>
        <w:ind w:left="5040" w:hanging="360"/>
      </w:pPr>
    </w:lvl>
    <w:lvl w:ilvl="7" w:tplc="FF54D6A4">
      <w:start w:val="1"/>
      <w:numFmt w:val="lowerLetter"/>
      <w:lvlText w:val="%8."/>
      <w:lvlJc w:val="left"/>
      <w:pPr>
        <w:ind w:left="5760" w:hanging="360"/>
      </w:pPr>
    </w:lvl>
    <w:lvl w:ilvl="8" w:tplc="FE7C8D0A">
      <w:start w:val="1"/>
      <w:numFmt w:val="lowerRoman"/>
      <w:lvlText w:val="%9."/>
      <w:lvlJc w:val="right"/>
      <w:pPr>
        <w:ind w:left="6480" w:hanging="180"/>
      </w:pPr>
    </w:lvl>
  </w:abstractNum>
  <w:abstractNum w:abstractNumId="42" w15:restartNumberingAfterBreak="0">
    <w:nsid w:val="7E920622"/>
    <w:multiLevelType w:val="hybridMultilevel"/>
    <w:tmpl w:val="D764B1FC"/>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23"/>
  </w:num>
  <w:num w:numId="4">
    <w:abstractNumId w:val="6"/>
  </w:num>
  <w:num w:numId="5">
    <w:abstractNumId w:val="26"/>
  </w:num>
  <w:num w:numId="6">
    <w:abstractNumId w:val="0"/>
  </w:num>
  <w:num w:numId="7">
    <w:abstractNumId w:val="14"/>
  </w:num>
  <w:num w:numId="8">
    <w:abstractNumId w:val="15"/>
  </w:num>
  <w:num w:numId="9">
    <w:abstractNumId w:val="16"/>
  </w:num>
  <w:num w:numId="10">
    <w:abstractNumId w:val="17"/>
  </w:num>
  <w:num w:numId="11">
    <w:abstractNumId w:val="21"/>
  </w:num>
  <w:num w:numId="12">
    <w:abstractNumId w:val="40"/>
  </w:num>
  <w:num w:numId="13">
    <w:abstractNumId w:val="11"/>
  </w:num>
  <w:num w:numId="14">
    <w:abstractNumId w:val="13"/>
  </w:num>
  <w:num w:numId="15">
    <w:abstractNumId w:val="12"/>
  </w:num>
  <w:num w:numId="16">
    <w:abstractNumId w:val="8"/>
  </w:num>
  <w:num w:numId="17">
    <w:abstractNumId w:val="27"/>
  </w:num>
  <w:num w:numId="18">
    <w:abstractNumId w:val="37"/>
  </w:num>
  <w:num w:numId="19">
    <w:abstractNumId w:val="33"/>
  </w:num>
  <w:num w:numId="20">
    <w:abstractNumId w:val="38"/>
  </w:num>
  <w:num w:numId="21">
    <w:abstractNumId w:val="30"/>
  </w:num>
  <w:num w:numId="22">
    <w:abstractNumId w:val="19"/>
  </w:num>
  <w:num w:numId="23">
    <w:abstractNumId w:val="3"/>
  </w:num>
  <w:num w:numId="24">
    <w:abstractNumId w:val="32"/>
  </w:num>
  <w:num w:numId="25">
    <w:abstractNumId w:val="4"/>
  </w:num>
  <w:num w:numId="26">
    <w:abstractNumId w:val="2"/>
  </w:num>
  <w:num w:numId="27">
    <w:abstractNumId w:val="22"/>
  </w:num>
  <w:num w:numId="28">
    <w:abstractNumId w:val="42"/>
  </w:num>
  <w:num w:numId="29">
    <w:abstractNumId w:val="24"/>
  </w:num>
  <w:num w:numId="30">
    <w:abstractNumId w:val="41"/>
  </w:num>
  <w:num w:numId="31">
    <w:abstractNumId w:val="31"/>
  </w:num>
  <w:num w:numId="32">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39"/>
  </w:num>
  <w:num w:numId="34">
    <w:abstractNumId w:val="1"/>
  </w:num>
  <w:num w:numId="35">
    <w:abstractNumId w:val="34"/>
  </w:num>
  <w:num w:numId="36">
    <w:abstractNumId w:val="25"/>
  </w:num>
  <w:num w:numId="37">
    <w:abstractNumId w:val="10"/>
  </w:num>
  <w:num w:numId="38">
    <w:abstractNumId w:val="36"/>
  </w:num>
  <w:num w:numId="39">
    <w:abstractNumId w:val="28"/>
  </w:num>
  <w:num w:numId="40">
    <w:abstractNumId w:val="29"/>
  </w:num>
  <w:num w:numId="41">
    <w:abstractNumId w:val="35"/>
  </w:num>
  <w:num w:numId="42">
    <w:abstractNumId w:val="20"/>
  </w:num>
  <w:num w:numId="43">
    <w:abstractNumId w:val="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CR_RefLast" w:val="0"/>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4&lt;/text&gt;_x000d__x000a_  &lt;/metadata&gt;_x000d__x000a_  &lt;metadata key=&quot;md_Prefix&quot;&gt;_x000d__x000a_    &lt;text&gt;&lt;/text&gt;_x000d__x000a_  &lt;/metadata&gt;_x000d__x000a_  &lt;metadata key=&quot;md_DocumentNumber&quot;&gt;_x000d__x000a_    &lt;text&gt;15795&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86&lt;/text&gt;_x000d__x000a_      &lt;text&gt;UEM 579&lt;/text&gt;_x000d__x000a_      &lt;text&gt;FIN 143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9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7 June 2022 on the approval of the assessment of the recovery and resilience plan for Poland&quot;&gt;&amp;lt;FlowDocument xmlns=&quot;http://schemas.microsoft.com/winfx/2006/xaml/presentation&quot;&amp;gt;&amp;lt;Paragraph&amp;gt;ANNEX to the COUNCIL IMPLEMENTING DECISION amending Implementing Decision of 17 June 2022 on the approval of the assessment of the recovery and resilience plan for Poland&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48476669782992677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07-01&lt;/text&gt;_x000d__x000a_  &lt;/metadata&gt;_x000d__x000a_  &lt;metadata key=&quot;md_Prefix&quot;&gt;_x000d__x000a_    &lt;text&gt;&lt;/text&gt;_x000d__x000a_  &lt;/metadata&gt;_x000d__x000a_  &lt;metadata key=&quot;md_DocumentNumber&quot;&gt;_x000d__x000a_    &lt;text&gt;11799&lt;/text&gt;_x000d__x000a_  &lt;/metadata&gt;_x000d__x000a_  &lt;metadata key=&quot;md_YearDocumentNumber&quot;&gt;_x000d__x000a_    &lt;text&gt;2024&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11&lt;/text&gt;_x000d__x000a_      &lt;text&gt;UEM 221&lt;/text&gt;_x000d__x000a_      &lt;text&gt;FIN 641&lt;/text&gt;_x000d__x000a_      &lt;text&gt;CADREFIN 11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4/0158(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4-07-01&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4) 284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9728/22 INIT; ST/9728/22 ADD 1) of 17 June 2022 on the approval of the assessment of the recovery and resilience plan for Po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9728/22 INIT; ST/9728/22 ADD 1) of 17 June 2022 on the approval of the assessment of the recovery and resilience plan for Po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LEB/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DE&lt;/text&gt;_x000d__x000a_  &lt;/metadata&gt;_x000d__x000a_  &lt;metadata key=&quot;md_SourceDocType&quot;&gt;_x000d__x000a_    &lt;text&gt;ANNEX&lt;/text&gt;_x000d__x000a_  &lt;/metadata&gt;_x000d__x000a_  &lt;metadata key=&quot;md_SourceDocTitle&quot;&gt;_x000d__x000a_    &lt;text&gt;to the _x000d__x000a_Proposal for a COUNCIL IMPLEMENTING DECISION _x000d__x000a_amending Implementing Decision (EU) (ST 9728/22 INIT; ST/9728/22 ADD 1) of 17 June 2022 on the approval of the assessment of the recovery and resilience plan for Po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la "/>
    <w:docVar w:name="LW_ANNEX_NBR_FIRST" w:val="1"/>
    <w:docVar w:name="LW_ANNEX_NBR_LAST" w:val="1"/>
    <w:docVar w:name="LW_ANNEX_UNIQUE" w:val="1"/>
    <w:docVar w:name="LW_CORRIGENDUM" w:val="&lt;UNUSED&gt;"/>
    <w:docVar w:name="LW_COVERPAGE_EXISTS" w:val="True"/>
    <w:docVar w:name="LW_COVERPAGE_GUID" w:val="04662072-8584-4823-9D01-9EED799D93F5"/>
    <w:docVar w:name="LW_COVERPAGE_TYPE" w:val="1"/>
    <w:docVar w:name="LW_CROSSREFERENCE" w:val="{SWD(2026) 265 final}"/>
    <w:docVar w:name="LW_DocType" w:val="DW_COUNCIL"/>
    <w:docVar w:name="LW_EMISSION" w:val="7.8.2026"/>
    <w:docVar w:name="LW_EMISSION_ISODATE" w:val="2026-08-0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de modificare a Deciziei de punere în aplicare din 17 iunie 2022 de aprobare a evalu\u259?rii planului de redresare \u537?i rezilien\u539?\u259? al Poloniei&lt;/FMT&gt;"/>
    <w:docVar w:name="LW_PART_NBR" w:val="1"/>
    <w:docVar w:name="LW_PART_NBR_TOTAL" w:val="1"/>
    <w:docVar w:name="LW_REF.INST.NEW" w:val="COM"/>
    <w:docVar w:name="LW_REF.INST.NEW_ADOPTED" w:val="final"/>
    <w:docVar w:name="LW_REF.INST.NEW_TEXT" w:val="(2026) 4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_x000b_"/>
    <w:docVar w:name="LwApiVersions" w:val="LW4CoDe 1.24.5.0; LW 9.2, Build 20251112"/>
  </w:docVars>
  <w:rsids>
    <w:rsidRoot w:val="00A86151"/>
    <w:rsid w:val="00000324"/>
    <w:rsid w:val="00000C80"/>
    <w:rsid w:val="00000F30"/>
    <w:rsid w:val="0000115D"/>
    <w:rsid w:val="00001E97"/>
    <w:rsid w:val="00001F40"/>
    <w:rsid w:val="0000212D"/>
    <w:rsid w:val="0000216A"/>
    <w:rsid w:val="00002305"/>
    <w:rsid w:val="000026BA"/>
    <w:rsid w:val="000027B7"/>
    <w:rsid w:val="00002FED"/>
    <w:rsid w:val="00003384"/>
    <w:rsid w:val="000036A5"/>
    <w:rsid w:val="00003C9A"/>
    <w:rsid w:val="00003D1C"/>
    <w:rsid w:val="00003E77"/>
    <w:rsid w:val="00003FAE"/>
    <w:rsid w:val="0000427E"/>
    <w:rsid w:val="00004412"/>
    <w:rsid w:val="0000458B"/>
    <w:rsid w:val="00004851"/>
    <w:rsid w:val="00004A56"/>
    <w:rsid w:val="00005602"/>
    <w:rsid w:val="00005C49"/>
    <w:rsid w:val="00005DE1"/>
    <w:rsid w:val="00006D0E"/>
    <w:rsid w:val="00006F87"/>
    <w:rsid w:val="000070F9"/>
    <w:rsid w:val="0000743D"/>
    <w:rsid w:val="000075F4"/>
    <w:rsid w:val="00007731"/>
    <w:rsid w:val="00010799"/>
    <w:rsid w:val="000108AA"/>
    <w:rsid w:val="00010A45"/>
    <w:rsid w:val="00010C32"/>
    <w:rsid w:val="00011080"/>
    <w:rsid w:val="00011143"/>
    <w:rsid w:val="00011174"/>
    <w:rsid w:val="000111E6"/>
    <w:rsid w:val="000112A0"/>
    <w:rsid w:val="00011380"/>
    <w:rsid w:val="000119A8"/>
    <w:rsid w:val="00011E59"/>
    <w:rsid w:val="00012C9C"/>
    <w:rsid w:val="00012D95"/>
    <w:rsid w:val="000133FD"/>
    <w:rsid w:val="000137AF"/>
    <w:rsid w:val="00013972"/>
    <w:rsid w:val="00013A34"/>
    <w:rsid w:val="0001491D"/>
    <w:rsid w:val="00014B00"/>
    <w:rsid w:val="00014F97"/>
    <w:rsid w:val="00015512"/>
    <w:rsid w:val="000159F6"/>
    <w:rsid w:val="00016475"/>
    <w:rsid w:val="00016A80"/>
    <w:rsid w:val="000172FF"/>
    <w:rsid w:val="0002003C"/>
    <w:rsid w:val="000203EF"/>
    <w:rsid w:val="000205D5"/>
    <w:rsid w:val="00020637"/>
    <w:rsid w:val="000211B1"/>
    <w:rsid w:val="0002156A"/>
    <w:rsid w:val="0002161E"/>
    <w:rsid w:val="00021904"/>
    <w:rsid w:val="00021AC4"/>
    <w:rsid w:val="000221F1"/>
    <w:rsid w:val="0002311B"/>
    <w:rsid w:val="0002335C"/>
    <w:rsid w:val="00023CD1"/>
    <w:rsid w:val="00024882"/>
    <w:rsid w:val="00025433"/>
    <w:rsid w:val="000256E8"/>
    <w:rsid w:val="00025C0C"/>
    <w:rsid w:val="00025C69"/>
    <w:rsid w:val="0002605C"/>
    <w:rsid w:val="00026760"/>
    <w:rsid w:val="000275B2"/>
    <w:rsid w:val="0002788D"/>
    <w:rsid w:val="00027964"/>
    <w:rsid w:val="00027C53"/>
    <w:rsid w:val="00027C78"/>
    <w:rsid w:val="000300EF"/>
    <w:rsid w:val="000302DD"/>
    <w:rsid w:val="000304D0"/>
    <w:rsid w:val="00030C70"/>
    <w:rsid w:val="0003130E"/>
    <w:rsid w:val="000313DC"/>
    <w:rsid w:val="000318F1"/>
    <w:rsid w:val="00032A2C"/>
    <w:rsid w:val="0003312A"/>
    <w:rsid w:val="00033B56"/>
    <w:rsid w:val="00034398"/>
    <w:rsid w:val="00034C5F"/>
    <w:rsid w:val="00034F98"/>
    <w:rsid w:val="00035554"/>
    <w:rsid w:val="00035A1A"/>
    <w:rsid w:val="00035A57"/>
    <w:rsid w:val="00035BFB"/>
    <w:rsid w:val="00035DC7"/>
    <w:rsid w:val="00036ECE"/>
    <w:rsid w:val="00036EEB"/>
    <w:rsid w:val="000370DB"/>
    <w:rsid w:val="00037453"/>
    <w:rsid w:val="000374C1"/>
    <w:rsid w:val="00037FB8"/>
    <w:rsid w:val="00040083"/>
    <w:rsid w:val="000400B3"/>
    <w:rsid w:val="000402CB"/>
    <w:rsid w:val="000405C7"/>
    <w:rsid w:val="000405DF"/>
    <w:rsid w:val="000407F5"/>
    <w:rsid w:val="00040B6D"/>
    <w:rsid w:val="00040DD9"/>
    <w:rsid w:val="00040F12"/>
    <w:rsid w:val="00041112"/>
    <w:rsid w:val="000412A5"/>
    <w:rsid w:val="00041812"/>
    <w:rsid w:val="00041BDE"/>
    <w:rsid w:val="00041C4A"/>
    <w:rsid w:val="0004230F"/>
    <w:rsid w:val="000425AA"/>
    <w:rsid w:val="00042829"/>
    <w:rsid w:val="00042A8C"/>
    <w:rsid w:val="000431A2"/>
    <w:rsid w:val="00043238"/>
    <w:rsid w:val="00043502"/>
    <w:rsid w:val="00043661"/>
    <w:rsid w:val="00043935"/>
    <w:rsid w:val="00043AD7"/>
    <w:rsid w:val="00043C05"/>
    <w:rsid w:val="00043EE1"/>
    <w:rsid w:val="0004401F"/>
    <w:rsid w:val="000442B2"/>
    <w:rsid w:val="000445E6"/>
    <w:rsid w:val="00044A23"/>
    <w:rsid w:val="00044D20"/>
    <w:rsid w:val="00044EB4"/>
    <w:rsid w:val="0004679D"/>
    <w:rsid w:val="00046817"/>
    <w:rsid w:val="00046F21"/>
    <w:rsid w:val="000470D3"/>
    <w:rsid w:val="00047953"/>
    <w:rsid w:val="00050006"/>
    <w:rsid w:val="000505F3"/>
    <w:rsid w:val="000507DB"/>
    <w:rsid w:val="000508D6"/>
    <w:rsid w:val="000508E7"/>
    <w:rsid w:val="00051241"/>
    <w:rsid w:val="0005154C"/>
    <w:rsid w:val="00051A0F"/>
    <w:rsid w:val="00051AAB"/>
    <w:rsid w:val="00052084"/>
    <w:rsid w:val="000523EC"/>
    <w:rsid w:val="00052638"/>
    <w:rsid w:val="00052D7C"/>
    <w:rsid w:val="000533F5"/>
    <w:rsid w:val="000544B4"/>
    <w:rsid w:val="00054503"/>
    <w:rsid w:val="000552A3"/>
    <w:rsid w:val="000555AD"/>
    <w:rsid w:val="00055666"/>
    <w:rsid w:val="000558AF"/>
    <w:rsid w:val="00055912"/>
    <w:rsid w:val="00055D45"/>
    <w:rsid w:val="00055EAD"/>
    <w:rsid w:val="000562D7"/>
    <w:rsid w:val="00056B1C"/>
    <w:rsid w:val="00056F94"/>
    <w:rsid w:val="00057468"/>
    <w:rsid w:val="00057599"/>
    <w:rsid w:val="00057894"/>
    <w:rsid w:val="00060944"/>
    <w:rsid w:val="00060D9A"/>
    <w:rsid w:val="00060E10"/>
    <w:rsid w:val="0006104E"/>
    <w:rsid w:val="00061196"/>
    <w:rsid w:val="00061727"/>
    <w:rsid w:val="00062878"/>
    <w:rsid w:val="000631BB"/>
    <w:rsid w:val="00063430"/>
    <w:rsid w:val="0006349D"/>
    <w:rsid w:val="00063FA4"/>
    <w:rsid w:val="0006417A"/>
    <w:rsid w:val="00064372"/>
    <w:rsid w:val="00064E8F"/>
    <w:rsid w:val="000658D7"/>
    <w:rsid w:val="00065A09"/>
    <w:rsid w:val="00065A44"/>
    <w:rsid w:val="00065E4E"/>
    <w:rsid w:val="0006630B"/>
    <w:rsid w:val="00066617"/>
    <w:rsid w:val="00066D41"/>
    <w:rsid w:val="00067912"/>
    <w:rsid w:val="00067CD2"/>
    <w:rsid w:val="00070393"/>
    <w:rsid w:val="00070B0C"/>
    <w:rsid w:val="00070CF3"/>
    <w:rsid w:val="00071198"/>
    <w:rsid w:val="000714F6"/>
    <w:rsid w:val="0007188E"/>
    <w:rsid w:val="00071FE2"/>
    <w:rsid w:val="0007212F"/>
    <w:rsid w:val="00072170"/>
    <w:rsid w:val="00072756"/>
    <w:rsid w:val="00072774"/>
    <w:rsid w:val="00072DB9"/>
    <w:rsid w:val="00072FF4"/>
    <w:rsid w:val="0007337C"/>
    <w:rsid w:val="0007361A"/>
    <w:rsid w:val="00073688"/>
    <w:rsid w:val="0007378C"/>
    <w:rsid w:val="0007389A"/>
    <w:rsid w:val="00073A3C"/>
    <w:rsid w:val="00074A03"/>
    <w:rsid w:val="00074A08"/>
    <w:rsid w:val="00074A32"/>
    <w:rsid w:val="00074B04"/>
    <w:rsid w:val="00074CC7"/>
    <w:rsid w:val="00074EFB"/>
    <w:rsid w:val="000750B3"/>
    <w:rsid w:val="00075224"/>
    <w:rsid w:val="0007537E"/>
    <w:rsid w:val="00075653"/>
    <w:rsid w:val="000758F2"/>
    <w:rsid w:val="0007596A"/>
    <w:rsid w:val="00075C46"/>
    <w:rsid w:val="00075F19"/>
    <w:rsid w:val="000763B2"/>
    <w:rsid w:val="0007664C"/>
    <w:rsid w:val="000768C7"/>
    <w:rsid w:val="00077B12"/>
    <w:rsid w:val="00080682"/>
    <w:rsid w:val="000808FA"/>
    <w:rsid w:val="00080E8D"/>
    <w:rsid w:val="00080F6B"/>
    <w:rsid w:val="00081256"/>
    <w:rsid w:val="00081295"/>
    <w:rsid w:val="00081481"/>
    <w:rsid w:val="0008171C"/>
    <w:rsid w:val="0008221A"/>
    <w:rsid w:val="000828AD"/>
    <w:rsid w:val="0008299A"/>
    <w:rsid w:val="00082A8D"/>
    <w:rsid w:val="00082BD3"/>
    <w:rsid w:val="00082C40"/>
    <w:rsid w:val="000834E8"/>
    <w:rsid w:val="00083A9C"/>
    <w:rsid w:val="00083DFC"/>
    <w:rsid w:val="00083EB1"/>
    <w:rsid w:val="0008401C"/>
    <w:rsid w:val="000844A3"/>
    <w:rsid w:val="0008472F"/>
    <w:rsid w:val="0008474C"/>
    <w:rsid w:val="000847E9"/>
    <w:rsid w:val="000849C7"/>
    <w:rsid w:val="00085333"/>
    <w:rsid w:val="00085659"/>
    <w:rsid w:val="0008574F"/>
    <w:rsid w:val="000858B4"/>
    <w:rsid w:val="00085CAA"/>
    <w:rsid w:val="00085CF4"/>
    <w:rsid w:val="00085FB3"/>
    <w:rsid w:val="0008624C"/>
    <w:rsid w:val="000862DA"/>
    <w:rsid w:val="00086A85"/>
    <w:rsid w:val="00086FFB"/>
    <w:rsid w:val="00087298"/>
    <w:rsid w:val="0008733C"/>
    <w:rsid w:val="000875DB"/>
    <w:rsid w:val="0009009F"/>
    <w:rsid w:val="00091466"/>
    <w:rsid w:val="0009175A"/>
    <w:rsid w:val="000917E0"/>
    <w:rsid w:val="00091A70"/>
    <w:rsid w:val="0009218A"/>
    <w:rsid w:val="0009254F"/>
    <w:rsid w:val="00092BB0"/>
    <w:rsid w:val="0009330A"/>
    <w:rsid w:val="000934EB"/>
    <w:rsid w:val="000935C8"/>
    <w:rsid w:val="00093CFD"/>
    <w:rsid w:val="00093DD1"/>
    <w:rsid w:val="000943D1"/>
    <w:rsid w:val="0009464C"/>
    <w:rsid w:val="00094671"/>
    <w:rsid w:val="00094780"/>
    <w:rsid w:val="00094AD1"/>
    <w:rsid w:val="0009516D"/>
    <w:rsid w:val="00095506"/>
    <w:rsid w:val="000957D7"/>
    <w:rsid w:val="00095917"/>
    <w:rsid w:val="00095CEB"/>
    <w:rsid w:val="00095EF0"/>
    <w:rsid w:val="0009614C"/>
    <w:rsid w:val="000961FD"/>
    <w:rsid w:val="00096456"/>
    <w:rsid w:val="0009645B"/>
    <w:rsid w:val="00097F9B"/>
    <w:rsid w:val="000A08D1"/>
    <w:rsid w:val="000A0BEB"/>
    <w:rsid w:val="000A0CD6"/>
    <w:rsid w:val="000A1FE9"/>
    <w:rsid w:val="000A24E1"/>
    <w:rsid w:val="000A2FAD"/>
    <w:rsid w:val="000A3141"/>
    <w:rsid w:val="000A3339"/>
    <w:rsid w:val="000A3C84"/>
    <w:rsid w:val="000A4419"/>
    <w:rsid w:val="000A5079"/>
    <w:rsid w:val="000A5616"/>
    <w:rsid w:val="000A5860"/>
    <w:rsid w:val="000A5DA7"/>
    <w:rsid w:val="000A5F30"/>
    <w:rsid w:val="000A5F77"/>
    <w:rsid w:val="000A5FF9"/>
    <w:rsid w:val="000A625E"/>
    <w:rsid w:val="000A6952"/>
    <w:rsid w:val="000A6A22"/>
    <w:rsid w:val="000A6A55"/>
    <w:rsid w:val="000A6E0B"/>
    <w:rsid w:val="000A6F41"/>
    <w:rsid w:val="000A7F16"/>
    <w:rsid w:val="000A90C4"/>
    <w:rsid w:val="000B0355"/>
    <w:rsid w:val="000B0667"/>
    <w:rsid w:val="000B0988"/>
    <w:rsid w:val="000B1109"/>
    <w:rsid w:val="000B11A0"/>
    <w:rsid w:val="000B1ED5"/>
    <w:rsid w:val="000B201C"/>
    <w:rsid w:val="000B267B"/>
    <w:rsid w:val="000B271A"/>
    <w:rsid w:val="000B28D3"/>
    <w:rsid w:val="000B2A6E"/>
    <w:rsid w:val="000B3327"/>
    <w:rsid w:val="000B3C75"/>
    <w:rsid w:val="000B3CC5"/>
    <w:rsid w:val="000B3D66"/>
    <w:rsid w:val="000B4032"/>
    <w:rsid w:val="000B4176"/>
    <w:rsid w:val="000B42A4"/>
    <w:rsid w:val="000B4442"/>
    <w:rsid w:val="000B478E"/>
    <w:rsid w:val="000B4E09"/>
    <w:rsid w:val="000B527C"/>
    <w:rsid w:val="000B5939"/>
    <w:rsid w:val="000B63FF"/>
    <w:rsid w:val="000B67CB"/>
    <w:rsid w:val="000B6974"/>
    <w:rsid w:val="000B69D4"/>
    <w:rsid w:val="000B6A84"/>
    <w:rsid w:val="000B6EE8"/>
    <w:rsid w:val="000B7399"/>
    <w:rsid w:val="000B7426"/>
    <w:rsid w:val="000B77E8"/>
    <w:rsid w:val="000C01D1"/>
    <w:rsid w:val="000C0642"/>
    <w:rsid w:val="000C0A7E"/>
    <w:rsid w:val="000C0B33"/>
    <w:rsid w:val="000C0FDD"/>
    <w:rsid w:val="000C21FC"/>
    <w:rsid w:val="000C222D"/>
    <w:rsid w:val="000C24FB"/>
    <w:rsid w:val="000C2E3E"/>
    <w:rsid w:val="000C2F81"/>
    <w:rsid w:val="000C31CD"/>
    <w:rsid w:val="000C3443"/>
    <w:rsid w:val="000C356E"/>
    <w:rsid w:val="000C427A"/>
    <w:rsid w:val="000C43F8"/>
    <w:rsid w:val="000C5C79"/>
    <w:rsid w:val="000C5CE7"/>
    <w:rsid w:val="000C6297"/>
    <w:rsid w:val="000C63D4"/>
    <w:rsid w:val="000C654D"/>
    <w:rsid w:val="000C69A9"/>
    <w:rsid w:val="000C6AF1"/>
    <w:rsid w:val="000C7571"/>
    <w:rsid w:val="000C781C"/>
    <w:rsid w:val="000C7A8A"/>
    <w:rsid w:val="000C7B92"/>
    <w:rsid w:val="000D0308"/>
    <w:rsid w:val="000D14A2"/>
    <w:rsid w:val="000D1BF1"/>
    <w:rsid w:val="000D28F1"/>
    <w:rsid w:val="000D2924"/>
    <w:rsid w:val="000D2BB3"/>
    <w:rsid w:val="000D2C59"/>
    <w:rsid w:val="000D2D6F"/>
    <w:rsid w:val="000D2F98"/>
    <w:rsid w:val="000D2FCC"/>
    <w:rsid w:val="000D3B01"/>
    <w:rsid w:val="000D4057"/>
    <w:rsid w:val="000D47E7"/>
    <w:rsid w:val="000D4AE4"/>
    <w:rsid w:val="000D4D98"/>
    <w:rsid w:val="000D50F4"/>
    <w:rsid w:val="000D54A0"/>
    <w:rsid w:val="000D5768"/>
    <w:rsid w:val="000D63D9"/>
    <w:rsid w:val="000D641E"/>
    <w:rsid w:val="000D66A9"/>
    <w:rsid w:val="000D6B79"/>
    <w:rsid w:val="000D6F38"/>
    <w:rsid w:val="000D6F8D"/>
    <w:rsid w:val="000D6FBA"/>
    <w:rsid w:val="000D737C"/>
    <w:rsid w:val="000D78FC"/>
    <w:rsid w:val="000E006B"/>
    <w:rsid w:val="000E0075"/>
    <w:rsid w:val="000E1286"/>
    <w:rsid w:val="000E129F"/>
    <w:rsid w:val="000E164D"/>
    <w:rsid w:val="000E22F6"/>
    <w:rsid w:val="000E2355"/>
    <w:rsid w:val="000E244A"/>
    <w:rsid w:val="000E2DBF"/>
    <w:rsid w:val="000E36AE"/>
    <w:rsid w:val="000E3788"/>
    <w:rsid w:val="000E39B2"/>
    <w:rsid w:val="000E3A18"/>
    <w:rsid w:val="000E3AA0"/>
    <w:rsid w:val="000E3D9E"/>
    <w:rsid w:val="000E3ED2"/>
    <w:rsid w:val="000E4190"/>
    <w:rsid w:val="000E4459"/>
    <w:rsid w:val="000E4C88"/>
    <w:rsid w:val="000E4DDF"/>
    <w:rsid w:val="000E5043"/>
    <w:rsid w:val="000E5695"/>
    <w:rsid w:val="000E6399"/>
    <w:rsid w:val="000E6D57"/>
    <w:rsid w:val="000E7178"/>
    <w:rsid w:val="000E7562"/>
    <w:rsid w:val="000E792F"/>
    <w:rsid w:val="000E79C9"/>
    <w:rsid w:val="000F0687"/>
    <w:rsid w:val="000F190E"/>
    <w:rsid w:val="000F1C3C"/>
    <w:rsid w:val="000F1E7D"/>
    <w:rsid w:val="000F23A8"/>
    <w:rsid w:val="000F240B"/>
    <w:rsid w:val="000F2411"/>
    <w:rsid w:val="000F2E84"/>
    <w:rsid w:val="000F2FC6"/>
    <w:rsid w:val="000F3BA3"/>
    <w:rsid w:val="000F452A"/>
    <w:rsid w:val="000F4641"/>
    <w:rsid w:val="000F48B6"/>
    <w:rsid w:val="000F4D04"/>
    <w:rsid w:val="000F5662"/>
    <w:rsid w:val="000F58A5"/>
    <w:rsid w:val="000F59C1"/>
    <w:rsid w:val="000F5EA8"/>
    <w:rsid w:val="000F66BE"/>
    <w:rsid w:val="000F6889"/>
    <w:rsid w:val="000F727C"/>
    <w:rsid w:val="000F74D6"/>
    <w:rsid w:val="000F7917"/>
    <w:rsid w:val="0010039B"/>
    <w:rsid w:val="00101086"/>
    <w:rsid w:val="0010185F"/>
    <w:rsid w:val="0010205A"/>
    <w:rsid w:val="001024D0"/>
    <w:rsid w:val="00102698"/>
    <w:rsid w:val="00102B96"/>
    <w:rsid w:val="00102DF4"/>
    <w:rsid w:val="001030E7"/>
    <w:rsid w:val="00103BEA"/>
    <w:rsid w:val="00103CA0"/>
    <w:rsid w:val="00104211"/>
    <w:rsid w:val="001047DB"/>
    <w:rsid w:val="00104E1E"/>
    <w:rsid w:val="00104E3C"/>
    <w:rsid w:val="00105595"/>
    <w:rsid w:val="00105ACD"/>
    <w:rsid w:val="00105F70"/>
    <w:rsid w:val="0010682C"/>
    <w:rsid w:val="00106DFF"/>
    <w:rsid w:val="00106E33"/>
    <w:rsid w:val="00107B80"/>
    <w:rsid w:val="001102BE"/>
    <w:rsid w:val="00110661"/>
    <w:rsid w:val="00111A40"/>
    <w:rsid w:val="00111A5C"/>
    <w:rsid w:val="00111BE2"/>
    <w:rsid w:val="00112240"/>
    <w:rsid w:val="00112255"/>
    <w:rsid w:val="00112F7F"/>
    <w:rsid w:val="00113391"/>
    <w:rsid w:val="0011341B"/>
    <w:rsid w:val="00113B41"/>
    <w:rsid w:val="00113B7C"/>
    <w:rsid w:val="00114311"/>
    <w:rsid w:val="0011441C"/>
    <w:rsid w:val="0011455F"/>
    <w:rsid w:val="00114BFC"/>
    <w:rsid w:val="00114F1C"/>
    <w:rsid w:val="00114F4A"/>
    <w:rsid w:val="00115301"/>
    <w:rsid w:val="001154E8"/>
    <w:rsid w:val="00115AF2"/>
    <w:rsid w:val="00116485"/>
    <w:rsid w:val="00116512"/>
    <w:rsid w:val="00116635"/>
    <w:rsid w:val="00116765"/>
    <w:rsid w:val="00116BA3"/>
    <w:rsid w:val="00116CF7"/>
    <w:rsid w:val="00117403"/>
    <w:rsid w:val="00117849"/>
    <w:rsid w:val="0011798D"/>
    <w:rsid w:val="001179A4"/>
    <w:rsid w:val="00117B3B"/>
    <w:rsid w:val="0012007A"/>
    <w:rsid w:val="0012009B"/>
    <w:rsid w:val="00120602"/>
    <w:rsid w:val="00120A60"/>
    <w:rsid w:val="00120E07"/>
    <w:rsid w:val="001210B0"/>
    <w:rsid w:val="001213C1"/>
    <w:rsid w:val="001214A4"/>
    <w:rsid w:val="00121D09"/>
    <w:rsid w:val="00121D2B"/>
    <w:rsid w:val="00121E24"/>
    <w:rsid w:val="00122132"/>
    <w:rsid w:val="00122E8A"/>
    <w:rsid w:val="001232DD"/>
    <w:rsid w:val="00123717"/>
    <w:rsid w:val="00124721"/>
    <w:rsid w:val="00124983"/>
    <w:rsid w:val="001254D0"/>
    <w:rsid w:val="00126019"/>
    <w:rsid w:val="00126063"/>
    <w:rsid w:val="00126277"/>
    <w:rsid w:val="00126548"/>
    <w:rsid w:val="00126736"/>
    <w:rsid w:val="001269AE"/>
    <w:rsid w:val="00126B49"/>
    <w:rsid w:val="00127643"/>
    <w:rsid w:val="0012777C"/>
    <w:rsid w:val="001278F0"/>
    <w:rsid w:val="0013056F"/>
    <w:rsid w:val="0013057E"/>
    <w:rsid w:val="00131423"/>
    <w:rsid w:val="00131652"/>
    <w:rsid w:val="00131A2F"/>
    <w:rsid w:val="00131C47"/>
    <w:rsid w:val="00131FE2"/>
    <w:rsid w:val="001323E9"/>
    <w:rsid w:val="0013260E"/>
    <w:rsid w:val="00132D72"/>
    <w:rsid w:val="001336A2"/>
    <w:rsid w:val="001336F5"/>
    <w:rsid w:val="00133852"/>
    <w:rsid w:val="0013398A"/>
    <w:rsid w:val="00133FCA"/>
    <w:rsid w:val="001341B6"/>
    <w:rsid w:val="001342AD"/>
    <w:rsid w:val="00134762"/>
    <w:rsid w:val="00134C4F"/>
    <w:rsid w:val="00134D51"/>
    <w:rsid w:val="001353F7"/>
    <w:rsid w:val="001354B9"/>
    <w:rsid w:val="001354C6"/>
    <w:rsid w:val="001355AF"/>
    <w:rsid w:val="001355ED"/>
    <w:rsid w:val="0013576B"/>
    <w:rsid w:val="001357C3"/>
    <w:rsid w:val="00135A09"/>
    <w:rsid w:val="00135F60"/>
    <w:rsid w:val="0013688B"/>
    <w:rsid w:val="00136B75"/>
    <w:rsid w:val="00136C9E"/>
    <w:rsid w:val="00136DDF"/>
    <w:rsid w:val="001372CA"/>
    <w:rsid w:val="001378C6"/>
    <w:rsid w:val="00137A39"/>
    <w:rsid w:val="00140043"/>
    <w:rsid w:val="001400CB"/>
    <w:rsid w:val="0014131B"/>
    <w:rsid w:val="001413A1"/>
    <w:rsid w:val="001416FD"/>
    <w:rsid w:val="00141CC4"/>
    <w:rsid w:val="001421F7"/>
    <w:rsid w:val="0014221A"/>
    <w:rsid w:val="001422D6"/>
    <w:rsid w:val="0014237D"/>
    <w:rsid w:val="001427FF"/>
    <w:rsid w:val="001428EA"/>
    <w:rsid w:val="001430CE"/>
    <w:rsid w:val="00143EA0"/>
    <w:rsid w:val="00143F80"/>
    <w:rsid w:val="00144255"/>
    <w:rsid w:val="001444BA"/>
    <w:rsid w:val="00144CBA"/>
    <w:rsid w:val="00144E50"/>
    <w:rsid w:val="00144FF1"/>
    <w:rsid w:val="0014511F"/>
    <w:rsid w:val="00145843"/>
    <w:rsid w:val="00145E3B"/>
    <w:rsid w:val="00146199"/>
    <w:rsid w:val="001465B4"/>
    <w:rsid w:val="00146D84"/>
    <w:rsid w:val="001476CE"/>
    <w:rsid w:val="0014795F"/>
    <w:rsid w:val="00147ABA"/>
    <w:rsid w:val="00150462"/>
    <w:rsid w:val="00150E3A"/>
    <w:rsid w:val="0015143F"/>
    <w:rsid w:val="0015164D"/>
    <w:rsid w:val="00151D3E"/>
    <w:rsid w:val="001521BF"/>
    <w:rsid w:val="00152509"/>
    <w:rsid w:val="001525F6"/>
    <w:rsid w:val="0015393C"/>
    <w:rsid w:val="00153E96"/>
    <w:rsid w:val="0015401C"/>
    <w:rsid w:val="00154106"/>
    <w:rsid w:val="00154294"/>
    <w:rsid w:val="00154625"/>
    <w:rsid w:val="00154EDA"/>
    <w:rsid w:val="00155022"/>
    <w:rsid w:val="00155115"/>
    <w:rsid w:val="00156747"/>
    <w:rsid w:val="00156AAC"/>
    <w:rsid w:val="00156B3D"/>
    <w:rsid w:val="0015706E"/>
    <w:rsid w:val="00157262"/>
    <w:rsid w:val="00157827"/>
    <w:rsid w:val="00157856"/>
    <w:rsid w:val="00157D79"/>
    <w:rsid w:val="00160289"/>
    <w:rsid w:val="001602A4"/>
    <w:rsid w:val="0016062E"/>
    <w:rsid w:val="00160C90"/>
    <w:rsid w:val="00161414"/>
    <w:rsid w:val="0016164B"/>
    <w:rsid w:val="00161869"/>
    <w:rsid w:val="00161A55"/>
    <w:rsid w:val="00161A70"/>
    <w:rsid w:val="00161C5E"/>
    <w:rsid w:val="001622DA"/>
    <w:rsid w:val="00162323"/>
    <w:rsid w:val="00162998"/>
    <w:rsid w:val="00162D8B"/>
    <w:rsid w:val="00162F31"/>
    <w:rsid w:val="0016356F"/>
    <w:rsid w:val="00163D7D"/>
    <w:rsid w:val="001640F2"/>
    <w:rsid w:val="00164274"/>
    <w:rsid w:val="0016472E"/>
    <w:rsid w:val="0016491E"/>
    <w:rsid w:val="00164BB5"/>
    <w:rsid w:val="001651DD"/>
    <w:rsid w:val="00165368"/>
    <w:rsid w:val="00165738"/>
    <w:rsid w:val="001658FF"/>
    <w:rsid w:val="00165C53"/>
    <w:rsid w:val="00166A08"/>
    <w:rsid w:val="00166BE1"/>
    <w:rsid w:val="00166F1C"/>
    <w:rsid w:val="00167796"/>
    <w:rsid w:val="00167977"/>
    <w:rsid w:val="00167B11"/>
    <w:rsid w:val="00167E7B"/>
    <w:rsid w:val="0017068A"/>
    <w:rsid w:val="00170E6B"/>
    <w:rsid w:val="00172757"/>
    <w:rsid w:val="001727E8"/>
    <w:rsid w:val="00172804"/>
    <w:rsid w:val="0017288D"/>
    <w:rsid w:val="00172C40"/>
    <w:rsid w:val="001733CF"/>
    <w:rsid w:val="00173DD1"/>
    <w:rsid w:val="00174C93"/>
    <w:rsid w:val="00174D5B"/>
    <w:rsid w:val="00174DBC"/>
    <w:rsid w:val="00174DDB"/>
    <w:rsid w:val="00174E56"/>
    <w:rsid w:val="00175D03"/>
    <w:rsid w:val="0017622E"/>
    <w:rsid w:val="0017655B"/>
    <w:rsid w:val="00176710"/>
    <w:rsid w:val="001769E3"/>
    <w:rsid w:val="001769FD"/>
    <w:rsid w:val="00176E31"/>
    <w:rsid w:val="00176E8E"/>
    <w:rsid w:val="001770C2"/>
    <w:rsid w:val="00177437"/>
    <w:rsid w:val="00177782"/>
    <w:rsid w:val="0017787F"/>
    <w:rsid w:val="00177B30"/>
    <w:rsid w:val="00177C96"/>
    <w:rsid w:val="00177FB3"/>
    <w:rsid w:val="001802E3"/>
    <w:rsid w:val="00180892"/>
    <w:rsid w:val="00180EA7"/>
    <w:rsid w:val="00180F27"/>
    <w:rsid w:val="001818DA"/>
    <w:rsid w:val="001818F8"/>
    <w:rsid w:val="001826CE"/>
    <w:rsid w:val="001827D9"/>
    <w:rsid w:val="00182B44"/>
    <w:rsid w:val="0018375E"/>
    <w:rsid w:val="00183B54"/>
    <w:rsid w:val="00184013"/>
    <w:rsid w:val="001842E5"/>
    <w:rsid w:val="00184721"/>
    <w:rsid w:val="00184F30"/>
    <w:rsid w:val="0018562A"/>
    <w:rsid w:val="0018588D"/>
    <w:rsid w:val="001859FD"/>
    <w:rsid w:val="00185DE4"/>
    <w:rsid w:val="00186072"/>
    <w:rsid w:val="00186482"/>
    <w:rsid w:val="00186791"/>
    <w:rsid w:val="00186967"/>
    <w:rsid w:val="00186B6F"/>
    <w:rsid w:val="00186CE5"/>
    <w:rsid w:val="00186FF8"/>
    <w:rsid w:val="00187463"/>
    <w:rsid w:val="001878A1"/>
    <w:rsid w:val="00187B74"/>
    <w:rsid w:val="00187FA9"/>
    <w:rsid w:val="00190519"/>
    <w:rsid w:val="001905EC"/>
    <w:rsid w:val="0019135D"/>
    <w:rsid w:val="00191388"/>
    <w:rsid w:val="00191D74"/>
    <w:rsid w:val="00192198"/>
    <w:rsid w:val="0019232C"/>
    <w:rsid w:val="00192ABB"/>
    <w:rsid w:val="0019328E"/>
    <w:rsid w:val="00193601"/>
    <w:rsid w:val="001936B1"/>
    <w:rsid w:val="001941C9"/>
    <w:rsid w:val="001941D8"/>
    <w:rsid w:val="001944B7"/>
    <w:rsid w:val="001945DE"/>
    <w:rsid w:val="00194699"/>
    <w:rsid w:val="00194974"/>
    <w:rsid w:val="00194B1C"/>
    <w:rsid w:val="00194EFE"/>
    <w:rsid w:val="001955AB"/>
    <w:rsid w:val="001959FD"/>
    <w:rsid w:val="00195B7B"/>
    <w:rsid w:val="00195DEF"/>
    <w:rsid w:val="00195F30"/>
    <w:rsid w:val="001963F6"/>
    <w:rsid w:val="00196923"/>
    <w:rsid w:val="00196B81"/>
    <w:rsid w:val="001A01D4"/>
    <w:rsid w:val="001A049A"/>
    <w:rsid w:val="001A05AC"/>
    <w:rsid w:val="001A07CC"/>
    <w:rsid w:val="001A07EC"/>
    <w:rsid w:val="001A0B3E"/>
    <w:rsid w:val="001A13D3"/>
    <w:rsid w:val="001A1751"/>
    <w:rsid w:val="001A1760"/>
    <w:rsid w:val="001A2031"/>
    <w:rsid w:val="001A24CC"/>
    <w:rsid w:val="001A266B"/>
    <w:rsid w:val="001A2725"/>
    <w:rsid w:val="001A2B79"/>
    <w:rsid w:val="001A2F19"/>
    <w:rsid w:val="001A3FC7"/>
    <w:rsid w:val="001A400F"/>
    <w:rsid w:val="001A499D"/>
    <w:rsid w:val="001A4A3A"/>
    <w:rsid w:val="001A4E11"/>
    <w:rsid w:val="001A502D"/>
    <w:rsid w:val="001A5052"/>
    <w:rsid w:val="001A530E"/>
    <w:rsid w:val="001A5F46"/>
    <w:rsid w:val="001A61E0"/>
    <w:rsid w:val="001A6494"/>
    <w:rsid w:val="001A72D1"/>
    <w:rsid w:val="001A7316"/>
    <w:rsid w:val="001A75FD"/>
    <w:rsid w:val="001A7AC4"/>
    <w:rsid w:val="001B0178"/>
    <w:rsid w:val="001B0A0B"/>
    <w:rsid w:val="001B0A39"/>
    <w:rsid w:val="001B125A"/>
    <w:rsid w:val="001B1E4F"/>
    <w:rsid w:val="001B2802"/>
    <w:rsid w:val="001B2C5A"/>
    <w:rsid w:val="001B30B2"/>
    <w:rsid w:val="001B3682"/>
    <w:rsid w:val="001B39F6"/>
    <w:rsid w:val="001B3C4B"/>
    <w:rsid w:val="001B4049"/>
    <w:rsid w:val="001B44E2"/>
    <w:rsid w:val="001B45CA"/>
    <w:rsid w:val="001B4878"/>
    <w:rsid w:val="001B4978"/>
    <w:rsid w:val="001B49D4"/>
    <w:rsid w:val="001B4B3A"/>
    <w:rsid w:val="001B4E75"/>
    <w:rsid w:val="001B538E"/>
    <w:rsid w:val="001B55B5"/>
    <w:rsid w:val="001B623F"/>
    <w:rsid w:val="001B65A6"/>
    <w:rsid w:val="001B66EF"/>
    <w:rsid w:val="001B67F9"/>
    <w:rsid w:val="001B6DAB"/>
    <w:rsid w:val="001B6EBE"/>
    <w:rsid w:val="001B704C"/>
    <w:rsid w:val="001B7B1A"/>
    <w:rsid w:val="001B7BF0"/>
    <w:rsid w:val="001B7BFB"/>
    <w:rsid w:val="001C07B4"/>
    <w:rsid w:val="001C0AC5"/>
    <w:rsid w:val="001C0C88"/>
    <w:rsid w:val="001C1130"/>
    <w:rsid w:val="001C1185"/>
    <w:rsid w:val="001C16E9"/>
    <w:rsid w:val="001C1B5E"/>
    <w:rsid w:val="001C2216"/>
    <w:rsid w:val="001C232D"/>
    <w:rsid w:val="001C268B"/>
    <w:rsid w:val="001C298D"/>
    <w:rsid w:val="001C321A"/>
    <w:rsid w:val="001C38C0"/>
    <w:rsid w:val="001C3AC3"/>
    <w:rsid w:val="001C3DB9"/>
    <w:rsid w:val="001C4113"/>
    <w:rsid w:val="001C4929"/>
    <w:rsid w:val="001C4CD8"/>
    <w:rsid w:val="001C4EDC"/>
    <w:rsid w:val="001C5023"/>
    <w:rsid w:val="001C59C4"/>
    <w:rsid w:val="001C5A2F"/>
    <w:rsid w:val="001C60FC"/>
    <w:rsid w:val="001C6246"/>
    <w:rsid w:val="001C6793"/>
    <w:rsid w:val="001C6E61"/>
    <w:rsid w:val="001C7EE8"/>
    <w:rsid w:val="001D0807"/>
    <w:rsid w:val="001D1004"/>
    <w:rsid w:val="001D18AC"/>
    <w:rsid w:val="001D18F7"/>
    <w:rsid w:val="001D1C3D"/>
    <w:rsid w:val="001D227D"/>
    <w:rsid w:val="001D2315"/>
    <w:rsid w:val="001D2F1B"/>
    <w:rsid w:val="001D2F75"/>
    <w:rsid w:val="001D3369"/>
    <w:rsid w:val="001D386D"/>
    <w:rsid w:val="001D3B44"/>
    <w:rsid w:val="001D3B87"/>
    <w:rsid w:val="001D404F"/>
    <w:rsid w:val="001D42B3"/>
    <w:rsid w:val="001D45C6"/>
    <w:rsid w:val="001D47BD"/>
    <w:rsid w:val="001D52CA"/>
    <w:rsid w:val="001D5354"/>
    <w:rsid w:val="001D56AB"/>
    <w:rsid w:val="001D5DBA"/>
    <w:rsid w:val="001D5FF3"/>
    <w:rsid w:val="001D6071"/>
    <w:rsid w:val="001D6B03"/>
    <w:rsid w:val="001D768C"/>
    <w:rsid w:val="001D7707"/>
    <w:rsid w:val="001D7ABF"/>
    <w:rsid w:val="001D7AD8"/>
    <w:rsid w:val="001E0181"/>
    <w:rsid w:val="001E0D16"/>
    <w:rsid w:val="001E1227"/>
    <w:rsid w:val="001E2055"/>
    <w:rsid w:val="001E2282"/>
    <w:rsid w:val="001E284C"/>
    <w:rsid w:val="001E29B6"/>
    <w:rsid w:val="001E2DF2"/>
    <w:rsid w:val="001E3256"/>
    <w:rsid w:val="001E348F"/>
    <w:rsid w:val="001E35B6"/>
    <w:rsid w:val="001E3690"/>
    <w:rsid w:val="001E3898"/>
    <w:rsid w:val="001E52DD"/>
    <w:rsid w:val="001E5992"/>
    <w:rsid w:val="001E5CA4"/>
    <w:rsid w:val="001E5D0E"/>
    <w:rsid w:val="001E60DE"/>
    <w:rsid w:val="001E631E"/>
    <w:rsid w:val="001E67A3"/>
    <w:rsid w:val="001E70AD"/>
    <w:rsid w:val="001E7687"/>
    <w:rsid w:val="001E7B07"/>
    <w:rsid w:val="001F037C"/>
    <w:rsid w:val="001F060F"/>
    <w:rsid w:val="001F068B"/>
    <w:rsid w:val="001F077A"/>
    <w:rsid w:val="001F0A7A"/>
    <w:rsid w:val="001F0D89"/>
    <w:rsid w:val="001F0F76"/>
    <w:rsid w:val="001F1585"/>
    <w:rsid w:val="001F17D7"/>
    <w:rsid w:val="001F2258"/>
    <w:rsid w:val="001F26BF"/>
    <w:rsid w:val="001F2C00"/>
    <w:rsid w:val="001F35C5"/>
    <w:rsid w:val="001F3816"/>
    <w:rsid w:val="001F4113"/>
    <w:rsid w:val="001F4159"/>
    <w:rsid w:val="001F47F5"/>
    <w:rsid w:val="001F4C3C"/>
    <w:rsid w:val="001F4C85"/>
    <w:rsid w:val="001F584C"/>
    <w:rsid w:val="001F5925"/>
    <w:rsid w:val="001F59CD"/>
    <w:rsid w:val="001F5BF8"/>
    <w:rsid w:val="001F6223"/>
    <w:rsid w:val="001F648A"/>
    <w:rsid w:val="001F6BDF"/>
    <w:rsid w:val="001F6CA8"/>
    <w:rsid w:val="001F6F93"/>
    <w:rsid w:val="001F7178"/>
    <w:rsid w:val="001F78DE"/>
    <w:rsid w:val="002009B6"/>
    <w:rsid w:val="0020162E"/>
    <w:rsid w:val="002016F8"/>
    <w:rsid w:val="00201CB6"/>
    <w:rsid w:val="00202621"/>
    <w:rsid w:val="00202A86"/>
    <w:rsid w:val="00202BCE"/>
    <w:rsid w:val="00202D7B"/>
    <w:rsid w:val="00202E57"/>
    <w:rsid w:val="00204371"/>
    <w:rsid w:val="002044CD"/>
    <w:rsid w:val="00204A6A"/>
    <w:rsid w:val="00204AD5"/>
    <w:rsid w:val="00204CFB"/>
    <w:rsid w:val="00204F40"/>
    <w:rsid w:val="0020533B"/>
    <w:rsid w:val="0020540E"/>
    <w:rsid w:val="002056ED"/>
    <w:rsid w:val="0020582C"/>
    <w:rsid w:val="00205D58"/>
    <w:rsid w:val="00205EB0"/>
    <w:rsid w:val="002063EE"/>
    <w:rsid w:val="002072D3"/>
    <w:rsid w:val="00207615"/>
    <w:rsid w:val="00207A95"/>
    <w:rsid w:val="00207B4E"/>
    <w:rsid w:val="00210055"/>
    <w:rsid w:val="00210224"/>
    <w:rsid w:val="0021048B"/>
    <w:rsid w:val="0021090A"/>
    <w:rsid w:val="00210D0C"/>
    <w:rsid w:val="00210DD2"/>
    <w:rsid w:val="00211062"/>
    <w:rsid w:val="00211066"/>
    <w:rsid w:val="0021108A"/>
    <w:rsid w:val="002111C2"/>
    <w:rsid w:val="002112AF"/>
    <w:rsid w:val="00211AB3"/>
    <w:rsid w:val="00211CFF"/>
    <w:rsid w:val="00211EF9"/>
    <w:rsid w:val="00212693"/>
    <w:rsid w:val="002127A7"/>
    <w:rsid w:val="00213586"/>
    <w:rsid w:val="00213692"/>
    <w:rsid w:val="00214179"/>
    <w:rsid w:val="002143A8"/>
    <w:rsid w:val="002145D7"/>
    <w:rsid w:val="00214885"/>
    <w:rsid w:val="0021490A"/>
    <w:rsid w:val="0021497E"/>
    <w:rsid w:val="002152BC"/>
    <w:rsid w:val="002154F3"/>
    <w:rsid w:val="00215609"/>
    <w:rsid w:val="00215842"/>
    <w:rsid w:val="0021590A"/>
    <w:rsid w:val="0021640E"/>
    <w:rsid w:val="00216802"/>
    <w:rsid w:val="002201B1"/>
    <w:rsid w:val="002202EC"/>
    <w:rsid w:val="00220650"/>
    <w:rsid w:val="002206A6"/>
    <w:rsid w:val="00220E67"/>
    <w:rsid w:val="0022150A"/>
    <w:rsid w:val="002219B8"/>
    <w:rsid w:val="00221D18"/>
    <w:rsid w:val="00222341"/>
    <w:rsid w:val="00222EB9"/>
    <w:rsid w:val="0022308B"/>
    <w:rsid w:val="00223998"/>
    <w:rsid w:val="00223BE9"/>
    <w:rsid w:val="002240D4"/>
    <w:rsid w:val="00224A62"/>
    <w:rsid w:val="00224D82"/>
    <w:rsid w:val="00224FA3"/>
    <w:rsid w:val="00225715"/>
    <w:rsid w:val="00225908"/>
    <w:rsid w:val="00225C49"/>
    <w:rsid w:val="00225E55"/>
    <w:rsid w:val="0022650D"/>
    <w:rsid w:val="00226C63"/>
    <w:rsid w:val="0022709F"/>
    <w:rsid w:val="0022740D"/>
    <w:rsid w:val="00227EEF"/>
    <w:rsid w:val="00230801"/>
    <w:rsid w:val="00230BB2"/>
    <w:rsid w:val="0023159E"/>
    <w:rsid w:val="00232289"/>
    <w:rsid w:val="002323C4"/>
    <w:rsid w:val="00232B11"/>
    <w:rsid w:val="00232B8A"/>
    <w:rsid w:val="00233A9A"/>
    <w:rsid w:val="00233DDC"/>
    <w:rsid w:val="0023403E"/>
    <w:rsid w:val="0023404B"/>
    <w:rsid w:val="0023463C"/>
    <w:rsid w:val="0023465F"/>
    <w:rsid w:val="00234CBD"/>
    <w:rsid w:val="00234E01"/>
    <w:rsid w:val="00234FA3"/>
    <w:rsid w:val="002352BE"/>
    <w:rsid w:val="002359B1"/>
    <w:rsid w:val="00235C33"/>
    <w:rsid w:val="002362E4"/>
    <w:rsid w:val="00236638"/>
    <w:rsid w:val="002368BF"/>
    <w:rsid w:val="002368DC"/>
    <w:rsid w:val="002369CB"/>
    <w:rsid w:val="00236B09"/>
    <w:rsid w:val="002370BC"/>
    <w:rsid w:val="00237169"/>
    <w:rsid w:val="00237613"/>
    <w:rsid w:val="002377F6"/>
    <w:rsid w:val="002379E5"/>
    <w:rsid w:val="00237B98"/>
    <w:rsid w:val="00237C21"/>
    <w:rsid w:val="00237DF6"/>
    <w:rsid w:val="002401BD"/>
    <w:rsid w:val="002402FA"/>
    <w:rsid w:val="00240B15"/>
    <w:rsid w:val="00240B91"/>
    <w:rsid w:val="00241368"/>
    <w:rsid w:val="002415AB"/>
    <w:rsid w:val="00241834"/>
    <w:rsid w:val="00241FC4"/>
    <w:rsid w:val="00242A55"/>
    <w:rsid w:val="00243BDD"/>
    <w:rsid w:val="00243EEC"/>
    <w:rsid w:val="00244020"/>
    <w:rsid w:val="002442D1"/>
    <w:rsid w:val="00244A45"/>
    <w:rsid w:val="00245BBF"/>
    <w:rsid w:val="002461DF"/>
    <w:rsid w:val="00246364"/>
    <w:rsid w:val="00246B0E"/>
    <w:rsid w:val="00246F26"/>
    <w:rsid w:val="00247620"/>
    <w:rsid w:val="00247AD4"/>
    <w:rsid w:val="0025085E"/>
    <w:rsid w:val="002508EF"/>
    <w:rsid w:val="002511EE"/>
    <w:rsid w:val="00251433"/>
    <w:rsid w:val="00251675"/>
    <w:rsid w:val="0025170E"/>
    <w:rsid w:val="00251DF0"/>
    <w:rsid w:val="002523CC"/>
    <w:rsid w:val="00252523"/>
    <w:rsid w:val="00252B4B"/>
    <w:rsid w:val="00253502"/>
    <w:rsid w:val="002535CE"/>
    <w:rsid w:val="0025374A"/>
    <w:rsid w:val="00253A8C"/>
    <w:rsid w:val="00253ECF"/>
    <w:rsid w:val="00253EE1"/>
    <w:rsid w:val="00253F9A"/>
    <w:rsid w:val="002542E5"/>
    <w:rsid w:val="0025482B"/>
    <w:rsid w:val="00254BF1"/>
    <w:rsid w:val="00254FDD"/>
    <w:rsid w:val="00255269"/>
    <w:rsid w:val="00255B22"/>
    <w:rsid w:val="00255FF8"/>
    <w:rsid w:val="002564D2"/>
    <w:rsid w:val="002564FB"/>
    <w:rsid w:val="00257167"/>
    <w:rsid w:val="0025781A"/>
    <w:rsid w:val="00257C30"/>
    <w:rsid w:val="00260438"/>
    <w:rsid w:val="00260481"/>
    <w:rsid w:val="002606A0"/>
    <w:rsid w:val="002608AF"/>
    <w:rsid w:val="00260FDC"/>
    <w:rsid w:val="002612BD"/>
    <w:rsid w:val="0026137B"/>
    <w:rsid w:val="00261E06"/>
    <w:rsid w:val="00262385"/>
    <w:rsid w:val="00262B0D"/>
    <w:rsid w:val="00262CCC"/>
    <w:rsid w:val="0026336F"/>
    <w:rsid w:val="00263F8B"/>
    <w:rsid w:val="00264F6D"/>
    <w:rsid w:val="0026515D"/>
    <w:rsid w:val="0026520F"/>
    <w:rsid w:val="00265488"/>
    <w:rsid w:val="002656D3"/>
    <w:rsid w:val="00265717"/>
    <w:rsid w:val="0026624E"/>
    <w:rsid w:val="00266970"/>
    <w:rsid w:val="00267254"/>
    <w:rsid w:val="002674B3"/>
    <w:rsid w:val="00267771"/>
    <w:rsid w:val="00267A42"/>
    <w:rsid w:val="00267B51"/>
    <w:rsid w:val="00270006"/>
    <w:rsid w:val="002706E1"/>
    <w:rsid w:val="00270748"/>
    <w:rsid w:val="002713DA"/>
    <w:rsid w:val="002716DE"/>
    <w:rsid w:val="002716E2"/>
    <w:rsid w:val="00271C38"/>
    <w:rsid w:val="00271DA4"/>
    <w:rsid w:val="00272613"/>
    <w:rsid w:val="002727AF"/>
    <w:rsid w:val="002729D5"/>
    <w:rsid w:val="002730DB"/>
    <w:rsid w:val="002739B8"/>
    <w:rsid w:val="00273B13"/>
    <w:rsid w:val="00273D9E"/>
    <w:rsid w:val="00274110"/>
    <w:rsid w:val="002749F4"/>
    <w:rsid w:val="00274B19"/>
    <w:rsid w:val="00274B6E"/>
    <w:rsid w:val="00274CF0"/>
    <w:rsid w:val="00274E66"/>
    <w:rsid w:val="00274EFD"/>
    <w:rsid w:val="00275703"/>
    <w:rsid w:val="00275CF8"/>
    <w:rsid w:val="00275F19"/>
    <w:rsid w:val="00275F8C"/>
    <w:rsid w:val="0027627F"/>
    <w:rsid w:val="00276BAB"/>
    <w:rsid w:val="00276E6C"/>
    <w:rsid w:val="002774BB"/>
    <w:rsid w:val="00277519"/>
    <w:rsid w:val="002779D3"/>
    <w:rsid w:val="00280AFA"/>
    <w:rsid w:val="00280D67"/>
    <w:rsid w:val="00281F5F"/>
    <w:rsid w:val="002820B8"/>
    <w:rsid w:val="00282276"/>
    <w:rsid w:val="00282495"/>
    <w:rsid w:val="00282567"/>
    <w:rsid w:val="002826C4"/>
    <w:rsid w:val="00282AFD"/>
    <w:rsid w:val="00282DB1"/>
    <w:rsid w:val="00282FFE"/>
    <w:rsid w:val="002835E2"/>
    <w:rsid w:val="002837F4"/>
    <w:rsid w:val="00283C77"/>
    <w:rsid w:val="00284386"/>
    <w:rsid w:val="0028458B"/>
    <w:rsid w:val="002847F1"/>
    <w:rsid w:val="00284AA2"/>
    <w:rsid w:val="00284BAE"/>
    <w:rsid w:val="00284BBD"/>
    <w:rsid w:val="0028506D"/>
    <w:rsid w:val="002852CC"/>
    <w:rsid w:val="002853A5"/>
    <w:rsid w:val="00285417"/>
    <w:rsid w:val="002854F7"/>
    <w:rsid w:val="00285528"/>
    <w:rsid w:val="00285673"/>
    <w:rsid w:val="00285E07"/>
    <w:rsid w:val="00285EBB"/>
    <w:rsid w:val="0028606C"/>
    <w:rsid w:val="00287F6E"/>
    <w:rsid w:val="002904E5"/>
    <w:rsid w:val="0029079D"/>
    <w:rsid w:val="00290AEC"/>
    <w:rsid w:val="00290D55"/>
    <w:rsid w:val="0029124C"/>
    <w:rsid w:val="002928DE"/>
    <w:rsid w:val="00292DC4"/>
    <w:rsid w:val="00293328"/>
    <w:rsid w:val="002934EB"/>
    <w:rsid w:val="002934FB"/>
    <w:rsid w:val="002938C0"/>
    <w:rsid w:val="002940A1"/>
    <w:rsid w:val="00294146"/>
    <w:rsid w:val="00294901"/>
    <w:rsid w:val="00295414"/>
    <w:rsid w:val="002954C9"/>
    <w:rsid w:val="002959FD"/>
    <w:rsid w:val="00295A50"/>
    <w:rsid w:val="0029636E"/>
    <w:rsid w:val="00296B4E"/>
    <w:rsid w:val="00296DB6"/>
    <w:rsid w:val="00296E25"/>
    <w:rsid w:val="00296EDE"/>
    <w:rsid w:val="002972C9"/>
    <w:rsid w:val="0029743A"/>
    <w:rsid w:val="002A0147"/>
    <w:rsid w:val="002A06F7"/>
    <w:rsid w:val="002A08B1"/>
    <w:rsid w:val="002A0D21"/>
    <w:rsid w:val="002A0F66"/>
    <w:rsid w:val="002A1C0E"/>
    <w:rsid w:val="002A1D62"/>
    <w:rsid w:val="002A2285"/>
    <w:rsid w:val="002A27A9"/>
    <w:rsid w:val="002A2910"/>
    <w:rsid w:val="002A2ABA"/>
    <w:rsid w:val="002A2ADE"/>
    <w:rsid w:val="002A35AF"/>
    <w:rsid w:val="002A3773"/>
    <w:rsid w:val="002A3F86"/>
    <w:rsid w:val="002A4067"/>
    <w:rsid w:val="002A482D"/>
    <w:rsid w:val="002A4E45"/>
    <w:rsid w:val="002A4F3B"/>
    <w:rsid w:val="002A50E0"/>
    <w:rsid w:val="002A564E"/>
    <w:rsid w:val="002A5D74"/>
    <w:rsid w:val="002A5E0E"/>
    <w:rsid w:val="002A5F3D"/>
    <w:rsid w:val="002A696D"/>
    <w:rsid w:val="002A6AC3"/>
    <w:rsid w:val="002A6C8D"/>
    <w:rsid w:val="002A7484"/>
    <w:rsid w:val="002A7502"/>
    <w:rsid w:val="002A7943"/>
    <w:rsid w:val="002B00E9"/>
    <w:rsid w:val="002B0287"/>
    <w:rsid w:val="002B0582"/>
    <w:rsid w:val="002B05B1"/>
    <w:rsid w:val="002B0765"/>
    <w:rsid w:val="002B08BE"/>
    <w:rsid w:val="002B08E9"/>
    <w:rsid w:val="002B1420"/>
    <w:rsid w:val="002B17B8"/>
    <w:rsid w:val="002B17DD"/>
    <w:rsid w:val="002B1A27"/>
    <w:rsid w:val="002B1D70"/>
    <w:rsid w:val="002B240A"/>
    <w:rsid w:val="002B24AB"/>
    <w:rsid w:val="002B2862"/>
    <w:rsid w:val="002B2B22"/>
    <w:rsid w:val="002B2F19"/>
    <w:rsid w:val="002B3C63"/>
    <w:rsid w:val="002B3D87"/>
    <w:rsid w:val="002B40A6"/>
    <w:rsid w:val="002B4854"/>
    <w:rsid w:val="002B4DB8"/>
    <w:rsid w:val="002B5F43"/>
    <w:rsid w:val="002B6112"/>
    <w:rsid w:val="002B6420"/>
    <w:rsid w:val="002B64BE"/>
    <w:rsid w:val="002B6539"/>
    <w:rsid w:val="002B68E3"/>
    <w:rsid w:val="002B6997"/>
    <w:rsid w:val="002B6ED1"/>
    <w:rsid w:val="002B706E"/>
    <w:rsid w:val="002B754B"/>
    <w:rsid w:val="002B75F4"/>
    <w:rsid w:val="002B77F2"/>
    <w:rsid w:val="002B7B48"/>
    <w:rsid w:val="002B7DA2"/>
    <w:rsid w:val="002C039A"/>
    <w:rsid w:val="002C03D0"/>
    <w:rsid w:val="002C044C"/>
    <w:rsid w:val="002C055F"/>
    <w:rsid w:val="002C0935"/>
    <w:rsid w:val="002C0C9D"/>
    <w:rsid w:val="002C0CB2"/>
    <w:rsid w:val="002C11CD"/>
    <w:rsid w:val="002C1576"/>
    <w:rsid w:val="002C1A35"/>
    <w:rsid w:val="002C1C07"/>
    <w:rsid w:val="002C2A2E"/>
    <w:rsid w:val="002C2E6D"/>
    <w:rsid w:val="002C3D03"/>
    <w:rsid w:val="002C3DC3"/>
    <w:rsid w:val="002C3EA2"/>
    <w:rsid w:val="002C421F"/>
    <w:rsid w:val="002C423B"/>
    <w:rsid w:val="002C42F8"/>
    <w:rsid w:val="002C4410"/>
    <w:rsid w:val="002C47C8"/>
    <w:rsid w:val="002C51D3"/>
    <w:rsid w:val="002C540D"/>
    <w:rsid w:val="002C559C"/>
    <w:rsid w:val="002C5DB4"/>
    <w:rsid w:val="002C60AD"/>
    <w:rsid w:val="002C65C9"/>
    <w:rsid w:val="002C67C0"/>
    <w:rsid w:val="002C6B29"/>
    <w:rsid w:val="002C7079"/>
    <w:rsid w:val="002C716A"/>
    <w:rsid w:val="002C72F8"/>
    <w:rsid w:val="002C78E1"/>
    <w:rsid w:val="002D08A9"/>
    <w:rsid w:val="002D0983"/>
    <w:rsid w:val="002D0C45"/>
    <w:rsid w:val="002D0C76"/>
    <w:rsid w:val="002D135A"/>
    <w:rsid w:val="002D15CD"/>
    <w:rsid w:val="002D1618"/>
    <w:rsid w:val="002D1675"/>
    <w:rsid w:val="002D1BAB"/>
    <w:rsid w:val="002D1CA3"/>
    <w:rsid w:val="002D22EB"/>
    <w:rsid w:val="002D23A0"/>
    <w:rsid w:val="002D23BF"/>
    <w:rsid w:val="002D3989"/>
    <w:rsid w:val="002D3994"/>
    <w:rsid w:val="002D3B42"/>
    <w:rsid w:val="002D3C08"/>
    <w:rsid w:val="002D3D7C"/>
    <w:rsid w:val="002D4296"/>
    <w:rsid w:val="002D4E66"/>
    <w:rsid w:val="002D5692"/>
    <w:rsid w:val="002D5B61"/>
    <w:rsid w:val="002D5DEA"/>
    <w:rsid w:val="002D5E7C"/>
    <w:rsid w:val="002D63CB"/>
    <w:rsid w:val="002D6434"/>
    <w:rsid w:val="002D6A40"/>
    <w:rsid w:val="002D6B43"/>
    <w:rsid w:val="002D6EF2"/>
    <w:rsid w:val="002D7132"/>
    <w:rsid w:val="002D7285"/>
    <w:rsid w:val="002D7302"/>
    <w:rsid w:val="002D7542"/>
    <w:rsid w:val="002D789D"/>
    <w:rsid w:val="002D78B7"/>
    <w:rsid w:val="002E0124"/>
    <w:rsid w:val="002E0DC9"/>
    <w:rsid w:val="002E1194"/>
    <w:rsid w:val="002E1645"/>
    <w:rsid w:val="002E1B56"/>
    <w:rsid w:val="002E1F5A"/>
    <w:rsid w:val="002E245A"/>
    <w:rsid w:val="002E249D"/>
    <w:rsid w:val="002E27C0"/>
    <w:rsid w:val="002E2AB8"/>
    <w:rsid w:val="002E31A8"/>
    <w:rsid w:val="002E358A"/>
    <w:rsid w:val="002E3A53"/>
    <w:rsid w:val="002E3F66"/>
    <w:rsid w:val="002E4248"/>
    <w:rsid w:val="002E4592"/>
    <w:rsid w:val="002E48DA"/>
    <w:rsid w:val="002E584C"/>
    <w:rsid w:val="002E58B7"/>
    <w:rsid w:val="002E67DA"/>
    <w:rsid w:val="002E6B17"/>
    <w:rsid w:val="002E6B94"/>
    <w:rsid w:val="002E6EA3"/>
    <w:rsid w:val="002E7C45"/>
    <w:rsid w:val="002E7F7D"/>
    <w:rsid w:val="002F0333"/>
    <w:rsid w:val="002F0391"/>
    <w:rsid w:val="002F03D8"/>
    <w:rsid w:val="002F04F8"/>
    <w:rsid w:val="002F076D"/>
    <w:rsid w:val="002F0A09"/>
    <w:rsid w:val="002F0BEF"/>
    <w:rsid w:val="002F0F5D"/>
    <w:rsid w:val="002F1418"/>
    <w:rsid w:val="002F1468"/>
    <w:rsid w:val="002F16FF"/>
    <w:rsid w:val="002F1E72"/>
    <w:rsid w:val="002F2132"/>
    <w:rsid w:val="002F2DF2"/>
    <w:rsid w:val="002F2E12"/>
    <w:rsid w:val="002F2F34"/>
    <w:rsid w:val="002F302A"/>
    <w:rsid w:val="002F3559"/>
    <w:rsid w:val="002F355E"/>
    <w:rsid w:val="002F3ADB"/>
    <w:rsid w:val="002F3C7C"/>
    <w:rsid w:val="002F43EA"/>
    <w:rsid w:val="002F4416"/>
    <w:rsid w:val="002F45D2"/>
    <w:rsid w:val="002F45F4"/>
    <w:rsid w:val="002F479D"/>
    <w:rsid w:val="002F49B5"/>
    <w:rsid w:val="002F4CF5"/>
    <w:rsid w:val="002F4F9F"/>
    <w:rsid w:val="002F50AA"/>
    <w:rsid w:val="002F5269"/>
    <w:rsid w:val="002F539A"/>
    <w:rsid w:val="002F57BF"/>
    <w:rsid w:val="002F5AAA"/>
    <w:rsid w:val="002F64E7"/>
    <w:rsid w:val="002F6C75"/>
    <w:rsid w:val="002F6DF8"/>
    <w:rsid w:val="002F6E2F"/>
    <w:rsid w:val="002F6E6B"/>
    <w:rsid w:val="002F722A"/>
    <w:rsid w:val="002F737C"/>
    <w:rsid w:val="003005C4"/>
    <w:rsid w:val="00300D50"/>
    <w:rsid w:val="00301432"/>
    <w:rsid w:val="00301957"/>
    <w:rsid w:val="003019D7"/>
    <w:rsid w:val="00301AD1"/>
    <w:rsid w:val="00301F77"/>
    <w:rsid w:val="00302286"/>
    <w:rsid w:val="00302426"/>
    <w:rsid w:val="00302628"/>
    <w:rsid w:val="00302691"/>
    <w:rsid w:val="00302E99"/>
    <w:rsid w:val="00302FBD"/>
    <w:rsid w:val="003036D6"/>
    <w:rsid w:val="00303785"/>
    <w:rsid w:val="00303B29"/>
    <w:rsid w:val="003041AF"/>
    <w:rsid w:val="00304684"/>
    <w:rsid w:val="00304878"/>
    <w:rsid w:val="00304DBA"/>
    <w:rsid w:val="00304E58"/>
    <w:rsid w:val="00305074"/>
    <w:rsid w:val="00305371"/>
    <w:rsid w:val="00305FFA"/>
    <w:rsid w:val="00306193"/>
    <w:rsid w:val="00306342"/>
    <w:rsid w:val="00306549"/>
    <w:rsid w:val="00306F27"/>
    <w:rsid w:val="0030737D"/>
    <w:rsid w:val="00307CF2"/>
    <w:rsid w:val="00307DD1"/>
    <w:rsid w:val="00310253"/>
    <w:rsid w:val="00311634"/>
    <w:rsid w:val="00311924"/>
    <w:rsid w:val="00312224"/>
    <w:rsid w:val="00312F0C"/>
    <w:rsid w:val="00313535"/>
    <w:rsid w:val="003139AE"/>
    <w:rsid w:val="00313C36"/>
    <w:rsid w:val="00313E49"/>
    <w:rsid w:val="00314115"/>
    <w:rsid w:val="0031499E"/>
    <w:rsid w:val="00314B5D"/>
    <w:rsid w:val="00314CB4"/>
    <w:rsid w:val="00314D05"/>
    <w:rsid w:val="00314ED8"/>
    <w:rsid w:val="003151BA"/>
    <w:rsid w:val="00315F04"/>
    <w:rsid w:val="003160B2"/>
    <w:rsid w:val="00316A52"/>
    <w:rsid w:val="003171E3"/>
    <w:rsid w:val="00317254"/>
    <w:rsid w:val="0031726D"/>
    <w:rsid w:val="003175E0"/>
    <w:rsid w:val="00317722"/>
    <w:rsid w:val="00317E15"/>
    <w:rsid w:val="003200E1"/>
    <w:rsid w:val="003203B1"/>
    <w:rsid w:val="003213FA"/>
    <w:rsid w:val="003217C7"/>
    <w:rsid w:val="00321A48"/>
    <w:rsid w:val="003225CD"/>
    <w:rsid w:val="0032296D"/>
    <w:rsid w:val="003240AD"/>
    <w:rsid w:val="00324656"/>
    <w:rsid w:val="003247F0"/>
    <w:rsid w:val="00324AAB"/>
    <w:rsid w:val="00324D29"/>
    <w:rsid w:val="00325109"/>
    <w:rsid w:val="00325A0B"/>
    <w:rsid w:val="00325BCD"/>
    <w:rsid w:val="00326117"/>
    <w:rsid w:val="003262C5"/>
    <w:rsid w:val="003264D9"/>
    <w:rsid w:val="003265FB"/>
    <w:rsid w:val="00327859"/>
    <w:rsid w:val="00327F50"/>
    <w:rsid w:val="003300BB"/>
    <w:rsid w:val="0033062C"/>
    <w:rsid w:val="00331479"/>
    <w:rsid w:val="003319AF"/>
    <w:rsid w:val="00332A3A"/>
    <w:rsid w:val="00332A3E"/>
    <w:rsid w:val="00332BA0"/>
    <w:rsid w:val="00332F12"/>
    <w:rsid w:val="0033313F"/>
    <w:rsid w:val="00333CCF"/>
    <w:rsid w:val="0033410C"/>
    <w:rsid w:val="00334632"/>
    <w:rsid w:val="00334828"/>
    <w:rsid w:val="00334918"/>
    <w:rsid w:val="00334D42"/>
    <w:rsid w:val="00334D62"/>
    <w:rsid w:val="00334E3C"/>
    <w:rsid w:val="003358EA"/>
    <w:rsid w:val="00335FB1"/>
    <w:rsid w:val="003360AF"/>
    <w:rsid w:val="00336772"/>
    <w:rsid w:val="00337074"/>
    <w:rsid w:val="00337626"/>
    <w:rsid w:val="003376FF"/>
    <w:rsid w:val="00337E3B"/>
    <w:rsid w:val="00337EFA"/>
    <w:rsid w:val="0034037E"/>
    <w:rsid w:val="003403D1"/>
    <w:rsid w:val="00340584"/>
    <w:rsid w:val="00340A16"/>
    <w:rsid w:val="00340E09"/>
    <w:rsid w:val="003414A7"/>
    <w:rsid w:val="00341BBB"/>
    <w:rsid w:val="0034248F"/>
    <w:rsid w:val="0034343E"/>
    <w:rsid w:val="003438F1"/>
    <w:rsid w:val="0034417A"/>
    <w:rsid w:val="003443DF"/>
    <w:rsid w:val="00344A83"/>
    <w:rsid w:val="003456F4"/>
    <w:rsid w:val="00345911"/>
    <w:rsid w:val="00345AC0"/>
    <w:rsid w:val="0034678F"/>
    <w:rsid w:val="00350332"/>
    <w:rsid w:val="0035046B"/>
    <w:rsid w:val="00350524"/>
    <w:rsid w:val="003507CB"/>
    <w:rsid w:val="0035130A"/>
    <w:rsid w:val="0035188A"/>
    <w:rsid w:val="003523E8"/>
    <w:rsid w:val="00352D61"/>
    <w:rsid w:val="00353244"/>
    <w:rsid w:val="00353279"/>
    <w:rsid w:val="003532E4"/>
    <w:rsid w:val="0035357B"/>
    <w:rsid w:val="00353686"/>
    <w:rsid w:val="00353DFB"/>
    <w:rsid w:val="00353EED"/>
    <w:rsid w:val="00354942"/>
    <w:rsid w:val="00354C16"/>
    <w:rsid w:val="003550E2"/>
    <w:rsid w:val="0035553B"/>
    <w:rsid w:val="003558E4"/>
    <w:rsid w:val="00356160"/>
    <w:rsid w:val="0035616D"/>
    <w:rsid w:val="003564BB"/>
    <w:rsid w:val="00356511"/>
    <w:rsid w:val="003566E3"/>
    <w:rsid w:val="00356903"/>
    <w:rsid w:val="00356D80"/>
    <w:rsid w:val="0035741E"/>
    <w:rsid w:val="00357CDF"/>
    <w:rsid w:val="00357E5F"/>
    <w:rsid w:val="00357F25"/>
    <w:rsid w:val="00360171"/>
    <w:rsid w:val="003601EC"/>
    <w:rsid w:val="003602AC"/>
    <w:rsid w:val="003606C3"/>
    <w:rsid w:val="00360738"/>
    <w:rsid w:val="00360AC3"/>
    <w:rsid w:val="00360C3D"/>
    <w:rsid w:val="00360C84"/>
    <w:rsid w:val="00360F35"/>
    <w:rsid w:val="00360F82"/>
    <w:rsid w:val="0036109C"/>
    <w:rsid w:val="0036139D"/>
    <w:rsid w:val="0036199E"/>
    <w:rsid w:val="00362382"/>
    <w:rsid w:val="00362BF4"/>
    <w:rsid w:val="00363259"/>
    <w:rsid w:val="0036327F"/>
    <w:rsid w:val="00363358"/>
    <w:rsid w:val="00363734"/>
    <w:rsid w:val="003637C8"/>
    <w:rsid w:val="00363B5D"/>
    <w:rsid w:val="00364196"/>
    <w:rsid w:val="00364236"/>
    <w:rsid w:val="00364F73"/>
    <w:rsid w:val="00365162"/>
    <w:rsid w:val="00365D3D"/>
    <w:rsid w:val="00366135"/>
    <w:rsid w:val="0036663D"/>
    <w:rsid w:val="00366A6F"/>
    <w:rsid w:val="00367139"/>
    <w:rsid w:val="00367F8A"/>
    <w:rsid w:val="00370186"/>
    <w:rsid w:val="003708A1"/>
    <w:rsid w:val="003708EB"/>
    <w:rsid w:val="0037091F"/>
    <w:rsid w:val="00370D67"/>
    <w:rsid w:val="0037116D"/>
    <w:rsid w:val="003711D0"/>
    <w:rsid w:val="00371869"/>
    <w:rsid w:val="00371AFB"/>
    <w:rsid w:val="003721C3"/>
    <w:rsid w:val="003725F3"/>
    <w:rsid w:val="00372B17"/>
    <w:rsid w:val="00374B09"/>
    <w:rsid w:val="00374FF7"/>
    <w:rsid w:val="00375080"/>
    <w:rsid w:val="003753C7"/>
    <w:rsid w:val="0037566D"/>
    <w:rsid w:val="00375CCB"/>
    <w:rsid w:val="00375E6D"/>
    <w:rsid w:val="00375F24"/>
    <w:rsid w:val="00376074"/>
    <w:rsid w:val="003761C7"/>
    <w:rsid w:val="003762B7"/>
    <w:rsid w:val="00376CCC"/>
    <w:rsid w:val="00376DE2"/>
    <w:rsid w:val="003777E2"/>
    <w:rsid w:val="00377A86"/>
    <w:rsid w:val="00377CB9"/>
    <w:rsid w:val="00377E1F"/>
    <w:rsid w:val="00380186"/>
    <w:rsid w:val="003803DB"/>
    <w:rsid w:val="00380D28"/>
    <w:rsid w:val="003812C7"/>
    <w:rsid w:val="003812D1"/>
    <w:rsid w:val="00381838"/>
    <w:rsid w:val="00381BB0"/>
    <w:rsid w:val="00381F61"/>
    <w:rsid w:val="00382310"/>
    <w:rsid w:val="00382340"/>
    <w:rsid w:val="00382449"/>
    <w:rsid w:val="003827FD"/>
    <w:rsid w:val="0038310C"/>
    <w:rsid w:val="00383826"/>
    <w:rsid w:val="0038426F"/>
    <w:rsid w:val="003849C2"/>
    <w:rsid w:val="00385152"/>
    <w:rsid w:val="003852BD"/>
    <w:rsid w:val="00385319"/>
    <w:rsid w:val="00385E47"/>
    <w:rsid w:val="00386117"/>
    <w:rsid w:val="00386147"/>
    <w:rsid w:val="0038680B"/>
    <w:rsid w:val="0038691E"/>
    <w:rsid w:val="00387035"/>
    <w:rsid w:val="003870C7"/>
    <w:rsid w:val="00387515"/>
    <w:rsid w:val="00387533"/>
    <w:rsid w:val="0038760C"/>
    <w:rsid w:val="003877EE"/>
    <w:rsid w:val="00387B07"/>
    <w:rsid w:val="00387DC7"/>
    <w:rsid w:val="00387E01"/>
    <w:rsid w:val="00387FDD"/>
    <w:rsid w:val="0039006E"/>
    <w:rsid w:val="00390071"/>
    <w:rsid w:val="00391064"/>
    <w:rsid w:val="00391080"/>
    <w:rsid w:val="0039109A"/>
    <w:rsid w:val="003915CB"/>
    <w:rsid w:val="003916ED"/>
    <w:rsid w:val="003917BA"/>
    <w:rsid w:val="00392ECA"/>
    <w:rsid w:val="0039303C"/>
    <w:rsid w:val="00393DBB"/>
    <w:rsid w:val="0039403B"/>
    <w:rsid w:val="0039452E"/>
    <w:rsid w:val="00394738"/>
    <w:rsid w:val="00395181"/>
    <w:rsid w:val="003954E1"/>
    <w:rsid w:val="00395A68"/>
    <w:rsid w:val="00395E5B"/>
    <w:rsid w:val="003960C6"/>
    <w:rsid w:val="00396168"/>
    <w:rsid w:val="00396181"/>
    <w:rsid w:val="00396A07"/>
    <w:rsid w:val="00396B1A"/>
    <w:rsid w:val="00397431"/>
    <w:rsid w:val="00397444"/>
    <w:rsid w:val="00397586"/>
    <w:rsid w:val="00397682"/>
    <w:rsid w:val="003A0183"/>
    <w:rsid w:val="003A01DB"/>
    <w:rsid w:val="003A025A"/>
    <w:rsid w:val="003A044F"/>
    <w:rsid w:val="003A04E7"/>
    <w:rsid w:val="003A0678"/>
    <w:rsid w:val="003A245B"/>
    <w:rsid w:val="003A2609"/>
    <w:rsid w:val="003A2879"/>
    <w:rsid w:val="003A333B"/>
    <w:rsid w:val="003A38FF"/>
    <w:rsid w:val="003A39D1"/>
    <w:rsid w:val="003A3F8C"/>
    <w:rsid w:val="003A41C6"/>
    <w:rsid w:val="003A4266"/>
    <w:rsid w:val="003A4483"/>
    <w:rsid w:val="003A4690"/>
    <w:rsid w:val="003A472A"/>
    <w:rsid w:val="003A47E9"/>
    <w:rsid w:val="003A4834"/>
    <w:rsid w:val="003A4F1E"/>
    <w:rsid w:val="003A53BE"/>
    <w:rsid w:val="003A5677"/>
    <w:rsid w:val="003A5E1C"/>
    <w:rsid w:val="003A6150"/>
    <w:rsid w:val="003A6300"/>
    <w:rsid w:val="003A64DF"/>
    <w:rsid w:val="003A6DF6"/>
    <w:rsid w:val="003A763C"/>
    <w:rsid w:val="003A7F05"/>
    <w:rsid w:val="003B04C7"/>
    <w:rsid w:val="003B0847"/>
    <w:rsid w:val="003B0C09"/>
    <w:rsid w:val="003B0DF7"/>
    <w:rsid w:val="003B150D"/>
    <w:rsid w:val="003B1514"/>
    <w:rsid w:val="003B1649"/>
    <w:rsid w:val="003B1BEF"/>
    <w:rsid w:val="003B1C7F"/>
    <w:rsid w:val="003B1D85"/>
    <w:rsid w:val="003B248D"/>
    <w:rsid w:val="003B2643"/>
    <w:rsid w:val="003B2D93"/>
    <w:rsid w:val="003B33B3"/>
    <w:rsid w:val="003B3627"/>
    <w:rsid w:val="003B3967"/>
    <w:rsid w:val="003B3A3E"/>
    <w:rsid w:val="003B4304"/>
    <w:rsid w:val="003B4848"/>
    <w:rsid w:val="003B489E"/>
    <w:rsid w:val="003B492A"/>
    <w:rsid w:val="003B5540"/>
    <w:rsid w:val="003B554E"/>
    <w:rsid w:val="003B5568"/>
    <w:rsid w:val="003B5908"/>
    <w:rsid w:val="003B638E"/>
    <w:rsid w:val="003B68A1"/>
    <w:rsid w:val="003B69D0"/>
    <w:rsid w:val="003B6A61"/>
    <w:rsid w:val="003B76F5"/>
    <w:rsid w:val="003B7931"/>
    <w:rsid w:val="003C0737"/>
    <w:rsid w:val="003C14C7"/>
    <w:rsid w:val="003C184A"/>
    <w:rsid w:val="003C193E"/>
    <w:rsid w:val="003C1C84"/>
    <w:rsid w:val="003C1D28"/>
    <w:rsid w:val="003C219C"/>
    <w:rsid w:val="003C240B"/>
    <w:rsid w:val="003C2694"/>
    <w:rsid w:val="003C278B"/>
    <w:rsid w:val="003C2A21"/>
    <w:rsid w:val="003C33A9"/>
    <w:rsid w:val="003C381B"/>
    <w:rsid w:val="003C3DB4"/>
    <w:rsid w:val="003C4AA0"/>
    <w:rsid w:val="003C502E"/>
    <w:rsid w:val="003C5805"/>
    <w:rsid w:val="003C580C"/>
    <w:rsid w:val="003C59C1"/>
    <w:rsid w:val="003C5D2E"/>
    <w:rsid w:val="003C618E"/>
    <w:rsid w:val="003C67B1"/>
    <w:rsid w:val="003C6C3D"/>
    <w:rsid w:val="003C6FAE"/>
    <w:rsid w:val="003C6FDB"/>
    <w:rsid w:val="003C757E"/>
    <w:rsid w:val="003C78BE"/>
    <w:rsid w:val="003C7E05"/>
    <w:rsid w:val="003C7F59"/>
    <w:rsid w:val="003C7F9E"/>
    <w:rsid w:val="003C7FED"/>
    <w:rsid w:val="003D0B7D"/>
    <w:rsid w:val="003D0DF4"/>
    <w:rsid w:val="003D117D"/>
    <w:rsid w:val="003D1328"/>
    <w:rsid w:val="003D16E3"/>
    <w:rsid w:val="003D2DE9"/>
    <w:rsid w:val="003D3758"/>
    <w:rsid w:val="003D3901"/>
    <w:rsid w:val="003D3F0D"/>
    <w:rsid w:val="003D47CA"/>
    <w:rsid w:val="003D527C"/>
    <w:rsid w:val="003D5FAC"/>
    <w:rsid w:val="003D6035"/>
    <w:rsid w:val="003D6247"/>
    <w:rsid w:val="003D6301"/>
    <w:rsid w:val="003D69A8"/>
    <w:rsid w:val="003D717F"/>
    <w:rsid w:val="003D75D1"/>
    <w:rsid w:val="003D7742"/>
    <w:rsid w:val="003E0AD9"/>
    <w:rsid w:val="003E0DFC"/>
    <w:rsid w:val="003E11A7"/>
    <w:rsid w:val="003E1E30"/>
    <w:rsid w:val="003E1F4C"/>
    <w:rsid w:val="003E2218"/>
    <w:rsid w:val="003E2C6B"/>
    <w:rsid w:val="003E2E32"/>
    <w:rsid w:val="003E36E6"/>
    <w:rsid w:val="003E381A"/>
    <w:rsid w:val="003E39A0"/>
    <w:rsid w:val="003E3B38"/>
    <w:rsid w:val="003E40A7"/>
    <w:rsid w:val="003E4335"/>
    <w:rsid w:val="003E502B"/>
    <w:rsid w:val="003E505D"/>
    <w:rsid w:val="003E56E3"/>
    <w:rsid w:val="003E5944"/>
    <w:rsid w:val="003E5AC1"/>
    <w:rsid w:val="003E6540"/>
    <w:rsid w:val="003E68FE"/>
    <w:rsid w:val="003E6A70"/>
    <w:rsid w:val="003E7879"/>
    <w:rsid w:val="003F0152"/>
    <w:rsid w:val="003F0197"/>
    <w:rsid w:val="003F0522"/>
    <w:rsid w:val="003F0D8B"/>
    <w:rsid w:val="003F0EE1"/>
    <w:rsid w:val="003F16CA"/>
    <w:rsid w:val="003F24F9"/>
    <w:rsid w:val="003F2AEA"/>
    <w:rsid w:val="003F2F98"/>
    <w:rsid w:val="003F4A14"/>
    <w:rsid w:val="003F507C"/>
    <w:rsid w:val="003F54EB"/>
    <w:rsid w:val="003F5736"/>
    <w:rsid w:val="003F5801"/>
    <w:rsid w:val="003F5A09"/>
    <w:rsid w:val="003F5ECB"/>
    <w:rsid w:val="003F605A"/>
    <w:rsid w:val="003F61CC"/>
    <w:rsid w:val="003F6280"/>
    <w:rsid w:val="003F6AAF"/>
    <w:rsid w:val="003F7263"/>
    <w:rsid w:val="003F72B2"/>
    <w:rsid w:val="003F77A8"/>
    <w:rsid w:val="004000B3"/>
    <w:rsid w:val="0040028A"/>
    <w:rsid w:val="004002EB"/>
    <w:rsid w:val="0040058A"/>
    <w:rsid w:val="0040064C"/>
    <w:rsid w:val="00400FD5"/>
    <w:rsid w:val="00401283"/>
    <w:rsid w:val="0040152C"/>
    <w:rsid w:val="00401AB3"/>
    <w:rsid w:val="0040204F"/>
    <w:rsid w:val="00402146"/>
    <w:rsid w:val="00402355"/>
    <w:rsid w:val="004024B2"/>
    <w:rsid w:val="00402764"/>
    <w:rsid w:val="004027B1"/>
    <w:rsid w:val="00402A17"/>
    <w:rsid w:val="0040323F"/>
    <w:rsid w:val="00403C95"/>
    <w:rsid w:val="00404375"/>
    <w:rsid w:val="004049B9"/>
    <w:rsid w:val="00404E43"/>
    <w:rsid w:val="0040516A"/>
    <w:rsid w:val="0040557B"/>
    <w:rsid w:val="00405634"/>
    <w:rsid w:val="00406106"/>
    <w:rsid w:val="004068D8"/>
    <w:rsid w:val="00407069"/>
    <w:rsid w:val="004073AE"/>
    <w:rsid w:val="00407452"/>
    <w:rsid w:val="004075DA"/>
    <w:rsid w:val="00407A34"/>
    <w:rsid w:val="00407F3D"/>
    <w:rsid w:val="00410181"/>
    <w:rsid w:val="0041094C"/>
    <w:rsid w:val="00410BC6"/>
    <w:rsid w:val="0041102A"/>
    <w:rsid w:val="00411077"/>
    <w:rsid w:val="004119A9"/>
    <w:rsid w:val="00411AFD"/>
    <w:rsid w:val="00412156"/>
    <w:rsid w:val="00412261"/>
    <w:rsid w:val="004122DF"/>
    <w:rsid w:val="00412A54"/>
    <w:rsid w:val="00412A73"/>
    <w:rsid w:val="00412BB3"/>
    <w:rsid w:val="00412E28"/>
    <w:rsid w:val="00413057"/>
    <w:rsid w:val="004140F1"/>
    <w:rsid w:val="0041484E"/>
    <w:rsid w:val="00414F89"/>
    <w:rsid w:val="0041533D"/>
    <w:rsid w:val="00415521"/>
    <w:rsid w:val="00415598"/>
    <w:rsid w:val="0041565A"/>
    <w:rsid w:val="00415BD2"/>
    <w:rsid w:val="00416136"/>
    <w:rsid w:val="00416735"/>
    <w:rsid w:val="00416CAF"/>
    <w:rsid w:val="0041742A"/>
    <w:rsid w:val="004174FD"/>
    <w:rsid w:val="004174FF"/>
    <w:rsid w:val="0041789C"/>
    <w:rsid w:val="0042174A"/>
    <w:rsid w:val="00421AC1"/>
    <w:rsid w:val="00421D6E"/>
    <w:rsid w:val="00421ECB"/>
    <w:rsid w:val="00422369"/>
    <w:rsid w:val="00422A5C"/>
    <w:rsid w:val="00422C76"/>
    <w:rsid w:val="00422CF6"/>
    <w:rsid w:val="00423728"/>
    <w:rsid w:val="00423DE7"/>
    <w:rsid w:val="004248F9"/>
    <w:rsid w:val="00424B5A"/>
    <w:rsid w:val="00425144"/>
    <w:rsid w:val="00425373"/>
    <w:rsid w:val="0042546A"/>
    <w:rsid w:val="00425635"/>
    <w:rsid w:val="0042566A"/>
    <w:rsid w:val="00425821"/>
    <w:rsid w:val="00425A87"/>
    <w:rsid w:val="004261B0"/>
    <w:rsid w:val="00426441"/>
    <w:rsid w:val="00426C65"/>
    <w:rsid w:val="00426D7D"/>
    <w:rsid w:val="00426E01"/>
    <w:rsid w:val="004270BB"/>
    <w:rsid w:val="00427BDB"/>
    <w:rsid w:val="00427CEC"/>
    <w:rsid w:val="004300B7"/>
    <w:rsid w:val="004305F6"/>
    <w:rsid w:val="00430BBD"/>
    <w:rsid w:val="00430C5B"/>
    <w:rsid w:val="00430E41"/>
    <w:rsid w:val="00430F0A"/>
    <w:rsid w:val="00431067"/>
    <w:rsid w:val="00431454"/>
    <w:rsid w:val="004317C7"/>
    <w:rsid w:val="0043185B"/>
    <w:rsid w:val="00431F13"/>
    <w:rsid w:val="00432230"/>
    <w:rsid w:val="00432573"/>
    <w:rsid w:val="004328D2"/>
    <w:rsid w:val="00432987"/>
    <w:rsid w:val="004330EB"/>
    <w:rsid w:val="00433712"/>
    <w:rsid w:val="0043416B"/>
    <w:rsid w:val="0043457F"/>
    <w:rsid w:val="00434D69"/>
    <w:rsid w:val="004351AC"/>
    <w:rsid w:val="0043540A"/>
    <w:rsid w:val="00435A34"/>
    <w:rsid w:val="00435ACD"/>
    <w:rsid w:val="00435BE2"/>
    <w:rsid w:val="00435C8E"/>
    <w:rsid w:val="004365BD"/>
    <w:rsid w:val="00437403"/>
    <w:rsid w:val="00437438"/>
    <w:rsid w:val="0044045E"/>
    <w:rsid w:val="0044058B"/>
    <w:rsid w:val="004405C7"/>
    <w:rsid w:val="00440750"/>
    <w:rsid w:val="00440B61"/>
    <w:rsid w:val="00440C2B"/>
    <w:rsid w:val="00441067"/>
    <w:rsid w:val="0044141F"/>
    <w:rsid w:val="004414CB"/>
    <w:rsid w:val="00442437"/>
    <w:rsid w:val="004426A9"/>
    <w:rsid w:val="004436F7"/>
    <w:rsid w:val="00443736"/>
    <w:rsid w:val="00443A1E"/>
    <w:rsid w:val="00443A64"/>
    <w:rsid w:val="00443F3B"/>
    <w:rsid w:val="0044403C"/>
    <w:rsid w:val="00444246"/>
    <w:rsid w:val="00444717"/>
    <w:rsid w:val="004449F5"/>
    <w:rsid w:val="00444EB3"/>
    <w:rsid w:val="00444EC0"/>
    <w:rsid w:val="004457F5"/>
    <w:rsid w:val="00445AD3"/>
    <w:rsid w:val="00446158"/>
    <w:rsid w:val="00446813"/>
    <w:rsid w:val="00446EA1"/>
    <w:rsid w:val="004474B3"/>
    <w:rsid w:val="00447D2E"/>
    <w:rsid w:val="00450176"/>
    <w:rsid w:val="0045051B"/>
    <w:rsid w:val="004511B8"/>
    <w:rsid w:val="00451277"/>
    <w:rsid w:val="004515E1"/>
    <w:rsid w:val="004522E5"/>
    <w:rsid w:val="004525EE"/>
    <w:rsid w:val="004527E5"/>
    <w:rsid w:val="0045290E"/>
    <w:rsid w:val="00452B77"/>
    <w:rsid w:val="00452D64"/>
    <w:rsid w:val="00452E79"/>
    <w:rsid w:val="004534D3"/>
    <w:rsid w:val="00453EDD"/>
    <w:rsid w:val="0045431B"/>
    <w:rsid w:val="00455117"/>
    <w:rsid w:val="0045514D"/>
    <w:rsid w:val="00455192"/>
    <w:rsid w:val="00456765"/>
    <w:rsid w:val="00456A18"/>
    <w:rsid w:val="00456C25"/>
    <w:rsid w:val="00456C27"/>
    <w:rsid w:val="00456E8A"/>
    <w:rsid w:val="00457263"/>
    <w:rsid w:val="00457409"/>
    <w:rsid w:val="004578A6"/>
    <w:rsid w:val="00460DA3"/>
    <w:rsid w:val="00460EF3"/>
    <w:rsid w:val="00460F22"/>
    <w:rsid w:val="00460F86"/>
    <w:rsid w:val="00461041"/>
    <w:rsid w:val="00461523"/>
    <w:rsid w:val="00461630"/>
    <w:rsid w:val="004618F0"/>
    <w:rsid w:val="0046196F"/>
    <w:rsid w:val="00461ED6"/>
    <w:rsid w:val="004625B1"/>
    <w:rsid w:val="004636E2"/>
    <w:rsid w:val="0046387F"/>
    <w:rsid w:val="004641CF"/>
    <w:rsid w:val="00464D62"/>
    <w:rsid w:val="00465A0C"/>
    <w:rsid w:val="00465CBC"/>
    <w:rsid w:val="00465E0D"/>
    <w:rsid w:val="0046607D"/>
    <w:rsid w:val="0046614C"/>
    <w:rsid w:val="004667FB"/>
    <w:rsid w:val="004668D4"/>
    <w:rsid w:val="00466B5C"/>
    <w:rsid w:val="004672A9"/>
    <w:rsid w:val="00467684"/>
    <w:rsid w:val="004677D2"/>
    <w:rsid w:val="00467854"/>
    <w:rsid w:val="00467EF9"/>
    <w:rsid w:val="0047007D"/>
    <w:rsid w:val="00470217"/>
    <w:rsid w:val="00470EFB"/>
    <w:rsid w:val="0047156F"/>
    <w:rsid w:val="00471B09"/>
    <w:rsid w:val="00471CA3"/>
    <w:rsid w:val="004722B2"/>
    <w:rsid w:val="00472776"/>
    <w:rsid w:val="00472C1E"/>
    <w:rsid w:val="00472D6A"/>
    <w:rsid w:val="00472F7E"/>
    <w:rsid w:val="00473263"/>
    <w:rsid w:val="00473819"/>
    <w:rsid w:val="00473E5F"/>
    <w:rsid w:val="0047401B"/>
    <w:rsid w:val="00474870"/>
    <w:rsid w:val="004748ED"/>
    <w:rsid w:val="004749CA"/>
    <w:rsid w:val="00474A0C"/>
    <w:rsid w:val="00474CDA"/>
    <w:rsid w:val="00474F8C"/>
    <w:rsid w:val="0047522C"/>
    <w:rsid w:val="004755D1"/>
    <w:rsid w:val="00475737"/>
    <w:rsid w:val="004757A1"/>
    <w:rsid w:val="00475BD0"/>
    <w:rsid w:val="004760AE"/>
    <w:rsid w:val="004760D4"/>
    <w:rsid w:val="004765D0"/>
    <w:rsid w:val="00476A59"/>
    <w:rsid w:val="00476C65"/>
    <w:rsid w:val="00476D90"/>
    <w:rsid w:val="0047736C"/>
    <w:rsid w:val="004775E7"/>
    <w:rsid w:val="00477773"/>
    <w:rsid w:val="00477C43"/>
    <w:rsid w:val="00477C4B"/>
    <w:rsid w:val="00477D49"/>
    <w:rsid w:val="00480055"/>
    <w:rsid w:val="0048032F"/>
    <w:rsid w:val="004816FF"/>
    <w:rsid w:val="0048198A"/>
    <w:rsid w:val="00481A4B"/>
    <w:rsid w:val="0048292A"/>
    <w:rsid w:val="0048378C"/>
    <w:rsid w:val="004837B9"/>
    <w:rsid w:val="00483820"/>
    <w:rsid w:val="00483B23"/>
    <w:rsid w:val="00483ED8"/>
    <w:rsid w:val="0048419F"/>
    <w:rsid w:val="00484273"/>
    <w:rsid w:val="004848C8"/>
    <w:rsid w:val="00485514"/>
    <w:rsid w:val="00485C75"/>
    <w:rsid w:val="00485E18"/>
    <w:rsid w:val="0048622B"/>
    <w:rsid w:val="004867DD"/>
    <w:rsid w:val="004873A8"/>
    <w:rsid w:val="0048746E"/>
    <w:rsid w:val="00487BC3"/>
    <w:rsid w:val="00487C22"/>
    <w:rsid w:val="004905EB"/>
    <w:rsid w:val="00490907"/>
    <w:rsid w:val="00490B9A"/>
    <w:rsid w:val="00491008"/>
    <w:rsid w:val="00491551"/>
    <w:rsid w:val="00492F40"/>
    <w:rsid w:val="004934CF"/>
    <w:rsid w:val="00493EA0"/>
    <w:rsid w:val="0049416E"/>
    <w:rsid w:val="00494247"/>
    <w:rsid w:val="00494497"/>
    <w:rsid w:val="004947C1"/>
    <w:rsid w:val="00494980"/>
    <w:rsid w:val="00494E45"/>
    <w:rsid w:val="004953D0"/>
    <w:rsid w:val="00495593"/>
    <w:rsid w:val="00495A89"/>
    <w:rsid w:val="00496365"/>
    <w:rsid w:val="004963D6"/>
    <w:rsid w:val="004968A9"/>
    <w:rsid w:val="00496933"/>
    <w:rsid w:val="00496961"/>
    <w:rsid w:val="00496D4F"/>
    <w:rsid w:val="00496E1E"/>
    <w:rsid w:val="0049753A"/>
    <w:rsid w:val="0049784D"/>
    <w:rsid w:val="00497AB2"/>
    <w:rsid w:val="00497DAA"/>
    <w:rsid w:val="00497F33"/>
    <w:rsid w:val="004A004A"/>
    <w:rsid w:val="004A04DB"/>
    <w:rsid w:val="004A0BA2"/>
    <w:rsid w:val="004A0C4B"/>
    <w:rsid w:val="004A0E28"/>
    <w:rsid w:val="004A0F0C"/>
    <w:rsid w:val="004A1651"/>
    <w:rsid w:val="004A167D"/>
    <w:rsid w:val="004A1B69"/>
    <w:rsid w:val="004A24D2"/>
    <w:rsid w:val="004A2BD3"/>
    <w:rsid w:val="004A2E0F"/>
    <w:rsid w:val="004A3004"/>
    <w:rsid w:val="004A31BE"/>
    <w:rsid w:val="004A3770"/>
    <w:rsid w:val="004A38A3"/>
    <w:rsid w:val="004A3A6C"/>
    <w:rsid w:val="004A3CDA"/>
    <w:rsid w:val="004A3E59"/>
    <w:rsid w:val="004A4921"/>
    <w:rsid w:val="004A496F"/>
    <w:rsid w:val="004A4E05"/>
    <w:rsid w:val="004A5237"/>
    <w:rsid w:val="004A5503"/>
    <w:rsid w:val="004A5900"/>
    <w:rsid w:val="004A5F7D"/>
    <w:rsid w:val="004A6517"/>
    <w:rsid w:val="004A6AA9"/>
    <w:rsid w:val="004A78BA"/>
    <w:rsid w:val="004AA983"/>
    <w:rsid w:val="004B09E1"/>
    <w:rsid w:val="004B0F76"/>
    <w:rsid w:val="004B14FF"/>
    <w:rsid w:val="004B17B0"/>
    <w:rsid w:val="004B17B5"/>
    <w:rsid w:val="004B25BC"/>
    <w:rsid w:val="004B2699"/>
    <w:rsid w:val="004B27A8"/>
    <w:rsid w:val="004B30F4"/>
    <w:rsid w:val="004B3280"/>
    <w:rsid w:val="004B32C9"/>
    <w:rsid w:val="004B3466"/>
    <w:rsid w:val="004B352D"/>
    <w:rsid w:val="004B36E8"/>
    <w:rsid w:val="004B4266"/>
    <w:rsid w:val="004B4369"/>
    <w:rsid w:val="004B4AAF"/>
    <w:rsid w:val="004B514A"/>
    <w:rsid w:val="004B5191"/>
    <w:rsid w:val="004B5282"/>
    <w:rsid w:val="004B52BE"/>
    <w:rsid w:val="004B5557"/>
    <w:rsid w:val="004B5646"/>
    <w:rsid w:val="004B5AD5"/>
    <w:rsid w:val="004B60C9"/>
    <w:rsid w:val="004B621E"/>
    <w:rsid w:val="004B6739"/>
    <w:rsid w:val="004B67BB"/>
    <w:rsid w:val="004B6A98"/>
    <w:rsid w:val="004B6D52"/>
    <w:rsid w:val="004B6FC1"/>
    <w:rsid w:val="004B721F"/>
    <w:rsid w:val="004B7553"/>
    <w:rsid w:val="004B7EFC"/>
    <w:rsid w:val="004C004D"/>
    <w:rsid w:val="004C0771"/>
    <w:rsid w:val="004C0A95"/>
    <w:rsid w:val="004C0C87"/>
    <w:rsid w:val="004C2064"/>
    <w:rsid w:val="004C266E"/>
    <w:rsid w:val="004C2712"/>
    <w:rsid w:val="004C29BF"/>
    <w:rsid w:val="004C2BCE"/>
    <w:rsid w:val="004C2C01"/>
    <w:rsid w:val="004C32B0"/>
    <w:rsid w:val="004C38AB"/>
    <w:rsid w:val="004C3F75"/>
    <w:rsid w:val="004C4209"/>
    <w:rsid w:val="004C433A"/>
    <w:rsid w:val="004C447E"/>
    <w:rsid w:val="004C44FC"/>
    <w:rsid w:val="004C4BE1"/>
    <w:rsid w:val="004C4C34"/>
    <w:rsid w:val="004C4D3B"/>
    <w:rsid w:val="004C5910"/>
    <w:rsid w:val="004C5D4E"/>
    <w:rsid w:val="004C5E10"/>
    <w:rsid w:val="004C66C4"/>
    <w:rsid w:val="004C66CA"/>
    <w:rsid w:val="004C6794"/>
    <w:rsid w:val="004C6D4E"/>
    <w:rsid w:val="004C6D5A"/>
    <w:rsid w:val="004C73D1"/>
    <w:rsid w:val="004C75BD"/>
    <w:rsid w:val="004C7746"/>
    <w:rsid w:val="004C7E14"/>
    <w:rsid w:val="004D0217"/>
    <w:rsid w:val="004D02E7"/>
    <w:rsid w:val="004D0E0B"/>
    <w:rsid w:val="004D0E0E"/>
    <w:rsid w:val="004D0E70"/>
    <w:rsid w:val="004D1104"/>
    <w:rsid w:val="004D15AA"/>
    <w:rsid w:val="004D1DC3"/>
    <w:rsid w:val="004D2544"/>
    <w:rsid w:val="004D27B5"/>
    <w:rsid w:val="004D3409"/>
    <w:rsid w:val="004D350E"/>
    <w:rsid w:val="004D3CCD"/>
    <w:rsid w:val="004D3EFE"/>
    <w:rsid w:val="004D41FF"/>
    <w:rsid w:val="004D440C"/>
    <w:rsid w:val="004D4488"/>
    <w:rsid w:val="004D4BCE"/>
    <w:rsid w:val="004D590C"/>
    <w:rsid w:val="004D6B2C"/>
    <w:rsid w:val="004D6CE8"/>
    <w:rsid w:val="004D6FB0"/>
    <w:rsid w:val="004D70D8"/>
    <w:rsid w:val="004D7281"/>
    <w:rsid w:val="004D7492"/>
    <w:rsid w:val="004D7651"/>
    <w:rsid w:val="004D7A40"/>
    <w:rsid w:val="004D7B7E"/>
    <w:rsid w:val="004D7CCB"/>
    <w:rsid w:val="004D7DD7"/>
    <w:rsid w:val="004D7E7B"/>
    <w:rsid w:val="004E0886"/>
    <w:rsid w:val="004E0BB7"/>
    <w:rsid w:val="004E0D52"/>
    <w:rsid w:val="004E1063"/>
    <w:rsid w:val="004E13A6"/>
    <w:rsid w:val="004E1772"/>
    <w:rsid w:val="004E17F3"/>
    <w:rsid w:val="004E1BA1"/>
    <w:rsid w:val="004E2228"/>
    <w:rsid w:val="004E268B"/>
    <w:rsid w:val="004E268F"/>
    <w:rsid w:val="004E27CB"/>
    <w:rsid w:val="004E28D5"/>
    <w:rsid w:val="004E29D5"/>
    <w:rsid w:val="004E2BF8"/>
    <w:rsid w:val="004E3EFB"/>
    <w:rsid w:val="004E430C"/>
    <w:rsid w:val="004E4731"/>
    <w:rsid w:val="004E47C8"/>
    <w:rsid w:val="004E4C09"/>
    <w:rsid w:val="004E4FC8"/>
    <w:rsid w:val="004E5028"/>
    <w:rsid w:val="004E5162"/>
    <w:rsid w:val="004E51AD"/>
    <w:rsid w:val="004E5A4D"/>
    <w:rsid w:val="004E5AC2"/>
    <w:rsid w:val="004E5ADF"/>
    <w:rsid w:val="004E626F"/>
    <w:rsid w:val="004E63A3"/>
    <w:rsid w:val="004E649B"/>
    <w:rsid w:val="004E653D"/>
    <w:rsid w:val="004E6CC0"/>
    <w:rsid w:val="004E6CE1"/>
    <w:rsid w:val="004E7440"/>
    <w:rsid w:val="004E75F4"/>
    <w:rsid w:val="004E7ABC"/>
    <w:rsid w:val="004E7C32"/>
    <w:rsid w:val="004E7D07"/>
    <w:rsid w:val="004F06BD"/>
    <w:rsid w:val="004F14B4"/>
    <w:rsid w:val="004F18E7"/>
    <w:rsid w:val="004F1B5C"/>
    <w:rsid w:val="004F2D7D"/>
    <w:rsid w:val="004F2EDB"/>
    <w:rsid w:val="004F3030"/>
    <w:rsid w:val="004F31FA"/>
    <w:rsid w:val="004F359B"/>
    <w:rsid w:val="004F3F19"/>
    <w:rsid w:val="004F503B"/>
    <w:rsid w:val="004F550A"/>
    <w:rsid w:val="004F5901"/>
    <w:rsid w:val="004F5BA0"/>
    <w:rsid w:val="004F5C21"/>
    <w:rsid w:val="004F5E89"/>
    <w:rsid w:val="004F674F"/>
    <w:rsid w:val="004F6C64"/>
    <w:rsid w:val="004F711D"/>
    <w:rsid w:val="004F733E"/>
    <w:rsid w:val="004F7351"/>
    <w:rsid w:val="00500567"/>
    <w:rsid w:val="0050056F"/>
    <w:rsid w:val="00501120"/>
    <w:rsid w:val="00501414"/>
    <w:rsid w:val="00501534"/>
    <w:rsid w:val="005018C4"/>
    <w:rsid w:val="00501C1D"/>
    <w:rsid w:val="00501D58"/>
    <w:rsid w:val="00501E3F"/>
    <w:rsid w:val="0050225C"/>
    <w:rsid w:val="005022F3"/>
    <w:rsid w:val="00502507"/>
    <w:rsid w:val="00502B22"/>
    <w:rsid w:val="00503130"/>
    <w:rsid w:val="0050356E"/>
    <w:rsid w:val="00503B65"/>
    <w:rsid w:val="00503EF0"/>
    <w:rsid w:val="00503FEE"/>
    <w:rsid w:val="00504241"/>
    <w:rsid w:val="005048A4"/>
    <w:rsid w:val="00504E96"/>
    <w:rsid w:val="00504FE2"/>
    <w:rsid w:val="005052DE"/>
    <w:rsid w:val="00505B03"/>
    <w:rsid w:val="00505CA0"/>
    <w:rsid w:val="00505D65"/>
    <w:rsid w:val="00505ED4"/>
    <w:rsid w:val="00505F7D"/>
    <w:rsid w:val="00505FD5"/>
    <w:rsid w:val="00506148"/>
    <w:rsid w:val="00506A5C"/>
    <w:rsid w:val="00506A83"/>
    <w:rsid w:val="00507177"/>
    <w:rsid w:val="00507519"/>
    <w:rsid w:val="0050761B"/>
    <w:rsid w:val="00507828"/>
    <w:rsid w:val="00507E98"/>
    <w:rsid w:val="0051099D"/>
    <w:rsid w:val="00510AC1"/>
    <w:rsid w:val="00510DE8"/>
    <w:rsid w:val="005118E5"/>
    <w:rsid w:val="005123B8"/>
    <w:rsid w:val="00512665"/>
    <w:rsid w:val="0051280B"/>
    <w:rsid w:val="00513042"/>
    <w:rsid w:val="005131CF"/>
    <w:rsid w:val="005132B0"/>
    <w:rsid w:val="005136B2"/>
    <w:rsid w:val="005136EF"/>
    <w:rsid w:val="00513F84"/>
    <w:rsid w:val="0051407D"/>
    <w:rsid w:val="00514923"/>
    <w:rsid w:val="00514C4C"/>
    <w:rsid w:val="0051534E"/>
    <w:rsid w:val="005159E1"/>
    <w:rsid w:val="00515D4D"/>
    <w:rsid w:val="00516236"/>
    <w:rsid w:val="005162ED"/>
    <w:rsid w:val="00516320"/>
    <w:rsid w:val="005163D0"/>
    <w:rsid w:val="0051661E"/>
    <w:rsid w:val="00516992"/>
    <w:rsid w:val="00517082"/>
    <w:rsid w:val="005174F4"/>
    <w:rsid w:val="0051752F"/>
    <w:rsid w:val="00520630"/>
    <w:rsid w:val="005207C3"/>
    <w:rsid w:val="00520B00"/>
    <w:rsid w:val="00520CBA"/>
    <w:rsid w:val="005211AF"/>
    <w:rsid w:val="00521CE4"/>
    <w:rsid w:val="00521EA9"/>
    <w:rsid w:val="00521F77"/>
    <w:rsid w:val="005223BE"/>
    <w:rsid w:val="00522631"/>
    <w:rsid w:val="005226EF"/>
    <w:rsid w:val="00522D7F"/>
    <w:rsid w:val="005231CA"/>
    <w:rsid w:val="0052367D"/>
    <w:rsid w:val="0052386E"/>
    <w:rsid w:val="005240CB"/>
    <w:rsid w:val="00524112"/>
    <w:rsid w:val="0052432F"/>
    <w:rsid w:val="005243C1"/>
    <w:rsid w:val="00524858"/>
    <w:rsid w:val="00524866"/>
    <w:rsid w:val="00524981"/>
    <w:rsid w:val="00524CE6"/>
    <w:rsid w:val="00524D5B"/>
    <w:rsid w:val="00524F87"/>
    <w:rsid w:val="00525504"/>
    <w:rsid w:val="00525C8B"/>
    <w:rsid w:val="00525E1A"/>
    <w:rsid w:val="00525F4F"/>
    <w:rsid w:val="00526BE5"/>
    <w:rsid w:val="005272A5"/>
    <w:rsid w:val="00527679"/>
    <w:rsid w:val="005307A1"/>
    <w:rsid w:val="00530D3B"/>
    <w:rsid w:val="00530F67"/>
    <w:rsid w:val="005311A6"/>
    <w:rsid w:val="00531C07"/>
    <w:rsid w:val="00531F09"/>
    <w:rsid w:val="005321C1"/>
    <w:rsid w:val="005327E8"/>
    <w:rsid w:val="00532DF9"/>
    <w:rsid w:val="00533B7F"/>
    <w:rsid w:val="005340F9"/>
    <w:rsid w:val="0053486A"/>
    <w:rsid w:val="00534B1C"/>
    <w:rsid w:val="00534CEC"/>
    <w:rsid w:val="00534E0C"/>
    <w:rsid w:val="00534F36"/>
    <w:rsid w:val="005350A8"/>
    <w:rsid w:val="00535270"/>
    <w:rsid w:val="0053542F"/>
    <w:rsid w:val="005355F9"/>
    <w:rsid w:val="0053593F"/>
    <w:rsid w:val="00535AEE"/>
    <w:rsid w:val="00535B94"/>
    <w:rsid w:val="00535C4E"/>
    <w:rsid w:val="00535C79"/>
    <w:rsid w:val="00536128"/>
    <w:rsid w:val="005361D6"/>
    <w:rsid w:val="00536A22"/>
    <w:rsid w:val="005376E2"/>
    <w:rsid w:val="005379E3"/>
    <w:rsid w:val="00540A36"/>
    <w:rsid w:val="00540E24"/>
    <w:rsid w:val="00541225"/>
    <w:rsid w:val="0054146C"/>
    <w:rsid w:val="00541776"/>
    <w:rsid w:val="00541BF0"/>
    <w:rsid w:val="005421F1"/>
    <w:rsid w:val="005432F5"/>
    <w:rsid w:val="005433D6"/>
    <w:rsid w:val="00544B7E"/>
    <w:rsid w:val="00544D32"/>
    <w:rsid w:val="00545B4D"/>
    <w:rsid w:val="00545F7A"/>
    <w:rsid w:val="005460F3"/>
    <w:rsid w:val="00546796"/>
    <w:rsid w:val="00546BF7"/>
    <w:rsid w:val="0054745D"/>
    <w:rsid w:val="005477ED"/>
    <w:rsid w:val="00547806"/>
    <w:rsid w:val="00547AC3"/>
    <w:rsid w:val="00547E0C"/>
    <w:rsid w:val="00547F97"/>
    <w:rsid w:val="0055029A"/>
    <w:rsid w:val="00550626"/>
    <w:rsid w:val="005508F3"/>
    <w:rsid w:val="00551D80"/>
    <w:rsid w:val="0055343C"/>
    <w:rsid w:val="0055355C"/>
    <w:rsid w:val="005535A9"/>
    <w:rsid w:val="005535B2"/>
    <w:rsid w:val="00553817"/>
    <w:rsid w:val="005540F9"/>
    <w:rsid w:val="00554520"/>
    <w:rsid w:val="005553B8"/>
    <w:rsid w:val="00555504"/>
    <w:rsid w:val="00555B2C"/>
    <w:rsid w:val="005561DB"/>
    <w:rsid w:val="00556277"/>
    <w:rsid w:val="005567BE"/>
    <w:rsid w:val="00556A6F"/>
    <w:rsid w:val="00557CD7"/>
    <w:rsid w:val="00560332"/>
    <w:rsid w:val="0056033A"/>
    <w:rsid w:val="00560370"/>
    <w:rsid w:val="00560374"/>
    <w:rsid w:val="0056077A"/>
    <w:rsid w:val="005609AD"/>
    <w:rsid w:val="00560CE3"/>
    <w:rsid w:val="005616DE"/>
    <w:rsid w:val="00562759"/>
    <w:rsid w:val="005631E2"/>
    <w:rsid w:val="00563360"/>
    <w:rsid w:val="0056460D"/>
    <w:rsid w:val="00564CA9"/>
    <w:rsid w:val="00564DB9"/>
    <w:rsid w:val="00565199"/>
    <w:rsid w:val="00565258"/>
    <w:rsid w:val="0056567E"/>
    <w:rsid w:val="00566085"/>
    <w:rsid w:val="00566B45"/>
    <w:rsid w:val="0056785F"/>
    <w:rsid w:val="00567B0D"/>
    <w:rsid w:val="0057005C"/>
    <w:rsid w:val="00570065"/>
    <w:rsid w:val="00570069"/>
    <w:rsid w:val="0057068B"/>
    <w:rsid w:val="005707E6"/>
    <w:rsid w:val="00570E65"/>
    <w:rsid w:val="00570EA4"/>
    <w:rsid w:val="005715B4"/>
    <w:rsid w:val="005716AB"/>
    <w:rsid w:val="0057193F"/>
    <w:rsid w:val="00571D27"/>
    <w:rsid w:val="00572058"/>
    <w:rsid w:val="00572296"/>
    <w:rsid w:val="00572775"/>
    <w:rsid w:val="00573045"/>
    <w:rsid w:val="00573078"/>
    <w:rsid w:val="00573C06"/>
    <w:rsid w:val="005743C7"/>
    <w:rsid w:val="0057460D"/>
    <w:rsid w:val="00574954"/>
    <w:rsid w:val="00574978"/>
    <w:rsid w:val="00574C28"/>
    <w:rsid w:val="00575289"/>
    <w:rsid w:val="005755C6"/>
    <w:rsid w:val="00575C03"/>
    <w:rsid w:val="00575C0A"/>
    <w:rsid w:val="00575E96"/>
    <w:rsid w:val="00576906"/>
    <w:rsid w:val="00576A6E"/>
    <w:rsid w:val="00576CA1"/>
    <w:rsid w:val="00577213"/>
    <w:rsid w:val="005778BB"/>
    <w:rsid w:val="00580273"/>
    <w:rsid w:val="00580538"/>
    <w:rsid w:val="005805BC"/>
    <w:rsid w:val="005808BF"/>
    <w:rsid w:val="00580A81"/>
    <w:rsid w:val="00580EF0"/>
    <w:rsid w:val="005810EA"/>
    <w:rsid w:val="0058170A"/>
    <w:rsid w:val="00581938"/>
    <w:rsid w:val="00581D88"/>
    <w:rsid w:val="00581EDD"/>
    <w:rsid w:val="00582092"/>
    <w:rsid w:val="00583453"/>
    <w:rsid w:val="0058375C"/>
    <w:rsid w:val="00583968"/>
    <w:rsid w:val="00583BD9"/>
    <w:rsid w:val="00584599"/>
    <w:rsid w:val="005846C6"/>
    <w:rsid w:val="0058470C"/>
    <w:rsid w:val="00584D9A"/>
    <w:rsid w:val="00584E5B"/>
    <w:rsid w:val="005850E5"/>
    <w:rsid w:val="00585A04"/>
    <w:rsid w:val="00585DDF"/>
    <w:rsid w:val="0058656C"/>
    <w:rsid w:val="005866D6"/>
    <w:rsid w:val="0058733F"/>
    <w:rsid w:val="005874F3"/>
    <w:rsid w:val="0058757A"/>
    <w:rsid w:val="00587D08"/>
    <w:rsid w:val="0059083D"/>
    <w:rsid w:val="00590B81"/>
    <w:rsid w:val="00591461"/>
    <w:rsid w:val="005918D3"/>
    <w:rsid w:val="00591E04"/>
    <w:rsid w:val="005920DD"/>
    <w:rsid w:val="0059244C"/>
    <w:rsid w:val="00592DE4"/>
    <w:rsid w:val="005935AD"/>
    <w:rsid w:val="00593771"/>
    <w:rsid w:val="0059396D"/>
    <w:rsid w:val="0059426D"/>
    <w:rsid w:val="0059469B"/>
    <w:rsid w:val="00594C94"/>
    <w:rsid w:val="00595030"/>
    <w:rsid w:val="005951A4"/>
    <w:rsid w:val="005956E1"/>
    <w:rsid w:val="0059603C"/>
    <w:rsid w:val="0059604C"/>
    <w:rsid w:val="00596141"/>
    <w:rsid w:val="005961BB"/>
    <w:rsid w:val="00596D47"/>
    <w:rsid w:val="005975C6"/>
    <w:rsid w:val="00597668"/>
    <w:rsid w:val="005A0849"/>
    <w:rsid w:val="005A1C9C"/>
    <w:rsid w:val="005A1DE4"/>
    <w:rsid w:val="005A26AB"/>
    <w:rsid w:val="005A2975"/>
    <w:rsid w:val="005A2FC3"/>
    <w:rsid w:val="005A32EF"/>
    <w:rsid w:val="005A3533"/>
    <w:rsid w:val="005A391B"/>
    <w:rsid w:val="005A3960"/>
    <w:rsid w:val="005A3E43"/>
    <w:rsid w:val="005A41D5"/>
    <w:rsid w:val="005A44CB"/>
    <w:rsid w:val="005A4BB5"/>
    <w:rsid w:val="005A4E3F"/>
    <w:rsid w:val="005A4FC4"/>
    <w:rsid w:val="005A50E6"/>
    <w:rsid w:val="005A516C"/>
    <w:rsid w:val="005A5E71"/>
    <w:rsid w:val="005A6406"/>
    <w:rsid w:val="005A66FD"/>
    <w:rsid w:val="005A723D"/>
    <w:rsid w:val="005A7927"/>
    <w:rsid w:val="005A7B0C"/>
    <w:rsid w:val="005A7D24"/>
    <w:rsid w:val="005B019E"/>
    <w:rsid w:val="005B01BC"/>
    <w:rsid w:val="005B04F4"/>
    <w:rsid w:val="005B0EA9"/>
    <w:rsid w:val="005B1031"/>
    <w:rsid w:val="005B1166"/>
    <w:rsid w:val="005B1210"/>
    <w:rsid w:val="005B127E"/>
    <w:rsid w:val="005B1B6D"/>
    <w:rsid w:val="005B1B9F"/>
    <w:rsid w:val="005B241E"/>
    <w:rsid w:val="005B2537"/>
    <w:rsid w:val="005B2DCE"/>
    <w:rsid w:val="005B336A"/>
    <w:rsid w:val="005B350F"/>
    <w:rsid w:val="005B36C4"/>
    <w:rsid w:val="005B41FC"/>
    <w:rsid w:val="005B4517"/>
    <w:rsid w:val="005B4B3B"/>
    <w:rsid w:val="005B4E90"/>
    <w:rsid w:val="005B595B"/>
    <w:rsid w:val="005B5B37"/>
    <w:rsid w:val="005B5F21"/>
    <w:rsid w:val="005B6208"/>
    <w:rsid w:val="005B6740"/>
    <w:rsid w:val="005B6867"/>
    <w:rsid w:val="005B7260"/>
    <w:rsid w:val="005B77DD"/>
    <w:rsid w:val="005B79DB"/>
    <w:rsid w:val="005C0140"/>
    <w:rsid w:val="005C06DB"/>
    <w:rsid w:val="005C06DC"/>
    <w:rsid w:val="005C0D9B"/>
    <w:rsid w:val="005C0DAA"/>
    <w:rsid w:val="005C203B"/>
    <w:rsid w:val="005C295F"/>
    <w:rsid w:val="005C2EC3"/>
    <w:rsid w:val="005C2EEF"/>
    <w:rsid w:val="005C3100"/>
    <w:rsid w:val="005C38DC"/>
    <w:rsid w:val="005C3C15"/>
    <w:rsid w:val="005C4127"/>
    <w:rsid w:val="005C4180"/>
    <w:rsid w:val="005C4545"/>
    <w:rsid w:val="005C47A2"/>
    <w:rsid w:val="005C5005"/>
    <w:rsid w:val="005C503B"/>
    <w:rsid w:val="005C59EE"/>
    <w:rsid w:val="005C5CD4"/>
    <w:rsid w:val="005C61DC"/>
    <w:rsid w:val="005C62F5"/>
    <w:rsid w:val="005C6779"/>
    <w:rsid w:val="005C69FE"/>
    <w:rsid w:val="005C7022"/>
    <w:rsid w:val="005C7098"/>
    <w:rsid w:val="005C783A"/>
    <w:rsid w:val="005C79BA"/>
    <w:rsid w:val="005C7B50"/>
    <w:rsid w:val="005C7F4B"/>
    <w:rsid w:val="005D00FC"/>
    <w:rsid w:val="005D0134"/>
    <w:rsid w:val="005D02BC"/>
    <w:rsid w:val="005D034A"/>
    <w:rsid w:val="005D09E4"/>
    <w:rsid w:val="005D100A"/>
    <w:rsid w:val="005D11DE"/>
    <w:rsid w:val="005D1359"/>
    <w:rsid w:val="005D14E3"/>
    <w:rsid w:val="005D18F8"/>
    <w:rsid w:val="005D1BAE"/>
    <w:rsid w:val="005D203A"/>
    <w:rsid w:val="005D21F9"/>
    <w:rsid w:val="005D2851"/>
    <w:rsid w:val="005D28D8"/>
    <w:rsid w:val="005D2BC9"/>
    <w:rsid w:val="005D2E77"/>
    <w:rsid w:val="005D3216"/>
    <w:rsid w:val="005D3651"/>
    <w:rsid w:val="005D4026"/>
    <w:rsid w:val="005D408D"/>
    <w:rsid w:val="005D40D9"/>
    <w:rsid w:val="005D46B0"/>
    <w:rsid w:val="005D48E0"/>
    <w:rsid w:val="005D533D"/>
    <w:rsid w:val="005D59BE"/>
    <w:rsid w:val="005D5CCC"/>
    <w:rsid w:val="005D5F79"/>
    <w:rsid w:val="005D5FF3"/>
    <w:rsid w:val="005D617F"/>
    <w:rsid w:val="005D636A"/>
    <w:rsid w:val="005D638C"/>
    <w:rsid w:val="005D6568"/>
    <w:rsid w:val="005D6F71"/>
    <w:rsid w:val="005D79EF"/>
    <w:rsid w:val="005D7E12"/>
    <w:rsid w:val="005E0253"/>
    <w:rsid w:val="005E02A8"/>
    <w:rsid w:val="005E05CE"/>
    <w:rsid w:val="005E05E9"/>
    <w:rsid w:val="005E0EF8"/>
    <w:rsid w:val="005E0F61"/>
    <w:rsid w:val="005E1480"/>
    <w:rsid w:val="005E18A9"/>
    <w:rsid w:val="005E1C6D"/>
    <w:rsid w:val="005E1FE1"/>
    <w:rsid w:val="005E202D"/>
    <w:rsid w:val="005E23D5"/>
    <w:rsid w:val="005E3203"/>
    <w:rsid w:val="005E33E9"/>
    <w:rsid w:val="005E3A32"/>
    <w:rsid w:val="005E3AC7"/>
    <w:rsid w:val="005E3E49"/>
    <w:rsid w:val="005E47D8"/>
    <w:rsid w:val="005E4DDF"/>
    <w:rsid w:val="005E5253"/>
    <w:rsid w:val="005E54F1"/>
    <w:rsid w:val="005E5B9A"/>
    <w:rsid w:val="005E638A"/>
    <w:rsid w:val="005E648E"/>
    <w:rsid w:val="005E66B6"/>
    <w:rsid w:val="005E690F"/>
    <w:rsid w:val="005E694D"/>
    <w:rsid w:val="005E6AF1"/>
    <w:rsid w:val="005E7195"/>
    <w:rsid w:val="005E7748"/>
    <w:rsid w:val="005E777C"/>
    <w:rsid w:val="005E7F38"/>
    <w:rsid w:val="005F018A"/>
    <w:rsid w:val="005F05D9"/>
    <w:rsid w:val="005F0ACB"/>
    <w:rsid w:val="005F0C01"/>
    <w:rsid w:val="005F0F0B"/>
    <w:rsid w:val="005F12EC"/>
    <w:rsid w:val="005F1387"/>
    <w:rsid w:val="005F1AAE"/>
    <w:rsid w:val="005F20DB"/>
    <w:rsid w:val="005F2F9C"/>
    <w:rsid w:val="005F35F3"/>
    <w:rsid w:val="005F39F6"/>
    <w:rsid w:val="005F4F01"/>
    <w:rsid w:val="005F4FBD"/>
    <w:rsid w:val="005F5088"/>
    <w:rsid w:val="005F5474"/>
    <w:rsid w:val="005F5709"/>
    <w:rsid w:val="005F579A"/>
    <w:rsid w:val="005F626A"/>
    <w:rsid w:val="005F6884"/>
    <w:rsid w:val="005F69E3"/>
    <w:rsid w:val="005F6B77"/>
    <w:rsid w:val="005F7283"/>
    <w:rsid w:val="005F7393"/>
    <w:rsid w:val="005F75FD"/>
    <w:rsid w:val="00600291"/>
    <w:rsid w:val="00600409"/>
    <w:rsid w:val="006010C6"/>
    <w:rsid w:val="006010F1"/>
    <w:rsid w:val="00601C4D"/>
    <w:rsid w:val="00601E79"/>
    <w:rsid w:val="00602090"/>
    <w:rsid w:val="006021E9"/>
    <w:rsid w:val="00602B41"/>
    <w:rsid w:val="006034A3"/>
    <w:rsid w:val="006038BD"/>
    <w:rsid w:val="00603AF6"/>
    <w:rsid w:val="00603DC6"/>
    <w:rsid w:val="00603E82"/>
    <w:rsid w:val="00603F5F"/>
    <w:rsid w:val="0060421B"/>
    <w:rsid w:val="00604DE0"/>
    <w:rsid w:val="00604EC4"/>
    <w:rsid w:val="00606FC7"/>
    <w:rsid w:val="00607248"/>
    <w:rsid w:val="0060757B"/>
    <w:rsid w:val="0060779F"/>
    <w:rsid w:val="00607B7B"/>
    <w:rsid w:val="00607D7A"/>
    <w:rsid w:val="00607E18"/>
    <w:rsid w:val="0061043F"/>
    <w:rsid w:val="00610526"/>
    <w:rsid w:val="00610F60"/>
    <w:rsid w:val="006114FB"/>
    <w:rsid w:val="00611964"/>
    <w:rsid w:val="00611A38"/>
    <w:rsid w:val="00611CB3"/>
    <w:rsid w:val="00611DBD"/>
    <w:rsid w:val="00611F62"/>
    <w:rsid w:val="00612370"/>
    <w:rsid w:val="00612439"/>
    <w:rsid w:val="00612EE5"/>
    <w:rsid w:val="00613879"/>
    <w:rsid w:val="006142B2"/>
    <w:rsid w:val="00614674"/>
    <w:rsid w:val="00615359"/>
    <w:rsid w:val="006156A5"/>
    <w:rsid w:val="0061596D"/>
    <w:rsid w:val="006169A6"/>
    <w:rsid w:val="0061745B"/>
    <w:rsid w:val="00617637"/>
    <w:rsid w:val="00617B2C"/>
    <w:rsid w:val="00617EA1"/>
    <w:rsid w:val="00620F50"/>
    <w:rsid w:val="00621298"/>
    <w:rsid w:val="0062245F"/>
    <w:rsid w:val="0062250F"/>
    <w:rsid w:val="00622B5A"/>
    <w:rsid w:val="00622D34"/>
    <w:rsid w:val="0062324F"/>
    <w:rsid w:val="00623E87"/>
    <w:rsid w:val="0062432A"/>
    <w:rsid w:val="006243F1"/>
    <w:rsid w:val="00624B53"/>
    <w:rsid w:val="006252FF"/>
    <w:rsid w:val="00625697"/>
    <w:rsid w:val="006256D7"/>
    <w:rsid w:val="00625ACA"/>
    <w:rsid w:val="006263D2"/>
    <w:rsid w:val="00626B3D"/>
    <w:rsid w:val="00626BD3"/>
    <w:rsid w:val="00626D1C"/>
    <w:rsid w:val="00626DE3"/>
    <w:rsid w:val="006273E3"/>
    <w:rsid w:val="00627946"/>
    <w:rsid w:val="00627C58"/>
    <w:rsid w:val="00627C78"/>
    <w:rsid w:val="00627E0C"/>
    <w:rsid w:val="006303C1"/>
    <w:rsid w:val="00630448"/>
    <w:rsid w:val="0063075D"/>
    <w:rsid w:val="00630AA0"/>
    <w:rsid w:val="00630E6B"/>
    <w:rsid w:val="00631019"/>
    <w:rsid w:val="0063125C"/>
    <w:rsid w:val="0063151F"/>
    <w:rsid w:val="00632808"/>
    <w:rsid w:val="00632E92"/>
    <w:rsid w:val="00633294"/>
    <w:rsid w:val="006332FA"/>
    <w:rsid w:val="00633BC7"/>
    <w:rsid w:val="0063409A"/>
    <w:rsid w:val="006343EC"/>
    <w:rsid w:val="00634A48"/>
    <w:rsid w:val="00635316"/>
    <w:rsid w:val="00635835"/>
    <w:rsid w:val="00635962"/>
    <w:rsid w:val="00635D8B"/>
    <w:rsid w:val="00636044"/>
    <w:rsid w:val="0063745B"/>
    <w:rsid w:val="0063767F"/>
    <w:rsid w:val="00637A04"/>
    <w:rsid w:val="00637A1E"/>
    <w:rsid w:val="00637A41"/>
    <w:rsid w:val="00637D66"/>
    <w:rsid w:val="00637F09"/>
    <w:rsid w:val="00640267"/>
    <w:rsid w:val="0064039E"/>
    <w:rsid w:val="00640E61"/>
    <w:rsid w:val="00641306"/>
    <w:rsid w:val="006417A5"/>
    <w:rsid w:val="006419BF"/>
    <w:rsid w:val="00641BC0"/>
    <w:rsid w:val="00642BD1"/>
    <w:rsid w:val="00642E84"/>
    <w:rsid w:val="00643149"/>
    <w:rsid w:val="006431D5"/>
    <w:rsid w:val="006433D4"/>
    <w:rsid w:val="006438C3"/>
    <w:rsid w:val="006438D9"/>
    <w:rsid w:val="00644519"/>
    <w:rsid w:val="00644900"/>
    <w:rsid w:val="00644DD9"/>
    <w:rsid w:val="00645120"/>
    <w:rsid w:val="00645A94"/>
    <w:rsid w:val="00645CA7"/>
    <w:rsid w:val="00645DE2"/>
    <w:rsid w:val="0064607B"/>
    <w:rsid w:val="006460BC"/>
    <w:rsid w:val="006470CF"/>
    <w:rsid w:val="00647409"/>
    <w:rsid w:val="00647494"/>
    <w:rsid w:val="006474FF"/>
    <w:rsid w:val="00650651"/>
    <w:rsid w:val="00651F6F"/>
    <w:rsid w:val="00652047"/>
    <w:rsid w:val="00652B0A"/>
    <w:rsid w:val="00652EFF"/>
    <w:rsid w:val="00652F20"/>
    <w:rsid w:val="006539CE"/>
    <w:rsid w:val="006541A0"/>
    <w:rsid w:val="0065442A"/>
    <w:rsid w:val="006545B5"/>
    <w:rsid w:val="00654C0C"/>
    <w:rsid w:val="00654C9C"/>
    <w:rsid w:val="00654D91"/>
    <w:rsid w:val="00654F0C"/>
    <w:rsid w:val="0065580D"/>
    <w:rsid w:val="00655A13"/>
    <w:rsid w:val="0065625B"/>
    <w:rsid w:val="0065649F"/>
    <w:rsid w:val="00656526"/>
    <w:rsid w:val="006578BA"/>
    <w:rsid w:val="00657CCA"/>
    <w:rsid w:val="006606BC"/>
    <w:rsid w:val="00660834"/>
    <w:rsid w:val="00660861"/>
    <w:rsid w:val="006608DF"/>
    <w:rsid w:val="00660A41"/>
    <w:rsid w:val="0066117C"/>
    <w:rsid w:val="006611E4"/>
    <w:rsid w:val="00661D8B"/>
    <w:rsid w:val="00662267"/>
    <w:rsid w:val="0066235D"/>
    <w:rsid w:val="006623D3"/>
    <w:rsid w:val="00662741"/>
    <w:rsid w:val="00662861"/>
    <w:rsid w:val="00662AB1"/>
    <w:rsid w:val="0066320D"/>
    <w:rsid w:val="00663598"/>
    <w:rsid w:val="006639AB"/>
    <w:rsid w:val="00663F92"/>
    <w:rsid w:val="00664783"/>
    <w:rsid w:val="00665037"/>
    <w:rsid w:val="0066543F"/>
    <w:rsid w:val="00665C41"/>
    <w:rsid w:val="00665E97"/>
    <w:rsid w:val="00666379"/>
    <w:rsid w:val="0066680A"/>
    <w:rsid w:val="00667489"/>
    <w:rsid w:val="006676F4"/>
    <w:rsid w:val="00667728"/>
    <w:rsid w:val="006700CD"/>
    <w:rsid w:val="0067018E"/>
    <w:rsid w:val="00670F18"/>
    <w:rsid w:val="00671550"/>
    <w:rsid w:val="0067168C"/>
    <w:rsid w:val="0067186E"/>
    <w:rsid w:val="00672059"/>
    <w:rsid w:val="00672399"/>
    <w:rsid w:val="006723F2"/>
    <w:rsid w:val="00672620"/>
    <w:rsid w:val="00672788"/>
    <w:rsid w:val="00672AE0"/>
    <w:rsid w:val="00672BA0"/>
    <w:rsid w:val="00672E92"/>
    <w:rsid w:val="00672EE6"/>
    <w:rsid w:val="00673099"/>
    <w:rsid w:val="006736A2"/>
    <w:rsid w:val="006736ED"/>
    <w:rsid w:val="00673C02"/>
    <w:rsid w:val="00674EF5"/>
    <w:rsid w:val="00676011"/>
    <w:rsid w:val="0067601C"/>
    <w:rsid w:val="006761C0"/>
    <w:rsid w:val="00676760"/>
    <w:rsid w:val="00676B4D"/>
    <w:rsid w:val="00677F72"/>
    <w:rsid w:val="00677FE7"/>
    <w:rsid w:val="00680A7D"/>
    <w:rsid w:val="0068133C"/>
    <w:rsid w:val="006813D3"/>
    <w:rsid w:val="006818FB"/>
    <w:rsid w:val="00681F40"/>
    <w:rsid w:val="006820AF"/>
    <w:rsid w:val="006821AD"/>
    <w:rsid w:val="00682209"/>
    <w:rsid w:val="006822C8"/>
    <w:rsid w:val="006827C2"/>
    <w:rsid w:val="006829FD"/>
    <w:rsid w:val="006834A6"/>
    <w:rsid w:val="006836CC"/>
    <w:rsid w:val="006836F4"/>
    <w:rsid w:val="006837B7"/>
    <w:rsid w:val="0068401E"/>
    <w:rsid w:val="0068414E"/>
    <w:rsid w:val="00684224"/>
    <w:rsid w:val="006847C9"/>
    <w:rsid w:val="00684B38"/>
    <w:rsid w:val="00684BC7"/>
    <w:rsid w:val="00684C6B"/>
    <w:rsid w:val="00684DC7"/>
    <w:rsid w:val="00685196"/>
    <w:rsid w:val="00685A72"/>
    <w:rsid w:val="00686C28"/>
    <w:rsid w:val="00687351"/>
    <w:rsid w:val="00687C08"/>
    <w:rsid w:val="00687E57"/>
    <w:rsid w:val="00687F5C"/>
    <w:rsid w:val="006900C4"/>
    <w:rsid w:val="00690312"/>
    <w:rsid w:val="006904B4"/>
    <w:rsid w:val="006905E9"/>
    <w:rsid w:val="006908C8"/>
    <w:rsid w:val="00690910"/>
    <w:rsid w:val="00692167"/>
    <w:rsid w:val="0069253D"/>
    <w:rsid w:val="006936B9"/>
    <w:rsid w:val="006938C1"/>
    <w:rsid w:val="00693D39"/>
    <w:rsid w:val="0069443E"/>
    <w:rsid w:val="006949AD"/>
    <w:rsid w:val="006949B9"/>
    <w:rsid w:val="00695180"/>
    <w:rsid w:val="006957AB"/>
    <w:rsid w:val="006957B0"/>
    <w:rsid w:val="00695B55"/>
    <w:rsid w:val="00695DF5"/>
    <w:rsid w:val="00695E2D"/>
    <w:rsid w:val="0069659D"/>
    <w:rsid w:val="006965CD"/>
    <w:rsid w:val="00696B00"/>
    <w:rsid w:val="00696D39"/>
    <w:rsid w:val="00696E19"/>
    <w:rsid w:val="00697F64"/>
    <w:rsid w:val="006A02B6"/>
    <w:rsid w:val="006A039F"/>
    <w:rsid w:val="006A083B"/>
    <w:rsid w:val="006A0974"/>
    <w:rsid w:val="006A0ADD"/>
    <w:rsid w:val="006A0E22"/>
    <w:rsid w:val="006A14FA"/>
    <w:rsid w:val="006A1826"/>
    <w:rsid w:val="006A20CE"/>
    <w:rsid w:val="006A2328"/>
    <w:rsid w:val="006A2623"/>
    <w:rsid w:val="006A2944"/>
    <w:rsid w:val="006A2C30"/>
    <w:rsid w:val="006A2E21"/>
    <w:rsid w:val="006A3212"/>
    <w:rsid w:val="006A3295"/>
    <w:rsid w:val="006A3AD1"/>
    <w:rsid w:val="006A48EB"/>
    <w:rsid w:val="006A499F"/>
    <w:rsid w:val="006A4A76"/>
    <w:rsid w:val="006A4AB2"/>
    <w:rsid w:val="006A4AF7"/>
    <w:rsid w:val="006A4DF1"/>
    <w:rsid w:val="006A510A"/>
    <w:rsid w:val="006A52F9"/>
    <w:rsid w:val="006A5472"/>
    <w:rsid w:val="006A5498"/>
    <w:rsid w:val="006A54B4"/>
    <w:rsid w:val="006A5BE1"/>
    <w:rsid w:val="006A6151"/>
    <w:rsid w:val="006A644E"/>
    <w:rsid w:val="006A6887"/>
    <w:rsid w:val="006A6FEF"/>
    <w:rsid w:val="006A757C"/>
    <w:rsid w:val="006A75C8"/>
    <w:rsid w:val="006A77E3"/>
    <w:rsid w:val="006B0438"/>
    <w:rsid w:val="006B0EAA"/>
    <w:rsid w:val="006B10DA"/>
    <w:rsid w:val="006B1329"/>
    <w:rsid w:val="006B18AF"/>
    <w:rsid w:val="006B1AB9"/>
    <w:rsid w:val="006B1AC2"/>
    <w:rsid w:val="006B2026"/>
    <w:rsid w:val="006B259D"/>
    <w:rsid w:val="006B27D2"/>
    <w:rsid w:val="006B3161"/>
    <w:rsid w:val="006B36D6"/>
    <w:rsid w:val="006B3764"/>
    <w:rsid w:val="006B393F"/>
    <w:rsid w:val="006B3F1A"/>
    <w:rsid w:val="006B4399"/>
    <w:rsid w:val="006B45FC"/>
    <w:rsid w:val="006B4BF5"/>
    <w:rsid w:val="006B4C61"/>
    <w:rsid w:val="006B4EDA"/>
    <w:rsid w:val="006B4F82"/>
    <w:rsid w:val="006B54F8"/>
    <w:rsid w:val="006B55AE"/>
    <w:rsid w:val="006B5956"/>
    <w:rsid w:val="006B64CE"/>
    <w:rsid w:val="006B6A18"/>
    <w:rsid w:val="006B6EE2"/>
    <w:rsid w:val="006B709D"/>
    <w:rsid w:val="006B7321"/>
    <w:rsid w:val="006B758C"/>
    <w:rsid w:val="006B7903"/>
    <w:rsid w:val="006B7A06"/>
    <w:rsid w:val="006C01B4"/>
    <w:rsid w:val="006C04D0"/>
    <w:rsid w:val="006C0780"/>
    <w:rsid w:val="006C0ADF"/>
    <w:rsid w:val="006C0E48"/>
    <w:rsid w:val="006C1CED"/>
    <w:rsid w:val="006C1E29"/>
    <w:rsid w:val="006C1F2A"/>
    <w:rsid w:val="006C2130"/>
    <w:rsid w:val="006C2434"/>
    <w:rsid w:val="006C25D0"/>
    <w:rsid w:val="006C29B6"/>
    <w:rsid w:val="006C2B03"/>
    <w:rsid w:val="006C2C03"/>
    <w:rsid w:val="006C371F"/>
    <w:rsid w:val="006C38BF"/>
    <w:rsid w:val="006C41B5"/>
    <w:rsid w:val="006C461E"/>
    <w:rsid w:val="006C4990"/>
    <w:rsid w:val="006C5441"/>
    <w:rsid w:val="006C5454"/>
    <w:rsid w:val="006C5A36"/>
    <w:rsid w:val="006C5B7E"/>
    <w:rsid w:val="006C5EB6"/>
    <w:rsid w:val="006C61EC"/>
    <w:rsid w:val="006C67AD"/>
    <w:rsid w:val="006C6F94"/>
    <w:rsid w:val="006C7292"/>
    <w:rsid w:val="006C73D5"/>
    <w:rsid w:val="006C7DB9"/>
    <w:rsid w:val="006C7F8B"/>
    <w:rsid w:val="006D0416"/>
    <w:rsid w:val="006D0F11"/>
    <w:rsid w:val="006D1111"/>
    <w:rsid w:val="006D1352"/>
    <w:rsid w:val="006D1C72"/>
    <w:rsid w:val="006D1D8A"/>
    <w:rsid w:val="006D20D9"/>
    <w:rsid w:val="006D2361"/>
    <w:rsid w:val="006D2617"/>
    <w:rsid w:val="006D2793"/>
    <w:rsid w:val="006D29FC"/>
    <w:rsid w:val="006D2C31"/>
    <w:rsid w:val="006D32CA"/>
    <w:rsid w:val="006D33D3"/>
    <w:rsid w:val="006D35E2"/>
    <w:rsid w:val="006D3633"/>
    <w:rsid w:val="006D3918"/>
    <w:rsid w:val="006D399B"/>
    <w:rsid w:val="006D40B4"/>
    <w:rsid w:val="006D489B"/>
    <w:rsid w:val="006D5829"/>
    <w:rsid w:val="006D5B38"/>
    <w:rsid w:val="006D6051"/>
    <w:rsid w:val="006D614A"/>
    <w:rsid w:val="006D6E79"/>
    <w:rsid w:val="006D9092"/>
    <w:rsid w:val="006E0825"/>
    <w:rsid w:val="006E0F63"/>
    <w:rsid w:val="006E1402"/>
    <w:rsid w:val="006E1803"/>
    <w:rsid w:val="006E180D"/>
    <w:rsid w:val="006E19F5"/>
    <w:rsid w:val="006E24E8"/>
    <w:rsid w:val="006E289F"/>
    <w:rsid w:val="006E2F3E"/>
    <w:rsid w:val="006E323C"/>
    <w:rsid w:val="006E36E8"/>
    <w:rsid w:val="006E374D"/>
    <w:rsid w:val="006E4044"/>
    <w:rsid w:val="006E44BC"/>
    <w:rsid w:val="006E4583"/>
    <w:rsid w:val="006E466D"/>
    <w:rsid w:val="006E4B63"/>
    <w:rsid w:val="006E4C29"/>
    <w:rsid w:val="006E4FC4"/>
    <w:rsid w:val="006E54A5"/>
    <w:rsid w:val="006E5775"/>
    <w:rsid w:val="006E6233"/>
    <w:rsid w:val="006E6590"/>
    <w:rsid w:val="006E65B6"/>
    <w:rsid w:val="006E6622"/>
    <w:rsid w:val="006E77F7"/>
    <w:rsid w:val="006E793F"/>
    <w:rsid w:val="006E7A53"/>
    <w:rsid w:val="006F1B0E"/>
    <w:rsid w:val="006F1E8B"/>
    <w:rsid w:val="006F2438"/>
    <w:rsid w:val="006F2AD7"/>
    <w:rsid w:val="006F2AFB"/>
    <w:rsid w:val="006F3A66"/>
    <w:rsid w:val="006F3C28"/>
    <w:rsid w:val="006F427E"/>
    <w:rsid w:val="006F457B"/>
    <w:rsid w:val="006F457C"/>
    <w:rsid w:val="006F4F9B"/>
    <w:rsid w:val="006F55C9"/>
    <w:rsid w:val="006F57B9"/>
    <w:rsid w:val="006F5CBC"/>
    <w:rsid w:val="006F6DED"/>
    <w:rsid w:val="006F70E9"/>
    <w:rsid w:val="0070012F"/>
    <w:rsid w:val="0070067A"/>
    <w:rsid w:val="00700F42"/>
    <w:rsid w:val="00700FC8"/>
    <w:rsid w:val="00701443"/>
    <w:rsid w:val="00701956"/>
    <w:rsid w:val="00702980"/>
    <w:rsid w:val="00702E78"/>
    <w:rsid w:val="007030F5"/>
    <w:rsid w:val="007035BC"/>
    <w:rsid w:val="00703A81"/>
    <w:rsid w:val="00703F37"/>
    <w:rsid w:val="00704346"/>
    <w:rsid w:val="00704350"/>
    <w:rsid w:val="00704883"/>
    <w:rsid w:val="0070495D"/>
    <w:rsid w:val="00704C6C"/>
    <w:rsid w:val="00705076"/>
    <w:rsid w:val="00705173"/>
    <w:rsid w:val="007051F5"/>
    <w:rsid w:val="00705249"/>
    <w:rsid w:val="00705716"/>
    <w:rsid w:val="00705AC7"/>
    <w:rsid w:val="00705D84"/>
    <w:rsid w:val="007060A8"/>
    <w:rsid w:val="00707024"/>
    <w:rsid w:val="00707161"/>
    <w:rsid w:val="00707684"/>
    <w:rsid w:val="007106E0"/>
    <w:rsid w:val="00710A16"/>
    <w:rsid w:val="00710A3C"/>
    <w:rsid w:val="00711FA5"/>
    <w:rsid w:val="00712041"/>
    <w:rsid w:val="007129CD"/>
    <w:rsid w:val="00712C96"/>
    <w:rsid w:val="00713998"/>
    <w:rsid w:val="00713C53"/>
    <w:rsid w:val="00713D78"/>
    <w:rsid w:val="00714013"/>
    <w:rsid w:val="00715419"/>
    <w:rsid w:val="00715659"/>
    <w:rsid w:val="0071569D"/>
    <w:rsid w:val="00715A34"/>
    <w:rsid w:val="00715C63"/>
    <w:rsid w:val="007161AF"/>
    <w:rsid w:val="007167B0"/>
    <w:rsid w:val="007170A3"/>
    <w:rsid w:val="007177A4"/>
    <w:rsid w:val="00717A63"/>
    <w:rsid w:val="00720991"/>
    <w:rsid w:val="00720BC2"/>
    <w:rsid w:val="0072188F"/>
    <w:rsid w:val="0072202B"/>
    <w:rsid w:val="00722B8D"/>
    <w:rsid w:val="00722D75"/>
    <w:rsid w:val="00722E2E"/>
    <w:rsid w:val="0072339D"/>
    <w:rsid w:val="00723537"/>
    <w:rsid w:val="00723B08"/>
    <w:rsid w:val="00723E5D"/>
    <w:rsid w:val="00724EFD"/>
    <w:rsid w:val="00725908"/>
    <w:rsid w:val="00725C18"/>
    <w:rsid w:val="00725F0D"/>
    <w:rsid w:val="00725F4D"/>
    <w:rsid w:val="007260B0"/>
    <w:rsid w:val="0072613F"/>
    <w:rsid w:val="00726352"/>
    <w:rsid w:val="007263F4"/>
    <w:rsid w:val="00726443"/>
    <w:rsid w:val="007265A1"/>
    <w:rsid w:val="007265BF"/>
    <w:rsid w:val="00726BAD"/>
    <w:rsid w:val="00726DC0"/>
    <w:rsid w:val="007278F8"/>
    <w:rsid w:val="00730800"/>
    <w:rsid w:val="00731008"/>
    <w:rsid w:val="00731141"/>
    <w:rsid w:val="007314C7"/>
    <w:rsid w:val="00731AFA"/>
    <w:rsid w:val="00731B08"/>
    <w:rsid w:val="007331BB"/>
    <w:rsid w:val="00733593"/>
    <w:rsid w:val="00733ACA"/>
    <w:rsid w:val="00733E00"/>
    <w:rsid w:val="00734114"/>
    <w:rsid w:val="0073416A"/>
    <w:rsid w:val="0073473F"/>
    <w:rsid w:val="00734A7B"/>
    <w:rsid w:val="00734A8C"/>
    <w:rsid w:val="00734DDC"/>
    <w:rsid w:val="0073504D"/>
    <w:rsid w:val="00735123"/>
    <w:rsid w:val="007357B8"/>
    <w:rsid w:val="00735C80"/>
    <w:rsid w:val="00736319"/>
    <w:rsid w:val="00736658"/>
    <w:rsid w:val="00737556"/>
    <w:rsid w:val="00740676"/>
    <w:rsid w:val="00740D3C"/>
    <w:rsid w:val="00740DF6"/>
    <w:rsid w:val="00740E40"/>
    <w:rsid w:val="00741D13"/>
    <w:rsid w:val="00742241"/>
    <w:rsid w:val="0074250E"/>
    <w:rsid w:val="007431DD"/>
    <w:rsid w:val="00743302"/>
    <w:rsid w:val="0074354D"/>
    <w:rsid w:val="00743899"/>
    <w:rsid w:val="00743D66"/>
    <w:rsid w:val="007446B0"/>
    <w:rsid w:val="00744C22"/>
    <w:rsid w:val="00744EBB"/>
    <w:rsid w:val="007450E2"/>
    <w:rsid w:val="0074517E"/>
    <w:rsid w:val="007456D8"/>
    <w:rsid w:val="00745D3C"/>
    <w:rsid w:val="00745F66"/>
    <w:rsid w:val="00746DC6"/>
    <w:rsid w:val="00747417"/>
    <w:rsid w:val="00747464"/>
    <w:rsid w:val="00750437"/>
    <w:rsid w:val="0075090B"/>
    <w:rsid w:val="0075100D"/>
    <w:rsid w:val="007516E2"/>
    <w:rsid w:val="007527CC"/>
    <w:rsid w:val="00752BA9"/>
    <w:rsid w:val="0075362E"/>
    <w:rsid w:val="00753C86"/>
    <w:rsid w:val="00753D10"/>
    <w:rsid w:val="00753F21"/>
    <w:rsid w:val="0075416D"/>
    <w:rsid w:val="00754240"/>
    <w:rsid w:val="007543F4"/>
    <w:rsid w:val="007549BD"/>
    <w:rsid w:val="00754B67"/>
    <w:rsid w:val="00754F2C"/>
    <w:rsid w:val="007552C4"/>
    <w:rsid w:val="0075565A"/>
    <w:rsid w:val="00756294"/>
    <w:rsid w:val="00756342"/>
    <w:rsid w:val="00756850"/>
    <w:rsid w:val="00756E4D"/>
    <w:rsid w:val="00757071"/>
    <w:rsid w:val="00757545"/>
    <w:rsid w:val="00757908"/>
    <w:rsid w:val="00757944"/>
    <w:rsid w:val="00757D35"/>
    <w:rsid w:val="00757ED8"/>
    <w:rsid w:val="00760E25"/>
    <w:rsid w:val="007616D1"/>
    <w:rsid w:val="00761834"/>
    <w:rsid w:val="0076197A"/>
    <w:rsid w:val="00762479"/>
    <w:rsid w:val="007625E4"/>
    <w:rsid w:val="0076273F"/>
    <w:rsid w:val="00762EBE"/>
    <w:rsid w:val="00764755"/>
    <w:rsid w:val="00764F23"/>
    <w:rsid w:val="00765031"/>
    <w:rsid w:val="00765036"/>
    <w:rsid w:val="00765AD5"/>
    <w:rsid w:val="00765CAE"/>
    <w:rsid w:val="00765CBE"/>
    <w:rsid w:val="00765E08"/>
    <w:rsid w:val="00765EFF"/>
    <w:rsid w:val="00765F60"/>
    <w:rsid w:val="0076673F"/>
    <w:rsid w:val="00766DA8"/>
    <w:rsid w:val="00766FB1"/>
    <w:rsid w:val="007679E5"/>
    <w:rsid w:val="00767F93"/>
    <w:rsid w:val="00770902"/>
    <w:rsid w:val="00770972"/>
    <w:rsid w:val="0077122B"/>
    <w:rsid w:val="0077162F"/>
    <w:rsid w:val="0077177D"/>
    <w:rsid w:val="00772B08"/>
    <w:rsid w:val="0077302C"/>
    <w:rsid w:val="007736D6"/>
    <w:rsid w:val="007739CF"/>
    <w:rsid w:val="00774042"/>
    <w:rsid w:val="007742CB"/>
    <w:rsid w:val="00774418"/>
    <w:rsid w:val="0077476B"/>
    <w:rsid w:val="00774934"/>
    <w:rsid w:val="00774F20"/>
    <w:rsid w:val="00775246"/>
    <w:rsid w:val="007757F8"/>
    <w:rsid w:val="00776528"/>
    <w:rsid w:val="007765C4"/>
    <w:rsid w:val="0077671A"/>
    <w:rsid w:val="00776BA8"/>
    <w:rsid w:val="00776E2C"/>
    <w:rsid w:val="00777485"/>
    <w:rsid w:val="00777BCC"/>
    <w:rsid w:val="0078043F"/>
    <w:rsid w:val="0078074F"/>
    <w:rsid w:val="007807E3"/>
    <w:rsid w:val="00780F63"/>
    <w:rsid w:val="007814C0"/>
    <w:rsid w:val="0078172B"/>
    <w:rsid w:val="00781D9A"/>
    <w:rsid w:val="00781EBA"/>
    <w:rsid w:val="00781EFA"/>
    <w:rsid w:val="0078230F"/>
    <w:rsid w:val="00782867"/>
    <w:rsid w:val="00782F5E"/>
    <w:rsid w:val="00783B81"/>
    <w:rsid w:val="00783BF9"/>
    <w:rsid w:val="00783FD3"/>
    <w:rsid w:val="00784016"/>
    <w:rsid w:val="00784023"/>
    <w:rsid w:val="007840B2"/>
    <w:rsid w:val="0078423B"/>
    <w:rsid w:val="007842F8"/>
    <w:rsid w:val="00784B00"/>
    <w:rsid w:val="00784B2B"/>
    <w:rsid w:val="00784F58"/>
    <w:rsid w:val="00784FD3"/>
    <w:rsid w:val="00784FF4"/>
    <w:rsid w:val="007857CE"/>
    <w:rsid w:val="0078588B"/>
    <w:rsid w:val="007862F4"/>
    <w:rsid w:val="007865C4"/>
    <w:rsid w:val="007869DF"/>
    <w:rsid w:val="007873A2"/>
    <w:rsid w:val="007873BA"/>
    <w:rsid w:val="0078759B"/>
    <w:rsid w:val="0079005E"/>
    <w:rsid w:val="00790310"/>
    <w:rsid w:val="00790487"/>
    <w:rsid w:val="007905FD"/>
    <w:rsid w:val="00790770"/>
    <w:rsid w:val="007909F6"/>
    <w:rsid w:val="00790F37"/>
    <w:rsid w:val="0079135B"/>
    <w:rsid w:val="00791924"/>
    <w:rsid w:val="007933F1"/>
    <w:rsid w:val="007934E9"/>
    <w:rsid w:val="00795585"/>
    <w:rsid w:val="00795CE1"/>
    <w:rsid w:val="00795FD5"/>
    <w:rsid w:val="007965B5"/>
    <w:rsid w:val="007969FF"/>
    <w:rsid w:val="007974A7"/>
    <w:rsid w:val="007977EC"/>
    <w:rsid w:val="00797E38"/>
    <w:rsid w:val="007A00F2"/>
    <w:rsid w:val="007A0781"/>
    <w:rsid w:val="007A0C81"/>
    <w:rsid w:val="007A1122"/>
    <w:rsid w:val="007A1738"/>
    <w:rsid w:val="007A201E"/>
    <w:rsid w:val="007A2347"/>
    <w:rsid w:val="007A24F7"/>
    <w:rsid w:val="007A2A19"/>
    <w:rsid w:val="007A2A63"/>
    <w:rsid w:val="007A2C69"/>
    <w:rsid w:val="007A3047"/>
    <w:rsid w:val="007A3605"/>
    <w:rsid w:val="007A3684"/>
    <w:rsid w:val="007A3B38"/>
    <w:rsid w:val="007A4846"/>
    <w:rsid w:val="007A4E67"/>
    <w:rsid w:val="007A5450"/>
    <w:rsid w:val="007A547A"/>
    <w:rsid w:val="007A5B91"/>
    <w:rsid w:val="007A6021"/>
    <w:rsid w:val="007A608D"/>
    <w:rsid w:val="007A67A6"/>
    <w:rsid w:val="007A6B8A"/>
    <w:rsid w:val="007A7873"/>
    <w:rsid w:val="007B0417"/>
    <w:rsid w:val="007B0489"/>
    <w:rsid w:val="007B0A22"/>
    <w:rsid w:val="007B0B28"/>
    <w:rsid w:val="007B12B4"/>
    <w:rsid w:val="007B1487"/>
    <w:rsid w:val="007B2093"/>
    <w:rsid w:val="007B299C"/>
    <w:rsid w:val="007B2E6E"/>
    <w:rsid w:val="007B37C0"/>
    <w:rsid w:val="007B3B5B"/>
    <w:rsid w:val="007B3D16"/>
    <w:rsid w:val="007B41F4"/>
    <w:rsid w:val="007B492C"/>
    <w:rsid w:val="007B4F59"/>
    <w:rsid w:val="007B5029"/>
    <w:rsid w:val="007B5323"/>
    <w:rsid w:val="007B5B7F"/>
    <w:rsid w:val="007B6490"/>
    <w:rsid w:val="007B64C2"/>
    <w:rsid w:val="007B6B74"/>
    <w:rsid w:val="007B6F87"/>
    <w:rsid w:val="007B719A"/>
    <w:rsid w:val="007B7551"/>
    <w:rsid w:val="007B7904"/>
    <w:rsid w:val="007B7B53"/>
    <w:rsid w:val="007C067F"/>
    <w:rsid w:val="007C0841"/>
    <w:rsid w:val="007C0892"/>
    <w:rsid w:val="007C08E3"/>
    <w:rsid w:val="007C1215"/>
    <w:rsid w:val="007C1479"/>
    <w:rsid w:val="007C1EB7"/>
    <w:rsid w:val="007C2252"/>
    <w:rsid w:val="007C29F5"/>
    <w:rsid w:val="007C2D3D"/>
    <w:rsid w:val="007C3053"/>
    <w:rsid w:val="007C33F4"/>
    <w:rsid w:val="007C3BD7"/>
    <w:rsid w:val="007C43DC"/>
    <w:rsid w:val="007C45E4"/>
    <w:rsid w:val="007C4634"/>
    <w:rsid w:val="007C4E5E"/>
    <w:rsid w:val="007C57F0"/>
    <w:rsid w:val="007C595C"/>
    <w:rsid w:val="007C5EAB"/>
    <w:rsid w:val="007C62A1"/>
    <w:rsid w:val="007C6827"/>
    <w:rsid w:val="007C693A"/>
    <w:rsid w:val="007C69FD"/>
    <w:rsid w:val="007C6E13"/>
    <w:rsid w:val="007D05FF"/>
    <w:rsid w:val="007D0709"/>
    <w:rsid w:val="007D0B02"/>
    <w:rsid w:val="007D0BCD"/>
    <w:rsid w:val="007D1635"/>
    <w:rsid w:val="007D1D7B"/>
    <w:rsid w:val="007D2116"/>
    <w:rsid w:val="007D2224"/>
    <w:rsid w:val="007D2263"/>
    <w:rsid w:val="007D2C39"/>
    <w:rsid w:val="007D3224"/>
    <w:rsid w:val="007D3390"/>
    <w:rsid w:val="007D3694"/>
    <w:rsid w:val="007D3725"/>
    <w:rsid w:val="007D3DE3"/>
    <w:rsid w:val="007D451B"/>
    <w:rsid w:val="007D4DDB"/>
    <w:rsid w:val="007D5018"/>
    <w:rsid w:val="007D560E"/>
    <w:rsid w:val="007D5811"/>
    <w:rsid w:val="007D5847"/>
    <w:rsid w:val="007D59CA"/>
    <w:rsid w:val="007D5D2F"/>
    <w:rsid w:val="007D6DFB"/>
    <w:rsid w:val="007D7040"/>
    <w:rsid w:val="007D7120"/>
    <w:rsid w:val="007D76B1"/>
    <w:rsid w:val="007E0253"/>
    <w:rsid w:val="007E0362"/>
    <w:rsid w:val="007E0504"/>
    <w:rsid w:val="007E054F"/>
    <w:rsid w:val="007E1879"/>
    <w:rsid w:val="007E2668"/>
    <w:rsid w:val="007E38EF"/>
    <w:rsid w:val="007E391D"/>
    <w:rsid w:val="007E3D2E"/>
    <w:rsid w:val="007E3DB2"/>
    <w:rsid w:val="007E3E61"/>
    <w:rsid w:val="007E3EA1"/>
    <w:rsid w:val="007E3F5B"/>
    <w:rsid w:val="007E487A"/>
    <w:rsid w:val="007E4BA0"/>
    <w:rsid w:val="007E4CAA"/>
    <w:rsid w:val="007E4D27"/>
    <w:rsid w:val="007E51CE"/>
    <w:rsid w:val="007E53F4"/>
    <w:rsid w:val="007E58B6"/>
    <w:rsid w:val="007E5D41"/>
    <w:rsid w:val="007E6B0B"/>
    <w:rsid w:val="007E7001"/>
    <w:rsid w:val="007E72D8"/>
    <w:rsid w:val="007E7C69"/>
    <w:rsid w:val="007F0081"/>
    <w:rsid w:val="007F083C"/>
    <w:rsid w:val="007F089E"/>
    <w:rsid w:val="007F1118"/>
    <w:rsid w:val="007F181A"/>
    <w:rsid w:val="007F19AB"/>
    <w:rsid w:val="007F1CDA"/>
    <w:rsid w:val="007F2340"/>
    <w:rsid w:val="007F23F4"/>
    <w:rsid w:val="007F2860"/>
    <w:rsid w:val="007F374F"/>
    <w:rsid w:val="007F39B2"/>
    <w:rsid w:val="007F3FA2"/>
    <w:rsid w:val="007F400A"/>
    <w:rsid w:val="007F499B"/>
    <w:rsid w:val="007F4B0C"/>
    <w:rsid w:val="007F4B24"/>
    <w:rsid w:val="007F5000"/>
    <w:rsid w:val="007F53F2"/>
    <w:rsid w:val="007F5443"/>
    <w:rsid w:val="007F5A46"/>
    <w:rsid w:val="007F61E4"/>
    <w:rsid w:val="007F6310"/>
    <w:rsid w:val="007F6A8E"/>
    <w:rsid w:val="007F6B7B"/>
    <w:rsid w:val="007F76E3"/>
    <w:rsid w:val="007F78B4"/>
    <w:rsid w:val="007F797B"/>
    <w:rsid w:val="007F7AB2"/>
    <w:rsid w:val="007F7BCB"/>
    <w:rsid w:val="007F7D2F"/>
    <w:rsid w:val="00800170"/>
    <w:rsid w:val="0080140C"/>
    <w:rsid w:val="00801816"/>
    <w:rsid w:val="00801A9C"/>
    <w:rsid w:val="00802413"/>
    <w:rsid w:val="008024D8"/>
    <w:rsid w:val="008024F0"/>
    <w:rsid w:val="008027F9"/>
    <w:rsid w:val="008028D3"/>
    <w:rsid w:val="008029B5"/>
    <w:rsid w:val="00803317"/>
    <w:rsid w:val="00803A0A"/>
    <w:rsid w:val="00803DFE"/>
    <w:rsid w:val="00803E1A"/>
    <w:rsid w:val="00804914"/>
    <w:rsid w:val="0080504C"/>
    <w:rsid w:val="008054C4"/>
    <w:rsid w:val="00805565"/>
    <w:rsid w:val="00805955"/>
    <w:rsid w:val="00805B42"/>
    <w:rsid w:val="00805E59"/>
    <w:rsid w:val="00805FEC"/>
    <w:rsid w:val="0080609A"/>
    <w:rsid w:val="008063C3"/>
    <w:rsid w:val="00806C39"/>
    <w:rsid w:val="00807448"/>
    <w:rsid w:val="008076EF"/>
    <w:rsid w:val="00807E84"/>
    <w:rsid w:val="00811077"/>
    <w:rsid w:val="008120E0"/>
    <w:rsid w:val="00813029"/>
    <w:rsid w:val="008131E7"/>
    <w:rsid w:val="00813443"/>
    <w:rsid w:val="0081361E"/>
    <w:rsid w:val="00814C39"/>
    <w:rsid w:val="00814D17"/>
    <w:rsid w:val="00814D96"/>
    <w:rsid w:val="0081534B"/>
    <w:rsid w:val="00815693"/>
    <w:rsid w:val="008156E5"/>
    <w:rsid w:val="008159A0"/>
    <w:rsid w:val="00815B65"/>
    <w:rsid w:val="00815EBB"/>
    <w:rsid w:val="00816035"/>
    <w:rsid w:val="00816078"/>
    <w:rsid w:val="008161CB"/>
    <w:rsid w:val="00816342"/>
    <w:rsid w:val="00816F80"/>
    <w:rsid w:val="00817D20"/>
    <w:rsid w:val="00817D7F"/>
    <w:rsid w:val="00817DE6"/>
    <w:rsid w:val="00817E86"/>
    <w:rsid w:val="00820085"/>
    <w:rsid w:val="008201F6"/>
    <w:rsid w:val="0082027A"/>
    <w:rsid w:val="008207E1"/>
    <w:rsid w:val="00820880"/>
    <w:rsid w:val="00820DCF"/>
    <w:rsid w:val="008214B2"/>
    <w:rsid w:val="00821790"/>
    <w:rsid w:val="00821838"/>
    <w:rsid w:val="00821840"/>
    <w:rsid w:val="00821C83"/>
    <w:rsid w:val="00821DB0"/>
    <w:rsid w:val="0082250E"/>
    <w:rsid w:val="0082288A"/>
    <w:rsid w:val="00822B03"/>
    <w:rsid w:val="00822DD3"/>
    <w:rsid w:val="00822FF9"/>
    <w:rsid w:val="008230B4"/>
    <w:rsid w:val="008235A0"/>
    <w:rsid w:val="008235C6"/>
    <w:rsid w:val="00823979"/>
    <w:rsid w:val="00823D6D"/>
    <w:rsid w:val="00823FB1"/>
    <w:rsid w:val="00824358"/>
    <w:rsid w:val="00824AD1"/>
    <w:rsid w:val="008254BE"/>
    <w:rsid w:val="008259E4"/>
    <w:rsid w:val="00826129"/>
    <w:rsid w:val="00826376"/>
    <w:rsid w:val="00826B49"/>
    <w:rsid w:val="00827123"/>
    <w:rsid w:val="00827198"/>
    <w:rsid w:val="0082730B"/>
    <w:rsid w:val="00827E4E"/>
    <w:rsid w:val="00827EA8"/>
    <w:rsid w:val="008304B0"/>
    <w:rsid w:val="008309CF"/>
    <w:rsid w:val="00830BEE"/>
    <w:rsid w:val="00830D5C"/>
    <w:rsid w:val="00830DE1"/>
    <w:rsid w:val="00830E64"/>
    <w:rsid w:val="00831111"/>
    <w:rsid w:val="00831231"/>
    <w:rsid w:val="008315BD"/>
    <w:rsid w:val="00831C57"/>
    <w:rsid w:val="00831F62"/>
    <w:rsid w:val="0083224A"/>
    <w:rsid w:val="00832254"/>
    <w:rsid w:val="00832788"/>
    <w:rsid w:val="00832E09"/>
    <w:rsid w:val="00832E46"/>
    <w:rsid w:val="00832ED3"/>
    <w:rsid w:val="0083409A"/>
    <w:rsid w:val="00834132"/>
    <w:rsid w:val="008343BF"/>
    <w:rsid w:val="00834592"/>
    <w:rsid w:val="00834E0D"/>
    <w:rsid w:val="00835152"/>
    <w:rsid w:val="00835853"/>
    <w:rsid w:val="00835CC7"/>
    <w:rsid w:val="00835E70"/>
    <w:rsid w:val="0083756D"/>
    <w:rsid w:val="00837A57"/>
    <w:rsid w:val="00837BB3"/>
    <w:rsid w:val="00837EA7"/>
    <w:rsid w:val="00840518"/>
    <w:rsid w:val="008408BF"/>
    <w:rsid w:val="00840BCE"/>
    <w:rsid w:val="008418BA"/>
    <w:rsid w:val="00841E91"/>
    <w:rsid w:val="00842ED6"/>
    <w:rsid w:val="00843672"/>
    <w:rsid w:val="00843F9F"/>
    <w:rsid w:val="008444C2"/>
    <w:rsid w:val="00844567"/>
    <w:rsid w:val="008449A6"/>
    <w:rsid w:val="0084503B"/>
    <w:rsid w:val="0084503C"/>
    <w:rsid w:val="0084550B"/>
    <w:rsid w:val="0084594F"/>
    <w:rsid w:val="00845BCB"/>
    <w:rsid w:val="00846302"/>
    <w:rsid w:val="00847F5C"/>
    <w:rsid w:val="00847FA1"/>
    <w:rsid w:val="008508D7"/>
    <w:rsid w:val="0085098F"/>
    <w:rsid w:val="00850CA0"/>
    <w:rsid w:val="00850F40"/>
    <w:rsid w:val="008518FA"/>
    <w:rsid w:val="008524F9"/>
    <w:rsid w:val="008527C3"/>
    <w:rsid w:val="00853869"/>
    <w:rsid w:val="00853E8E"/>
    <w:rsid w:val="008543F2"/>
    <w:rsid w:val="00854408"/>
    <w:rsid w:val="008546F3"/>
    <w:rsid w:val="00854773"/>
    <w:rsid w:val="00854B22"/>
    <w:rsid w:val="00854BFE"/>
    <w:rsid w:val="00854C7D"/>
    <w:rsid w:val="00854E58"/>
    <w:rsid w:val="00854EB7"/>
    <w:rsid w:val="008550D9"/>
    <w:rsid w:val="008554E4"/>
    <w:rsid w:val="008560FD"/>
    <w:rsid w:val="008566D6"/>
    <w:rsid w:val="00856B2B"/>
    <w:rsid w:val="00856B99"/>
    <w:rsid w:val="00856BF6"/>
    <w:rsid w:val="00856CB0"/>
    <w:rsid w:val="00857923"/>
    <w:rsid w:val="008601D6"/>
    <w:rsid w:val="008609A9"/>
    <w:rsid w:val="00861CEC"/>
    <w:rsid w:val="00862402"/>
    <w:rsid w:val="00862C26"/>
    <w:rsid w:val="0086325D"/>
    <w:rsid w:val="008633DB"/>
    <w:rsid w:val="0086383F"/>
    <w:rsid w:val="008643B8"/>
    <w:rsid w:val="008645F7"/>
    <w:rsid w:val="0086497A"/>
    <w:rsid w:val="00864A5F"/>
    <w:rsid w:val="00864A9A"/>
    <w:rsid w:val="00864F8D"/>
    <w:rsid w:val="0086566E"/>
    <w:rsid w:val="00865A10"/>
    <w:rsid w:val="00866766"/>
    <w:rsid w:val="008667EC"/>
    <w:rsid w:val="00867510"/>
    <w:rsid w:val="00867939"/>
    <w:rsid w:val="008700CD"/>
    <w:rsid w:val="0087013D"/>
    <w:rsid w:val="008709B1"/>
    <w:rsid w:val="008709F7"/>
    <w:rsid w:val="00870FB0"/>
    <w:rsid w:val="00871359"/>
    <w:rsid w:val="00871914"/>
    <w:rsid w:val="00871C1B"/>
    <w:rsid w:val="00871CA9"/>
    <w:rsid w:val="00871E44"/>
    <w:rsid w:val="008724B9"/>
    <w:rsid w:val="00872692"/>
    <w:rsid w:val="00872910"/>
    <w:rsid w:val="00872EB7"/>
    <w:rsid w:val="00872EEE"/>
    <w:rsid w:val="008731F6"/>
    <w:rsid w:val="008735E5"/>
    <w:rsid w:val="00873919"/>
    <w:rsid w:val="00873BBE"/>
    <w:rsid w:val="00873BF6"/>
    <w:rsid w:val="00873D3C"/>
    <w:rsid w:val="00874B09"/>
    <w:rsid w:val="00874B88"/>
    <w:rsid w:val="00875059"/>
    <w:rsid w:val="0087507F"/>
    <w:rsid w:val="008756A6"/>
    <w:rsid w:val="00876346"/>
    <w:rsid w:val="0087655B"/>
    <w:rsid w:val="00876CA9"/>
    <w:rsid w:val="00876DF0"/>
    <w:rsid w:val="00876F13"/>
    <w:rsid w:val="00877362"/>
    <w:rsid w:val="00877AA9"/>
    <w:rsid w:val="00880109"/>
    <w:rsid w:val="008808F0"/>
    <w:rsid w:val="0088092B"/>
    <w:rsid w:val="00880C2D"/>
    <w:rsid w:val="0088161F"/>
    <w:rsid w:val="008820B2"/>
    <w:rsid w:val="00882CC0"/>
    <w:rsid w:val="008835BF"/>
    <w:rsid w:val="008839CE"/>
    <w:rsid w:val="00883CF7"/>
    <w:rsid w:val="008846C9"/>
    <w:rsid w:val="008849B6"/>
    <w:rsid w:val="00884AAD"/>
    <w:rsid w:val="00884BE1"/>
    <w:rsid w:val="00884BEA"/>
    <w:rsid w:val="00885503"/>
    <w:rsid w:val="0088553D"/>
    <w:rsid w:val="008861F0"/>
    <w:rsid w:val="0088623B"/>
    <w:rsid w:val="008864F6"/>
    <w:rsid w:val="00886579"/>
    <w:rsid w:val="008875D8"/>
    <w:rsid w:val="00887E08"/>
    <w:rsid w:val="00887E10"/>
    <w:rsid w:val="00887E80"/>
    <w:rsid w:val="00890367"/>
    <w:rsid w:val="008903EC"/>
    <w:rsid w:val="00890517"/>
    <w:rsid w:val="0089090F"/>
    <w:rsid w:val="00890E8A"/>
    <w:rsid w:val="00890F8C"/>
    <w:rsid w:val="008910DF"/>
    <w:rsid w:val="0089144C"/>
    <w:rsid w:val="00891764"/>
    <w:rsid w:val="008921F2"/>
    <w:rsid w:val="00892D33"/>
    <w:rsid w:val="00892F10"/>
    <w:rsid w:val="00893109"/>
    <w:rsid w:val="008935EA"/>
    <w:rsid w:val="00893C74"/>
    <w:rsid w:val="00894139"/>
    <w:rsid w:val="00894820"/>
    <w:rsid w:val="00894A6F"/>
    <w:rsid w:val="00894D21"/>
    <w:rsid w:val="0089503A"/>
    <w:rsid w:val="00895158"/>
    <w:rsid w:val="008959AD"/>
    <w:rsid w:val="00895E64"/>
    <w:rsid w:val="00895F8A"/>
    <w:rsid w:val="008970B2"/>
    <w:rsid w:val="0089792D"/>
    <w:rsid w:val="008A03E8"/>
    <w:rsid w:val="008A049F"/>
    <w:rsid w:val="008A0547"/>
    <w:rsid w:val="008A07FB"/>
    <w:rsid w:val="008A10E5"/>
    <w:rsid w:val="008A11CE"/>
    <w:rsid w:val="008A11E2"/>
    <w:rsid w:val="008A1569"/>
    <w:rsid w:val="008A1659"/>
    <w:rsid w:val="008A1F38"/>
    <w:rsid w:val="008A26FC"/>
    <w:rsid w:val="008A2957"/>
    <w:rsid w:val="008A3E15"/>
    <w:rsid w:val="008A3E32"/>
    <w:rsid w:val="008A401B"/>
    <w:rsid w:val="008A42F1"/>
    <w:rsid w:val="008A4383"/>
    <w:rsid w:val="008A44DD"/>
    <w:rsid w:val="008A4D14"/>
    <w:rsid w:val="008A4E1F"/>
    <w:rsid w:val="008A5049"/>
    <w:rsid w:val="008A50C0"/>
    <w:rsid w:val="008A559E"/>
    <w:rsid w:val="008A5FD3"/>
    <w:rsid w:val="008A6003"/>
    <w:rsid w:val="008A6044"/>
    <w:rsid w:val="008A6A21"/>
    <w:rsid w:val="008A6CB4"/>
    <w:rsid w:val="008A6E04"/>
    <w:rsid w:val="008A6EA0"/>
    <w:rsid w:val="008A7591"/>
    <w:rsid w:val="008A77E0"/>
    <w:rsid w:val="008A784E"/>
    <w:rsid w:val="008A7E14"/>
    <w:rsid w:val="008B0B00"/>
    <w:rsid w:val="008B144E"/>
    <w:rsid w:val="008B19CC"/>
    <w:rsid w:val="008B1B5F"/>
    <w:rsid w:val="008B21C7"/>
    <w:rsid w:val="008B2A19"/>
    <w:rsid w:val="008B2A76"/>
    <w:rsid w:val="008B3097"/>
    <w:rsid w:val="008B3543"/>
    <w:rsid w:val="008B3C6F"/>
    <w:rsid w:val="008B4AEE"/>
    <w:rsid w:val="008B536B"/>
    <w:rsid w:val="008B53FE"/>
    <w:rsid w:val="008B5B84"/>
    <w:rsid w:val="008B5DCD"/>
    <w:rsid w:val="008B5DF4"/>
    <w:rsid w:val="008B616D"/>
    <w:rsid w:val="008B6266"/>
    <w:rsid w:val="008B6341"/>
    <w:rsid w:val="008B6499"/>
    <w:rsid w:val="008B6757"/>
    <w:rsid w:val="008B70F9"/>
    <w:rsid w:val="008B71BB"/>
    <w:rsid w:val="008B73BA"/>
    <w:rsid w:val="008B750C"/>
    <w:rsid w:val="008B75F3"/>
    <w:rsid w:val="008C0242"/>
    <w:rsid w:val="008C0364"/>
    <w:rsid w:val="008C061E"/>
    <w:rsid w:val="008C105B"/>
    <w:rsid w:val="008C1113"/>
    <w:rsid w:val="008C1372"/>
    <w:rsid w:val="008C1DB5"/>
    <w:rsid w:val="008C1F44"/>
    <w:rsid w:val="008C2299"/>
    <w:rsid w:val="008C26A1"/>
    <w:rsid w:val="008C2AE5"/>
    <w:rsid w:val="008C2C92"/>
    <w:rsid w:val="008C2E3E"/>
    <w:rsid w:val="008C36FC"/>
    <w:rsid w:val="008C3883"/>
    <w:rsid w:val="008C453E"/>
    <w:rsid w:val="008C4FDA"/>
    <w:rsid w:val="008C5047"/>
    <w:rsid w:val="008C528C"/>
    <w:rsid w:val="008C5A63"/>
    <w:rsid w:val="008C5C98"/>
    <w:rsid w:val="008C6454"/>
    <w:rsid w:val="008C683E"/>
    <w:rsid w:val="008C6852"/>
    <w:rsid w:val="008C71CE"/>
    <w:rsid w:val="008C7352"/>
    <w:rsid w:val="008C7E52"/>
    <w:rsid w:val="008C7F8E"/>
    <w:rsid w:val="008D0081"/>
    <w:rsid w:val="008D072C"/>
    <w:rsid w:val="008D0B27"/>
    <w:rsid w:val="008D0B7F"/>
    <w:rsid w:val="008D0C95"/>
    <w:rsid w:val="008D173D"/>
    <w:rsid w:val="008D1B87"/>
    <w:rsid w:val="008D270C"/>
    <w:rsid w:val="008D2F16"/>
    <w:rsid w:val="008D2F8D"/>
    <w:rsid w:val="008D2FC9"/>
    <w:rsid w:val="008D3010"/>
    <w:rsid w:val="008D3B4F"/>
    <w:rsid w:val="008D3D75"/>
    <w:rsid w:val="008D4280"/>
    <w:rsid w:val="008D4ABB"/>
    <w:rsid w:val="008D4EB9"/>
    <w:rsid w:val="008D5B29"/>
    <w:rsid w:val="008D5B5B"/>
    <w:rsid w:val="008D5C3C"/>
    <w:rsid w:val="008D5D85"/>
    <w:rsid w:val="008D626F"/>
    <w:rsid w:val="008D68E7"/>
    <w:rsid w:val="008D699A"/>
    <w:rsid w:val="008D75F4"/>
    <w:rsid w:val="008D7763"/>
    <w:rsid w:val="008D77B3"/>
    <w:rsid w:val="008D7A31"/>
    <w:rsid w:val="008D7C1C"/>
    <w:rsid w:val="008D7C8A"/>
    <w:rsid w:val="008D7CCA"/>
    <w:rsid w:val="008E01BA"/>
    <w:rsid w:val="008E0548"/>
    <w:rsid w:val="008E0AB3"/>
    <w:rsid w:val="008E10F3"/>
    <w:rsid w:val="008E1704"/>
    <w:rsid w:val="008E1979"/>
    <w:rsid w:val="008E1EC8"/>
    <w:rsid w:val="008E20E7"/>
    <w:rsid w:val="008E2498"/>
    <w:rsid w:val="008E26B3"/>
    <w:rsid w:val="008E2937"/>
    <w:rsid w:val="008E2E85"/>
    <w:rsid w:val="008E362D"/>
    <w:rsid w:val="008E3703"/>
    <w:rsid w:val="008E3FBF"/>
    <w:rsid w:val="008E40DB"/>
    <w:rsid w:val="008E41A8"/>
    <w:rsid w:val="008E42F9"/>
    <w:rsid w:val="008E4794"/>
    <w:rsid w:val="008E51AF"/>
    <w:rsid w:val="008E5831"/>
    <w:rsid w:val="008E5B1A"/>
    <w:rsid w:val="008E66DB"/>
    <w:rsid w:val="008E6A28"/>
    <w:rsid w:val="008E6E00"/>
    <w:rsid w:val="008E7A51"/>
    <w:rsid w:val="008E7A5B"/>
    <w:rsid w:val="008E7B6A"/>
    <w:rsid w:val="008E7CF0"/>
    <w:rsid w:val="008E7D24"/>
    <w:rsid w:val="008E7D32"/>
    <w:rsid w:val="008E7F4E"/>
    <w:rsid w:val="008F029E"/>
    <w:rsid w:val="008F095B"/>
    <w:rsid w:val="008F0AA1"/>
    <w:rsid w:val="008F0B82"/>
    <w:rsid w:val="008F0D83"/>
    <w:rsid w:val="008F0EAF"/>
    <w:rsid w:val="008F13C5"/>
    <w:rsid w:val="008F15C4"/>
    <w:rsid w:val="008F16DC"/>
    <w:rsid w:val="008F174D"/>
    <w:rsid w:val="008F2C56"/>
    <w:rsid w:val="008F2CCA"/>
    <w:rsid w:val="008F34A7"/>
    <w:rsid w:val="008F37A5"/>
    <w:rsid w:val="008F3DFD"/>
    <w:rsid w:val="008F3E8F"/>
    <w:rsid w:val="008F40BA"/>
    <w:rsid w:val="008F42E7"/>
    <w:rsid w:val="008F44F2"/>
    <w:rsid w:val="008F4783"/>
    <w:rsid w:val="008F47B9"/>
    <w:rsid w:val="008F49EC"/>
    <w:rsid w:val="008F51E7"/>
    <w:rsid w:val="008F5495"/>
    <w:rsid w:val="008F5D14"/>
    <w:rsid w:val="008F5F6F"/>
    <w:rsid w:val="008F6132"/>
    <w:rsid w:val="008F6851"/>
    <w:rsid w:val="008F6C40"/>
    <w:rsid w:val="008F71B7"/>
    <w:rsid w:val="008F755B"/>
    <w:rsid w:val="008F7DD1"/>
    <w:rsid w:val="009002BC"/>
    <w:rsid w:val="00900E58"/>
    <w:rsid w:val="009019B1"/>
    <w:rsid w:val="00901A9E"/>
    <w:rsid w:val="0090200C"/>
    <w:rsid w:val="00902287"/>
    <w:rsid w:val="009025F8"/>
    <w:rsid w:val="0090294C"/>
    <w:rsid w:val="00902B44"/>
    <w:rsid w:val="009031A0"/>
    <w:rsid w:val="009033ED"/>
    <w:rsid w:val="00903708"/>
    <w:rsid w:val="00903754"/>
    <w:rsid w:val="009038FA"/>
    <w:rsid w:val="00903BE6"/>
    <w:rsid w:val="00903CC0"/>
    <w:rsid w:val="00903D77"/>
    <w:rsid w:val="00904250"/>
    <w:rsid w:val="00904784"/>
    <w:rsid w:val="00904CFE"/>
    <w:rsid w:val="00904D0F"/>
    <w:rsid w:val="00904D88"/>
    <w:rsid w:val="0090570D"/>
    <w:rsid w:val="009062F1"/>
    <w:rsid w:val="009065CA"/>
    <w:rsid w:val="0090662E"/>
    <w:rsid w:val="00906A80"/>
    <w:rsid w:val="00906C61"/>
    <w:rsid w:val="00906CA5"/>
    <w:rsid w:val="00907A12"/>
    <w:rsid w:val="009102D6"/>
    <w:rsid w:val="009102FC"/>
    <w:rsid w:val="00910EBA"/>
    <w:rsid w:val="00911011"/>
    <w:rsid w:val="009111B1"/>
    <w:rsid w:val="00911368"/>
    <w:rsid w:val="009113CC"/>
    <w:rsid w:val="009115A1"/>
    <w:rsid w:val="0091175C"/>
    <w:rsid w:val="00911873"/>
    <w:rsid w:val="009119BF"/>
    <w:rsid w:val="00911AA6"/>
    <w:rsid w:val="00911F34"/>
    <w:rsid w:val="009124D8"/>
    <w:rsid w:val="0091252D"/>
    <w:rsid w:val="0091264A"/>
    <w:rsid w:val="009129F2"/>
    <w:rsid w:val="00912D24"/>
    <w:rsid w:val="00912EC7"/>
    <w:rsid w:val="009130FE"/>
    <w:rsid w:val="00913100"/>
    <w:rsid w:val="00913376"/>
    <w:rsid w:val="00913F89"/>
    <w:rsid w:val="00914050"/>
    <w:rsid w:val="009142F2"/>
    <w:rsid w:val="009147CE"/>
    <w:rsid w:val="00914885"/>
    <w:rsid w:val="00914A1F"/>
    <w:rsid w:val="00914A9A"/>
    <w:rsid w:val="00914B47"/>
    <w:rsid w:val="009150B4"/>
    <w:rsid w:val="009159CE"/>
    <w:rsid w:val="00915A3F"/>
    <w:rsid w:val="00915DB6"/>
    <w:rsid w:val="00915FC2"/>
    <w:rsid w:val="0091612E"/>
    <w:rsid w:val="00916BE5"/>
    <w:rsid w:val="00916D52"/>
    <w:rsid w:val="00917630"/>
    <w:rsid w:val="00917658"/>
    <w:rsid w:val="009177A5"/>
    <w:rsid w:val="00917BCF"/>
    <w:rsid w:val="00917E2C"/>
    <w:rsid w:val="009201C6"/>
    <w:rsid w:val="00921933"/>
    <w:rsid w:val="00921A7C"/>
    <w:rsid w:val="00921ED0"/>
    <w:rsid w:val="00922338"/>
    <w:rsid w:val="009235BA"/>
    <w:rsid w:val="00923AA6"/>
    <w:rsid w:val="00923DD2"/>
    <w:rsid w:val="00923F88"/>
    <w:rsid w:val="00924140"/>
    <w:rsid w:val="00924B3F"/>
    <w:rsid w:val="009255C9"/>
    <w:rsid w:val="0092581C"/>
    <w:rsid w:val="00925B18"/>
    <w:rsid w:val="00925CC4"/>
    <w:rsid w:val="00925F24"/>
    <w:rsid w:val="00925F61"/>
    <w:rsid w:val="0092635C"/>
    <w:rsid w:val="009269DD"/>
    <w:rsid w:val="00927101"/>
    <w:rsid w:val="0092721F"/>
    <w:rsid w:val="00927404"/>
    <w:rsid w:val="0092775C"/>
    <w:rsid w:val="0092789B"/>
    <w:rsid w:val="009300A0"/>
    <w:rsid w:val="00930757"/>
    <w:rsid w:val="00930A7E"/>
    <w:rsid w:val="00930DF3"/>
    <w:rsid w:val="00931046"/>
    <w:rsid w:val="009310D6"/>
    <w:rsid w:val="00931835"/>
    <w:rsid w:val="00931A22"/>
    <w:rsid w:val="00931DBF"/>
    <w:rsid w:val="00931E43"/>
    <w:rsid w:val="0093246E"/>
    <w:rsid w:val="00932742"/>
    <w:rsid w:val="00932872"/>
    <w:rsid w:val="00932907"/>
    <w:rsid w:val="009334B4"/>
    <w:rsid w:val="0093361A"/>
    <w:rsid w:val="00933B3F"/>
    <w:rsid w:val="00933E95"/>
    <w:rsid w:val="009347E6"/>
    <w:rsid w:val="00934889"/>
    <w:rsid w:val="00934CD5"/>
    <w:rsid w:val="00934D2D"/>
    <w:rsid w:val="00935096"/>
    <w:rsid w:val="009356D6"/>
    <w:rsid w:val="00935F24"/>
    <w:rsid w:val="00936204"/>
    <w:rsid w:val="009363FB"/>
    <w:rsid w:val="00936B40"/>
    <w:rsid w:val="00936C59"/>
    <w:rsid w:val="0093769E"/>
    <w:rsid w:val="00937F82"/>
    <w:rsid w:val="00940485"/>
    <w:rsid w:val="00940A5E"/>
    <w:rsid w:val="00940D61"/>
    <w:rsid w:val="00940F48"/>
    <w:rsid w:val="009410B0"/>
    <w:rsid w:val="009411DF"/>
    <w:rsid w:val="0094155F"/>
    <w:rsid w:val="009415D7"/>
    <w:rsid w:val="00941C41"/>
    <w:rsid w:val="00942057"/>
    <w:rsid w:val="00942BAB"/>
    <w:rsid w:val="00942DB3"/>
    <w:rsid w:val="00942E1B"/>
    <w:rsid w:val="009436ED"/>
    <w:rsid w:val="009440AD"/>
    <w:rsid w:val="00944872"/>
    <w:rsid w:val="009448B4"/>
    <w:rsid w:val="00944C6D"/>
    <w:rsid w:val="0094514A"/>
    <w:rsid w:val="00945412"/>
    <w:rsid w:val="009461C9"/>
    <w:rsid w:val="009473A3"/>
    <w:rsid w:val="009473E3"/>
    <w:rsid w:val="0094788A"/>
    <w:rsid w:val="00950110"/>
    <w:rsid w:val="009502A7"/>
    <w:rsid w:val="0095056C"/>
    <w:rsid w:val="00950AFC"/>
    <w:rsid w:val="009515C6"/>
    <w:rsid w:val="0095161D"/>
    <w:rsid w:val="00951F81"/>
    <w:rsid w:val="00951FB5"/>
    <w:rsid w:val="00951FFB"/>
    <w:rsid w:val="00952012"/>
    <w:rsid w:val="00952224"/>
    <w:rsid w:val="00952908"/>
    <w:rsid w:val="0095296B"/>
    <w:rsid w:val="0095363E"/>
    <w:rsid w:val="009545F8"/>
    <w:rsid w:val="00955AB5"/>
    <w:rsid w:val="00955BE7"/>
    <w:rsid w:val="00955CA9"/>
    <w:rsid w:val="00955E19"/>
    <w:rsid w:val="00956C0D"/>
    <w:rsid w:val="0095714C"/>
    <w:rsid w:val="00957A97"/>
    <w:rsid w:val="00960206"/>
    <w:rsid w:val="00960241"/>
    <w:rsid w:val="009602E2"/>
    <w:rsid w:val="0096031A"/>
    <w:rsid w:val="00960597"/>
    <w:rsid w:val="00960751"/>
    <w:rsid w:val="00960792"/>
    <w:rsid w:val="009613DA"/>
    <w:rsid w:val="00961766"/>
    <w:rsid w:val="00961F07"/>
    <w:rsid w:val="00962591"/>
    <w:rsid w:val="009625AE"/>
    <w:rsid w:val="009626F6"/>
    <w:rsid w:val="009627A7"/>
    <w:rsid w:val="00962937"/>
    <w:rsid w:val="00962B26"/>
    <w:rsid w:val="00962D8B"/>
    <w:rsid w:val="00962FCF"/>
    <w:rsid w:val="00963438"/>
    <w:rsid w:val="00963651"/>
    <w:rsid w:val="00963691"/>
    <w:rsid w:val="00963A4B"/>
    <w:rsid w:val="00963B9A"/>
    <w:rsid w:val="00964E1B"/>
    <w:rsid w:val="00965096"/>
    <w:rsid w:val="009650F9"/>
    <w:rsid w:val="009652D0"/>
    <w:rsid w:val="0096550F"/>
    <w:rsid w:val="009658B4"/>
    <w:rsid w:val="00965BCC"/>
    <w:rsid w:val="00965C8B"/>
    <w:rsid w:val="00965F38"/>
    <w:rsid w:val="00966077"/>
    <w:rsid w:val="00967191"/>
    <w:rsid w:val="00967B13"/>
    <w:rsid w:val="00970677"/>
    <w:rsid w:val="009711F0"/>
    <w:rsid w:val="009719E2"/>
    <w:rsid w:val="00971A12"/>
    <w:rsid w:val="009725A9"/>
    <w:rsid w:val="0097294B"/>
    <w:rsid w:val="009733E8"/>
    <w:rsid w:val="0097382C"/>
    <w:rsid w:val="00973903"/>
    <w:rsid w:val="00974690"/>
    <w:rsid w:val="00974A41"/>
    <w:rsid w:val="009757E1"/>
    <w:rsid w:val="00975879"/>
    <w:rsid w:val="0097593A"/>
    <w:rsid w:val="009762A1"/>
    <w:rsid w:val="009762F1"/>
    <w:rsid w:val="00976470"/>
    <w:rsid w:val="00976A17"/>
    <w:rsid w:val="00976A28"/>
    <w:rsid w:val="009771A9"/>
    <w:rsid w:val="0097758A"/>
    <w:rsid w:val="00977F79"/>
    <w:rsid w:val="009801C9"/>
    <w:rsid w:val="009806F1"/>
    <w:rsid w:val="00980787"/>
    <w:rsid w:val="00980CCB"/>
    <w:rsid w:val="00980DDB"/>
    <w:rsid w:val="00981E67"/>
    <w:rsid w:val="009826D3"/>
    <w:rsid w:val="009826E6"/>
    <w:rsid w:val="00982B86"/>
    <w:rsid w:val="00982EB6"/>
    <w:rsid w:val="009834AB"/>
    <w:rsid w:val="009837C5"/>
    <w:rsid w:val="0098388D"/>
    <w:rsid w:val="009842BB"/>
    <w:rsid w:val="00984386"/>
    <w:rsid w:val="009847F6"/>
    <w:rsid w:val="00985727"/>
    <w:rsid w:val="009860B4"/>
    <w:rsid w:val="00986499"/>
    <w:rsid w:val="00986581"/>
    <w:rsid w:val="0098663D"/>
    <w:rsid w:val="00986943"/>
    <w:rsid w:val="0098705A"/>
    <w:rsid w:val="00987489"/>
    <w:rsid w:val="00987A1E"/>
    <w:rsid w:val="00987B7A"/>
    <w:rsid w:val="00987BE7"/>
    <w:rsid w:val="00990252"/>
    <w:rsid w:val="009903AF"/>
    <w:rsid w:val="009903BD"/>
    <w:rsid w:val="009905F1"/>
    <w:rsid w:val="00990C62"/>
    <w:rsid w:val="00990CEF"/>
    <w:rsid w:val="0099109F"/>
    <w:rsid w:val="00991404"/>
    <w:rsid w:val="009915A5"/>
    <w:rsid w:val="009923C9"/>
    <w:rsid w:val="0099269C"/>
    <w:rsid w:val="00992807"/>
    <w:rsid w:val="009929A0"/>
    <w:rsid w:val="009931CA"/>
    <w:rsid w:val="00993354"/>
    <w:rsid w:val="00993799"/>
    <w:rsid w:val="0099384C"/>
    <w:rsid w:val="0099398C"/>
    <w:rsid w:val="00994591"/>
    <w:rsid w:val="00994880"/>
    <w:rsid w:val="00994B75"/>
    <w:rsid w:val="00994DD8"/>
    <w:rsid w:val="009955F1"/>
    <w:rsid w:val="00995898"/>
    <w:rsid w:val="00996390"/>
    <w:rsid w:val="00996437"/>
    <w:rsid w:val="00996512"/>
    <w:rsid w:val="00996650"/>
    <w:rsid w:val="009968B9"/>
    <w:rsid w:val="009969B9"/>
    <w:rsid w:val="009969C8"/>
    <w:rsid w:val="009970FA"/>
    <w:rsid w:val="009973B3"/>
    <w:rsid w:val="00997542"/>
    <w:rsid w:val="00997721"/>
    <w:rsid w:val="00997BAF"/>
    <w:rsid w:val="00997CEA"/>
    <w:rsid w:val="0099CA0B"/>
    <w:rsid w:val="009A0BB7"/>
    <w:rsid w:val="009A1346"/>
    <w:rsid w:val="009A177C"/>
    <w:rsid w:val="009A224E"/>
    <w:rsid w:val="009A2E1E"/>
    <w:rsid w:val="009A3141"/>
    <w:rsid w:val="009A31AC"/>
    <w:rsid w:val="009A3610"/>
    <w:rsid w:val="009A44DD"/>
    <w:rsid w:val="009A483B"/>
    <w:rsid w:val="009A4857"/>
    <w:rsid w:val="009A4AF3"/>
    <w:rsid w:val="009A5467"/>
    <w:rsid w:val="009A5AAC"/>
    <w:rsid w:val="009A5D49"/>
    <w:rsid w:val="009A5FB5"/>
    <w:rsid w:val="009A6553"/>
    <w:rsid w:val="009A7197"/>
    <w:rsid w:val="009A730F"/>
    <w:rsid w:val="009B01ED"/>
    <w:rsid w:val="009B0784"/>
    <w:rsid w:val="009B07A0"/>
    <w:rsid w:val="009B0BC2"/>
    <w:rsid w:val="009B0CE7"/>
    <w:rsid w:val="009B0D57"/>
    <w:rsid w:val="009B10E5"/>
    <w:rsid w:val="009B1A8C"/>
    <w:rsid w:val="009B1BC2"/>
    <w:rsid w:val="009B20E2"/>
    <w:rsid w:val="009B2993"/>
    <w:rsid w:val="009B3825"/>
    <w:rsid w:val="009B3D79"/>
    <w:rsid w:val="009B40DD"/>
    <w:rsid w:val="009B415C"/>
    <w:rsid w:val="009B41B9"/>
    <w:rsid w:val="009B4C11"/>
    <w:rsid w:val="009B4D02"/>
    <w:rsid w:val="009B4EC1"/>
    <w:rsid w:val="009B58F0"/>
    <w:rsid w:val="009B695F"/>
    <w:rsid w:val="009B6B33"/>
    <w:rsid w:val="009B6CD9"/>
    <w:rsid w:val="009B6DB3"/>
    <w:rsid w:val="009B6F3C"/>
    <w:rsid w:val="009B71AA"/>
    <w:rsid w:val="009B742C"/>
    <w:rsid w:val="009C005A"/>
    <w:rsid w:val="009C0137"/>
    <w:rsid w:val="009C014D"/>
    <w:rsid w:val="009C03A9"/>
    <w:rsid w:val="009C04AA"/>
    <w:rsid w:val="009C05BF"/>
    <w:rsid w:val="009C08EB"/>
    <w:rsid w:val="009C0A01"/>
    <w:rsid w:val="009C0AFE"/>
    <w:rsid w:val="009C0B93"/>
    <w:rsid w:val="009C0CFE"/>
    <w:rsid w:val="009C0D7B"/>
    <w:rsid w:val="009C15B9"/>
    <w:rsid w:val="009C207A"/>
    <w:rsid w:val="009C21C0"/>
    <w:rsid w:val="009C2886"/>
    <w:rsid w:val="009C293A"/>
    <w:rsid w:val="009C3703"/>
    <w:rsid w:val="009C3A44"/>
    <w:rsid w:val="009C3F19"/>
    <w:rsid w:val="009C4189"/>
    <w:rsid w:val="009C50BA"/>
    <w:rsid w:val="009C55E1"/>
    <w:rsid w:val="009C5CFD"/>
    <w:rsid w:val="009C600D"/>
    <w:rsid w:val="009C6888"/>
    <w:rsid w:val="009C69F7"/>
    <w:rsid w:val="009C6B5A"/>
    <w:rsid w:val="009C6DD7"/>
    <w:rsid w:val="009C7186"/>
    <w:rsid w:val="009C721A"/>
    <w:rsid w:val="009C73DB"/>
    <w:rsid w:val="009C7AF5"/>
    <w:rsid w:val="009D0B60"/>
    <w:rsid w:val="009D0F1D"/>
    <w:rsid w:val="009D105F"/>
    <w:rsid w:val="009D113B"/>
    <w:rsid w:val="009D1456"/>
    <w:rsid w:val="009D1504"/>
    <w:rsid w:val="009D1762"/>
    <w:rsid w:val="009D18DB"/>
    <w:rsid w:val="009D2321"/>
    <w:rsid w:val="009D2406"/>
    <w:rsid w:val="009D2AC4"/>
    <w:rsid w:val="009D3B38"/>
    <w:rsid w:val="009D3E6D"/>
    <w:rsid w:val="009D46D1"/>
    <w:rsid w:val="009D4AA6"/>
    <w:rsid w:val="009D4BC6"/>
    <w:rsid w:val="009D5026"/>
    <w:rsid w:val="009D5BD2"/>
    <w:rsid w:val="009D5C4A"/>
    <w:rsid w:val="009D60E4"/>
    <w:rsid w:val="009D639E"/>
    <w:rsid w:val="009D6490"/>
    <w:rsid w:val="009D697E"/>
    <w:rsid w:val="009D69A9"/>
    <w:rsid w:val="009D70D3"/>
    <w:rsid w:val="009D7155"/>
    <w:rsid w:val="009D7453"/>
    <w:rsid w:val="009D7A79"/>
    <w:rsid w:val="009E0EF5"/>
    <w:rsid w:val="009E11A0"/>
    <w:rsid w:val="009E1214"/>
    <w:rsid w:val="009E1258"/>
    <w:rsid w:val="009E145A"/>
    <w:rsid w:val="009E1C91"/>
    <w:rsid w:val="009E3158"/>
    <w:rsid w:val="009E3556"/>
    <w:rsid w:val="009E3785"/>
    <w:rsid w:val="009E3DD1"/>
    <w:rsid w:val="009E4055"/>
    <w:rsid w:val="009E5B1C"/>
    <w:rsid w:val="009E5EC9"/>
    <w:rsid w:val="009E6651"/>
    <w:rsid w:val="009E6C1D"/>
    <w:rsid w:val="009E6D06"/>
    <w:rsid w:val="009E6D7F"/>
    <w:rsid w:val="009E6EB0"/>
    <w:rsid w:val="009E6ECB"/>
    <w:rsid w:val="009E765C"/>
    <w:rsid w:val="009E7918"/>
    <w:rsid w:val="009E7CA9"/>
    <w:rsid w:val="009F0722"/>
    <w:rsid w:val="009F0A7C"/>
    <w:rsid w:val="009F0B3A"/>
    <w:rsid w:val="009F0E84"/>
    <w:rsid w:val="009F12E7"/>
    <w:rsid w:val="009F2408"/>
    <w:rsid w:val="009F27D4"/>
    <w:rsid w:val="009F345B"/>
    <w:rsid w:val="009F3678"/>
    <w:rsid w:val="009F3B58"/>
    <w:rsid w:val="009F3BC5"/>
    <w:rsid w:val="009F4650"/>
    <w:rsid w:val="009F4746"/>
    <w:rsid w:val="009F4C6B"/>
    <w:rsid w:val="009F571D"/>
    <w:rsid w:val="009F5B5D"/>
    <w:rsid w:val="009F5C89"/>
    <w:rsid w:val="009F5C8A"/>
    <w:rsid w:val="009F5D35"/>
    <w:rsid w:val="009F6466"/>
    <w:rsid w:val="009F6C3C"/>
    <w:rsid w:val="009F6D44"/>
    <w:rsid w:val="009F78AC"/>
    <w:rsid w:val="009F7EB5"/>
    <w:rsid w:val="00A00056"/>
    <w:rsid w:val="00A0008D"/>
    <w:rsid w:val="00A0035B"/>
    <w:rsid w:val="00A00A71"/>
    <w:rsid w:val="00A00C46"/>
    <w:rsid w:val="00A00EEA"/>
    <w:rsid w:val="00A01077"/>
    <w:rsid w:val="00A01170"/>
    <w:rsid w:val="00A01492"/>
    <w:rsid w:val="00A01C1A"/>
    <w:rsid w:val="00A02B9C"/>
    <w:rsid w:val="00A02BED"/>
    <w:rsid w:val="00A02D3C"/>
    <w:rsid w:val="00A032B4"/>
    <w:rsid w:val="00A03948"/>
    <w:rsid w:val="00A03C36"/>
    <w:rsid w:val="00A03C7D"/>
    <w:rsid w:val="00A03FBE"/>
    <w:rsid w:val="00A03FEF"/>
    <w:rsid w:val="00A040F5"/>
    <w:rsid w:val="00A04E4A"/>
    <w:rsid w:val="00A0694D"/>
    <w:rsid w:val="00A06A43"/>
    <w:rsid w:val="00A0751B"/>
    <w:rsid w:val="00A07DD5"/>
    <w:rsid w:val="00A10EE5"/>
    <w:rsid w:val="00A11741"/>
    <w:rsid w:val="00A11A89"/>
    <w:rsid w:val="00A11DA7"/>
    <w:rsid w:val="00A12254"/>
    <w:rsid w:val="00A1226A"/>
    <w:rsid w:val="00A123B9"/>
    <w:rsid w:val="00A12E9C"/>
    <w:rsid w:val="00A12FC7"/>
    <w:rsid w:val="00A13484"/>
    <w:rsid w:val="00A135C1"/>
    <w:rsid w:val="00A136D2"/>
    <w:rsid w:val="00A13AB0"/>
    <w:rsid w:val="00A13CF9"/>
    <w:rsid w:val="00A13E5B"/>
    <w:rsid w:val="00A13EFE"/>
    <w:rsid w:val="00A1407F"/>
    <w:rsid w:val="00A140A0"/>
    <w:rsid w:val="00A14553"/>
    <w:rsid w:val="00A146D5"/>
    <w:rsid w:val="00A150C2"/>
    <w:rsid w:val="00A150FB"/>
    <w:rsid w:val="00A153CD"/>
    <w:rsid w:val="00A15516"/>
    <w:rsid w:val="00A15582"/>
    <w:rsid w:val="00A15AC2"/>
    <w:rsid w:val="00A15D73"/>
    <w:rsid w:val="00A15F38"/>
    <w:rsid w:val="00A1628F"/>
    <w:rsid w:val="00A1682D"/>
    <w:rsid w:val="00A16873"/>
    <w:rsid w:val="00A1752E"/>
    <w:rsid w:val="00A20DC4"/>
    <w:rsid w:val="00A21078"/>
    <w:rsid w:val="00A21A4E"/>
    <w:rsid w:val="00A21C3F"/>
    <w:rsid w:val="00A22042"/>
    <w:rsid w:val="00A229F3"/>
    <w:rsid w:val="00A22D3B"/>
    <w:rsid w:val="00A23305"/>
    <w:rsid w:val="00A235E0"/>
    <w:rsid w:val="00A237AA"/>
    <w:rsid w:val="00A24297"/>
    <w:rsid w:val="00A24459"/>
    <w:rsid w:val="00A249A7"/>
    <w:rsid w:val="00A24BAD"/>
    <w:rsid w:val="00A25339"/>
    <w:rsid w:val="00A25495"/>
    <w:rsid w:val="00A25A6F"/>
    <w:rsid w:val="00A25AB8"/>
    <w:rsid w:val="00A26552"/>
    <w:rsid w:val="00A26777"/>
    <w:rsid w:val="00A27924"/>
    <w:rsid w:val="00A31271"/>
    <w:rsid w:val="00A3128A"/>
    <w:rsid w:val="00A3161B"/>
    <w:rsid w:val="00A318CF"/>
    <w:rsid w:val="00A31B2F"/>
    <w:rsid w:val="00A32ECB"/>
    <w:rsid w:val="00A331A2"/>
    <w:rsid w:val="00A33673"/>
    <w:rsid w:val="00A3384B"/>
    <w:rsid w:val="00A33B0C"/>
    <w:rsid w:val="00A34212"/>
    <w:rsid w:val="00A347D7"/>
    <w:rsid w:val="00A348A7"/>
    <w:rsid w:val="00A34A72"/>
    <w:rsid w:val="00A34C05"/>
    <w:rsid w:val="00A34E6C"/>
    <w:rsid w:val="00A34EA4"/>
    <w:rsid w:val="00A358D1"/>
    <w:rsid w:val="00A35AFD"/>
    <w:rsid w:val="00A35BEE"/>
    <w:rsid w:val="00A35E70"/>
    <w:rsid w:val="00A360E0"/>
    <w:rsid w:val="00A360F6"/>
    <w:rsid w:val="00A3671F"/>
    <w:rsid w:val="00A36727"/>
    <w:rsid w:val="00A36F72"/>
    <w:rsid w:val="00A37CB8"/>
    <w:rsid w:val="00A37E90"/>
    <w:rsid w:val="00A402F7"/>
    <w:rsid w:val="00A40AC9"/>
    <w:rsid w:val="00A40ACA"/>
    <w:rsid w:val="00A41738"/>
    <w:rsid w:val="00A418B5"/>
    <w:rsid w:val="00A41AE1"/>
    <w:rsid w:val="00A41B94"/>
    <w:rsid w:val="00A41D71"/>
    <w:rsid w:val="00A42060"/>
    <w:rsid w:val="00A42193"/>
    <w:rsid w:val="00A42A43"/>
    <w:rsid w:val="00A42E15"/>
    <w:rsid w:val="00A43373"/>
    <w:rsid w:val="00A438BE"/>
    <w:rsid w:val="00A43C50"/>
    <w:rsid w:val="00A448FC"/>
    <w:rsid w:val="00A44CE4"/>
    <w:rsid w:val="00A44F13"/>
    <w:rsid w:val="00A45361"/>
    <w:rsid w:val="00A4571E"/>
    <w:rsid w:val="00A45B8A"/>
    <w:rsid w:val="00A46924"/>
    <w:rsid w:val="00A46BAD"/>
    <w:rsid w:val="00A46CB9"/>
    <w:rsid w:val="00A47A35"/>
    <w:rsid w:val="00A47A67"/>
    <w:rsid w:val="00A47A82"/>
    <w:rsid w:val="00A47CFE"/>
    <w:rsid w:val="00A47ED5"/>
    <w:rsid w:val="00A501A3"/>
    <w:rsid w:val="00A501CB"/>
    <w:rsid w:val="00A506C0"/>
    <w:rsid w:val="00A51052"/>
    <w:rsid w:val="00A51530"/>
    <w:rsid w:val="00A51889"/>
    <w:rsid w:val="00A51D14"/>
    <w:rsid w:val="00A52000"/>
    <w:rsid w:val="00A52676"/>
    <w:rsid w:val="00A52BDB"/>
    <w:rsid w:val="00A52BF8"/>
    <w:rsid w:val="00A52FFC"/>
    <w:rsid w:val="00A5311A"/>
    <w:rsid w:val="00A53F90"/>
    <w:rsid w:val="00A53FAC"/>
    <w:rsid w:val="00A540FD"/>
    <w:rsid w:val="00A548FF"/>
    <w:rsid w:val="00A54DAF"/>
    <w:rsid w:val="00A5501E"/>
    <w:rsid w:val="00A5528A"/>
    <w:rsid w:val="00A55429"/>
    <w:rsid w:val="00A55839"/>
    <w:rsid w:val="00A56797"/>
    <w:rsid w:val="00A568B1"/>
    <w:rsid w:val="00A56CDC"/>
    <w:rsid w:val="00A56FCF"/>
    <w:rsid w:val="00A5713E"/>
    <w:rsid w:val="00A57296"/>
    <w:rsid w:val="00A572C0"/>
    <w:rsid w:val="00A577EC"/>
    <w:rsid w:val="00A57A8D"/>
    <w:rsid w:val="00A57AF7"/>
    <w:rsid w:val="00A60334"/>
    <w:rsid w:val="00A60830"/>
    <w:rsid w:val="00A60BE5"/>
    <w:rsid w:val="00A60DDE"/>
    <w:rsid w:val="00A614DF"/>
    <w:rsid w:val="00A616EB"/>
    <w:rsid w:val="00A61727"/>
    <w:rsid w:val="00A61B03"/>
    <w:rsid w:val="00A627A9"/>
    <w:rsid w:val="00A62B7B"/>
    <w:rsid w:val="00A62FA8"/>
    <w:rsid w:val="00A63142"/>
    <w:rsid w:val="00A6375A"/>
    <w:rsid w:val="00A64106"/>
    <w:rsid w:val="00A644FB"/>
    <w:rsid w:val="00A64761"/>
    <w:rsid w:val="00A658C1"/>
    <w:rsid w:val="00A665D5"/>
    <w:rsid w:val="00A66602"/>
    <w:rsid w:val="00A668FE"/>
    <w:rsid w:val="00A6737C"/>
    <w:rsid w:val="00A67428"/>
    <w:rsid w:val="00A674F9"/>
    <w:rsid w:val="00A67A43"/>
    <w:rsid w:val="00A67C94"/>
    <w:rsid w:val="00A705B5"/>
    <w:rsid w:val="00A70BC3"/>
    <w:rsid w:val="00A713AC"/>
    <w:rsid w:val="00A71C8A"/>
    <w:rsid w:val="00A71D70"/>
    <w:rsid w:val="00A72049"/>
    <w:rsid w:val="00A720FB"/>
    <w:rsid w:val="00A72EF4"/>
    <w:rsid w:val="00A72EF9"/>
    <w:rsid w:val="00A73264"/>
    <w:rsid w:val="00A737F0"/>
    <w:rsid w:val="00A73BE4"/>
    <w:rsid w:val="00A745A5"/>
    <w:rsid w:val="00A745D3"/>
    <w:rsid w:val="00A7557E"/>
    <w:rsid w:val="00A756D7"/>
    <w:rsid w:val="00A7603D"/>
    <w:rsid w:val="00A76506"/>
    <w:rsid w:val="00A76734"/>
    <w:rsid w:val="00A76ACA"/>
    <w:rsid w:val="00A77167"/>
    <w:rsid w:val="00A7769A"/>
    <w:rsid w:val="00A777F3"/>
    <w:rsid w:val="00A8017C"/>
    <w:rsid w:val="00A80793"/>
    <w:rsid w:val="00A81ED4"/>
    <w:rsid w:val="00A82312"/>
    <w:rsid w:val="00A824C9"/>
    <w:rsid w:val="00A82BE5"/>
    <w:rsid w:val="00A83146"/>
    <w:rsid w:val="00A835D2"/>
    <w:rsid w:val="00A83BA5"/>
    <w:rsid w:val="00A840BC"/>
    <w:rsid w:val="00A845AE"/>
    <w:rsid w:val="00A846A4"/>
    <w:rsid w:val="00A84702"/>
    <w:rsid w:val="00A84925"/>
    <w:rsid w:val="00A84FCE"/>
    <w:rsid w:val="00A854D7"/>
    <w:rsid w:val="00A86151"/>
    <w:rsid w:val="00A862ED"/>
    <w:rsid w:val="00A86599"/>
    <w:rsid w:val="00A86869"/>
    <w:rsid w:val="00A86873"/>
    <w:rsid w:val="00A86E49"/>
    <w:rsid w:val="00A87172"/>
    <w:rsid w:val="00A87631"/>
    <w:rsid w:val="00A87711"/>
    <w:rsid w:val="00A8782F"/>
    <w:rsid w:val="00A87B49"/>
    <w:rsid w:val="00A90400"/>
    <w:rsid w:val="00A908E9"/>
    <w:rsid w:val="00A90A20"/>
    <w:rsid w:val="00A90F16"/>
    <w:rsid w:val="00A90FA5"/>
    <w:rsid w:val="00A9133F"/>
    <w:rsid w:val="00A91B5F"/>
    <w:rsid w:val="00A9214B"/>
    <w:rsid w:val="00A9219F"/>
    <w:rsid w:val="00A9289D"/>
    <w:rsid w:val="00A92990"/>
    <w:rsid w:val="00A92DAB"/>
    <w:rsid w:val="00A93773"/>
    <w:rsid w:val="00A93803"/>
    <w:rsid w:val="00A9390C"/>
    <w:rsid w:val="00A93BAE"/>
    <w:rsid w:val="00A93C77"/>
    <w:rsid w:val="00A93EFB"/>
    <w:rsid w:val="00A93F99"/>
    <w:rsid w:val="00A94039"/>
    <w:rsid w:val="00A943AB"/>
    <w:rsid w:val="00A952EC"/>
    <w:rsid w:val="00A95427"/>
    <w:rsid w:val="00A95437"/>
    <w:rsid w:val="00A95682"/>
    <w:rsid w:val="00A958A9"/>
    <w:rsid w:val="00A9603D"/>
    <w:rsid w:val="00A965A1"/>
    <w:rsid w:val="00A966F5"/>
    <w:rsid w:val="00A96947"/>
    <w:rsid w:val="00A96D60"/>
    <w:rsid w:val="00A9789A"/>
    <w:rsid w:val="00A97ADA"/>
    <w:rsid w:val="00A97F5D"/>
    <w:rsid w:val="00AA003B"/>
    <w:rsid w:val="00AA02E7"/>
    <w:rsid w:val="00AA076A"/>
    <w:rsid w:val="00AA0B68"/>
    <w:rsid w:val="00AA0F46"/>
    <w:rsid w:val="00AA13FA"/>
    <w:rsid w:val="00AA1704"/>
    <w:rsid w:val="00AA1AD6"/>
    <w:rsid w:val="00AA1DBA"/>
    <w:rsid w:val="00AA1EC6"/>
    <w:rsid w:val="00AA1F39"/>
    <w:rsid w:val="00AA2405"/>
    <w:rsid w:val="00AA3C73"/>
    <w:rsid w:val="00AA45DD"/>
    <w:rsid w:val="00AA45F0"/>
    <w:rsid w:val="00AA4824"/>
    <w:rsid w:val="00AA485E"/>
    <w:rsid w:val="00AA4977"/>
    <w:rsid w:val="00AA4CBE"/>
    <w:rsid w:val="00AA4E6D"/>
    <w:rsid w:val="00AA51A1"/>
    <w:rsid w:val="00AA53D5"/>
    <w:rsid w:val="00AA5B46"/>
    <w:rsid w:val="00AA64A2"/>
    <w:rsid w:val="00AA676F"/>
    <w:rsid w:val="00AA6B2D"/>
    <w:rsid w:val="00AA7512"/>
    <w:rsid w:val="00AA772F"/>
    <w:rsid w:val="00AA7A3D"/>
    <w:rsid w:val="00AA8ED1"/>
    <w:rsid w:val="00AB0A81"/>
    <w:rsid w:val="00AB1499"/>
    <w:rsid w:val="00AB1741"/>
    <w:rsid w:val="00AB1D4D"/>
    <w:rsid w:val="00AB2387"/>
    <w:rsid w:val="00AB2727"/>
    <w:rsid w:val="00AB28EE"/>
    <w:rsid w:val="00AB30C4"/>
    <w:rsid w:val="00AB31A7"/>
    <w:rsid w:val="00AB3572"/>
    <w:rsid w:val="00AB3867"/>
    <w:rsid w:val="00AB3B08"/>
    <w:rsid w:val="00AB3BB1"/>
    <w:rsid w:val="00AB3C4B"/>
    <w:rsid w:val="00AB3DD6"/>
    <w:rsid w:val="00AB3E71"/>
    <w:rsid w:val="00AB3EA1"/>
    <w:rsid w:val="00AB40E7"/>
    <w:rsid w:val="00AB4187"/>
    <w:rsid w:val="00AB431B"/>
    <w:rsid w:val="00AB4D27"/>
    <w:rsid w:val="00AB4F3C"/>
    <w:rsid w:val="00AB4F82"/>
    <w:rsid w:val="00AB5AE2"/>
    <w:rsid w:val="00AB5F36"/>
    <w:rsid w:val="00AB606D"/>
    <w:rsid w:val="00AB64A8"/>
    <w:rsid w:val="00AB71CA"/>
    <w:rsid w:val="00AB7DB9"/>
    <w:rsid w:val="00AB7F88"/>
    <w:rsid w:val="00AC0322"/>
    <w:rsid w:val="00AC0409"/>
    <w:rsid w:val="00AC065B"/>
    <w:rsid w:val="00AC0CB1"/>
    <w:rsid w:val="00AC228C"/>
    <w:rsid w:val="00AC2713"/>
    <w:rsid w:val="00AC2B2C"/>
    <w:rsid w:val="00AC2BB4"/>
    <w:rsid w:val="00AC2DA6"/>
    <w:rsid w:val="00AC3111"/>
    <w:rsid w:val="00AC39F0"/>
    <w:rsid w:val="00AC3F54"/>
    <w:rsid w:val="00AC419B"/>
    <w:rsid w:val="00AC45DF"/>
    <w:rsid w:val="00AC4A73"/>
    <w:rsid w:val="00AC4BD8"/>
    <w:rsid w:val="00AC4CF4"/>
    <w:rsid w:val="00AC4FD2"/>
    <w:rsid w:val="00AC5170"/>
    <w:rsid w:val="00AC58B4"/>
    <w:rsid w:val="00AC5C13"/>
    <w:rsid w:val="00AC5C70"/>
    <w:rsid w:val="00AC5ECE"/>
    <w:rsid w:val="00AC64AA"/>
    <w:rsid w:val="00AC6E31"/>
    <w:rsid w:val="00AC7508"/>
    <w:rsid w:val="00AD05A8"/>
    <w:rsid w:val="00AD066B"/>
    <w:rsid w:val="00AD0689"/>
    <w:rsid w:val="00AD0A59"/>
    <w:rsid w:val="00AD1164"/>
    <w:rsid w:val="00AD1297"/>
    <w:rsid w:val="00AD15D5"/>
    <w:rsid w:val="00AD18FC"/>
    <w:rsid w:val="00AD1B82"/>
    <w:rsid w:val="00AD2452"/>
    <w:rsid w:val="00AD2461"/>
    <w:rsid w:val="00AD24AE"/>
    <w:rsid w:val="00AD2500"/>
    <w:rsid w:val="00AD2E06"/>
    <w:rsid w:val="00AD2F4D"/>
    <w:rsid w:val="00AD2FDF"/>
    <w:rsid w:val="00AD330F"/>
    <w:rsid w:val="00AD37CF"/>
    <w:rsid w:val="00AD39C9"/>
    <w:rsid w:val="00AD3E6E"/>
    <w:rsid w:val="00AD40D1"/>
    <w:rsid w:val="00AD4731"/>
    <w:rsid w:val="00AD4899"/>
    <w:rsid w:val="00AD4ABB"/>
    <w:rsid w:val="00AD4F91"/>
    <w:rsid w:val="00AD539A"/>
    <w:rsid w:val="00AD54AA"/>
    <w:rsid w:val="00AD5761"/>
    <w:rsid w:val="00AD5D64"/>
    <w:rsid w:val="00AD6873"/>
    <w:rsid w:val="00AD6957"/>
    <w:rsid w:val="00AD6B61"/>
    <w:rsid w:val="00AD6B99"/>
    <w:rsid w:val="00AD70CD"/>
    <w:rsid w:val="00AD740D"/>
    <w:rsid w:val="00AD7994"/>
    <w:rsid w:val="00AD7F0E"/>
    <w:rsid w:val="00AD7F94"/>
    <w:rsid w:val="00AE01BE"/>
    <w:rsid w:val="00AE0ECE"/>
    <w:rsid w:val="00AE1811"/>
    <w:rsid w:val="00AE1948"/>
    <w:rsid w:val="00AE1C77"/>
    <w:rsid w:val="00AE2386"/>
    <w:rsid w:val="00AE276B"/>
    <w:rsid w:val="00AE2D29"/>
    <w:rsid w:val="00AE2D4D"/>
    <w:rsid w:val="00AE3238"/>
    <w:rsid w:val="00AE3439"/>
    <w:rsid w:val="00AE37CA"/>
    <w:rsid w:val="00AE4523"/>
    <w:rsid w:val="00AE47AC"/>
    <w:rsid w:val="00AE4B19"/>
    <w:rsid w:val="00AE4D25"/>
    <w:rsid w:val="00AE51B8"/>
    <w:rsid w:val="00AE53E5"/>
    <w:rsid w:val="00AE692C"/>
    <w:rsid w:val="00AE6A84"/>
    <w:rsid w:val="00AE7001"/>
    <w:rsid w:val="00AE74B4"/>
    <w:rsid w:val="00AE7ECA"/>
    <w:rsid w:val="00AF0169"/>
    <w:rsid w:val="00AF16AB"/>
    <w:rsid w:val="00AF1A0A"/>
    <w:rsid w:val="00AF1AE8"/>
    <w:rsid w:val="00AF2603"/>
    <w:rsid w:val="00AF2672"/>
    <w:rsid w:val="00AF300E"/>
    <w:rsid w:val="00AF369C"/>
    <w:rsid w:val="00AF39A4"/>
    <w:rsid w:val="00AF39AF"/>
    <w:rsid w:val="00AF3BEC"/>
    <w:rsid w:val="00AF49BD"/>
    <w:rsid w:val="00AF4D69"/>
    <w:rsid w:val="00AF4FE0"/>
    <w:rsid w:val="00AF594E"/>
    <w:rsid w:val="00AF5E71"/>
    <w:rsid w:val="00AF5F4C"/>
    <w:rsid w:val="00AF61F5"/>
    <w:rsid w:val="00AF643A"/>
    <w:rsid w:val="00AF6741"/>
    <w:rsid w:val="00AF787C"/>
    <w:rsid w:val="00AF7A9C"/>
    <w:rsid w:val="00B0027D"/>
    <w:rsid w:val="00B00545"/>
    <w:rsid w:val="00B00DA8"/>
    <w:rsid w:val="00B0121F"/>
    <w:rsid w:val="00B01C48"/>
    <w:rsid w:val="00B01CC4"/>
    <w:rsid w:val="00B01E67"/>
    <w:rsid w:val="00B02354"/>
    <w:rsid w:val="00B023DD"/>
    <w:rsid w:val="00B023ED"/>
    <w:rsid w:val="00B024AA"/>
    <w:rsid w:val="00B026C7"/>
    <w:rsid w:val="00B02753"/>
    <w:rsid w:val="00B02AF7"/>
    <w:rsid w:val="00B02D14"/>
    <w:rsid w:val="00B02E51"/>
    <w:rsid w:val="00B04DD7"/>
    <w:rsid w:val="00B061B9"/>
    <w:rsid w:val="00B06EF4"/>
    <w:rsid w:val="00B07155"/>
    <w:rsid w:val="00B07370"/>
    <w:rsid w:val="00B078A2"/>
    <w:rsid w:val="00B10C76"/>
    <w:rsid w:val="00B10E3D"/>
    <w:rsid w:val="00B1137E"/>
    <w:rsid w:val="00B11A57"/>
    <w:rsid w:val="00B11F71"/>
    <w:rsid w:val="00B120F1"/>
    <w:rsid w:val="00B125CF"/>
    <w:rsid w:val="00B129CE"/>
    <w:rsid w:val="00B13441"/>
    <w:rsid w:val="00B14990"/>
    <w:rsid w:val="00B14DBB"/>
    <w:rsid w:val="00B1535C"/>
    <w:rsid w:val="00B15550"/>
    <w:rsid w:val="00B15B52"/>
    <w:rsid w:val="00B16630"/>
    <w:rsid w:val="00B17491"/>
    <w:rsid w:val="00B17587"/>
    <w:rsid w:val="00B17A13"/>
    <w:rsid w:val="00B17FA7"/>
    <w:rsid w:val="00B20A94"/>
    <w:rsid w:val="00B20AB9"/>
    <w:rsid w:val="00B20B3F"/>
    <w:rsid w:val="00B20C3D"/>
    <w:rsid w:val="00B20CD1"/>
    <w:rsid w:val="00B20FAE"/>
    <w:rsid w:val="00B213D4"/>
    <w:rsid w:val="00B2153F"/>
    <w:rsid w:val="00B216EC"/>
    <w:rsid w:val="00B217E3"/>
    <w:rsid w:val="00B218E6"/>
    <w:rsid w:val="00B21DA9"/>
    <w:rsid w:val="00B2209A"/>
    <w:rsid w:val="00B222B3"/>
    <w:rsid w:val="00B228DD"/>
    <w:rsid w:val="00B22EB6"/>
    <w:rsid w:val="00B22FD7"/>
    <w:rsid w:val="00B23533"/>
    <w:rsid w:val="00B23641"/>
    <w:rsid w:val="00B236FA"/>
    <w:rsid w:val="00B23A63"/>
    <w:rsid w:val="00B24425"/>
    <w:rsid w:val="00B24723"/>
    <w:rsid w:val="00B2479B"/>
    <w:rsid w:val="00B248BD"/>
    <w:rsid w:val="00B24B06"/>
    <w:rsid w:val="00B24C16"/>
    <w:rsid w:val="00B2576B"/>
    <w:rsid w:val="00B258BF"/>
    <w:rsid w:val="00B25C2A"/>
    <w:rsid w:val="00B25DA4"/>
    <w:rsid w:val="00B26132"/>
    <w:rsid w:val="00B26828"/>
    <w:rsid w:val="00B26934"/>
    <w:rsid w:val="00B26FCE"/>
    <w:rsid w:val="00B2709C"/>
    <w:rsid w:val="00B271C1"/>
    <w:rsid w:val="00B27B24"/>
    <w:rsid w:val="00B27D0E"/>
    <w:rsid w:val="00B27D10"/>
    <w:rsid w:val="00B27D83"/>
    <w:rsid w:val="00B30F99"/>
    <w:rsid w:val="00B3133C"/>
    <w:rsid w:val="00B31751"/>
    <w:rsid w:val="00B317F9"/>
    <w:rsid w:val="00B31EEC"/>
    <w:rsid w:val="00B35731"/>
    <w:rsid w:val="00B37523"/>
    <w:rsid w:val="00B378CA"/>
    <w:rsid w:val="00B3791F"/>
    <w:rsid w:val="00B37CEC"/>
    <w:rsid w:val="00B37F10"/>
    <w:rsid w:val="00B40142"/>
    <w:rsid w:val="00B4053B"/>
    <w:rsid w:val="00B40815"/>
    <w:rsid w:val="00B41C2B"/>
    <w:rsid w:val="00B4241D"/>
    <w:rsid w:val="00B42F32"/>
    <w:rsid w:val="00B430CD"/>
    <w:rsid w:val="00B43291"/>
    <w:rsid w:val="00B43AFC"/>
    <w:rsid w:val="00B43DF6"/>
    <w:rsid w:val="00B4400A"/>
    <w:rsid w:val="00B4409A"/>
    <w:rsid w:val="00B44533"/>
    <w:rsid w:val="00B4500F"/>
    <w:rsid w:val="00B45F40"/>
    <w:rsid w:val="00B46363"/>
    <w:rsid w:val="00B463A0"/>
    <w:rsid w:val="00B4670C"/>
    <w:rsid w:val="00B467A4"/>
    <w:rsid w:val="00B4685B"/>
    <w:rsid w:val="00B46B91"/>
    <w:rsid w:val="00B46C36"/>
    <w:rsid w:val="00B470AB"/>
    <w:rsid w:val="00B473E5"/>
    <w:rsid w:val="00B475CB"/>
    <w:rsid w:val="00B479AE"/>
    <w:rsid w:val="00B47E33"/>
    <w:rsid w:val="00B501B7"/>
    <w:rsid w:val="00B50711"/>
    <w:rsid w:val="00B50A1D"/>
    <w:rsid w:val="00B513A0"/>
    <w:rsid w:val="00B5180A"/>
    <w:rsid w:val="00B51868"/>
    <w:rsid w:val="00B52340"/>
    <w:rsid w:val="00B5265B"/>
    <w:rsid w:val="00B52762"/>
    <w:rsid w:val="00B52CEA"/>
    <w:rsid w:val="00B5333F"/>
    <w:rsid w:val="00B5397F"/>
    <w:rsid w:val="00B539DD"/>
    <w:rsid w:val="00B5461A"/>
    <w:rsid w:val="00B546EA"/>
    <w:rsid w:val="00B546EE"/>
    <w:rsid w:val="00B549AF"/>
    <w:rsid w:val="00B54B7C"/>
    <w:rsid w:val="00B54EE9"/>
    <w:rsid w:val="00B5514E"/>
    <w:rsid w:val="00B55F37"/>
    <w:rsid w:val="00B563BC"/>
    <w:rsid w:val="00B56656"/>
    <w:rsid w:val="00B56740"/>
    <w:rsid w:val="00B56D23"/>
    <w:rsid w:val="00B5787F"/>
    <w:rsid w:val="00B60510"/>
    <w:rsid w:val="00B606FB"/>
    <w:rsid w:val="00B60759"/>
    <w:rsid w:val="00B607EA"/>
    <w:rsid w:val="00B6091D"/>
    <w:rsid w:val="00B60974"/>
    <w:rsid w:val="00B613FC"/>
    <w:rsid w:val="00B615FB"/>
    <w:rsid w:val="00B6177E"/>
    <w:rsid w:val="00B61966"/>
    <w:rsid w:val="00B619AA"/>
    <w:rsid w:val="00B61A37"/>
    <w:rsid w:val="00B61BE3"/>
    <w:rsid w:val="00B625A0"/>
    <w:rsid w:val="00B6295B"/>
    <w:rsid w:val="00B63386"/>
    <w:rsid w:val="00B63A2F"/>
    <w:rsid w:val="00B641A0"/>
    <w:rsid w:val="00B64230"/>
    <w:rsid w:val="00B64696"/>
    <w:rsid w:val="00B6471D"/>
    <w:rsid w:val="00B65965"/>
    <w:rsid w:val="00B65B31"/>
    <w:rsid w:val="00B65B57"/>
    <w:rsid w:val="00B65CCA"/>
    <w:rsid w:val="00B6682F"/>
    <w:rsid w:val="00B66AB2"/>
    <w:rsid w:val="00B67086"/>
    <w:rsid w:val="00B672C1"/>
    <w:rsid w:val="00B67356"/>
    <w:rsid w:val="00B70048"/>
    <w:rsid w:val="00B70177"/>
    <w:rsid w:val="00B701CB"/>
    <w:rsid w:val="00B701D9"/>
    <w:rsid w:val="00B70878"/>
    <w:rsid w:val="00B70AC4"/>
    <w:rsid w:val="00B71317"/>
    <w:rsid w:val="00B71E4B"/>
    <w:rsid w:val="00B71ED4"/>
    <w:rsid w:val="00B7276C"/>
    <w:rsid w:val="00B7281D"/>
    <w:rsid w:val="00B72996"/>
    <w:rsid w:val="00B72C41"/>
    <w:rsid w:val="00B72C4F"/>
    <w:rsid w:val="00B72D7F"/>
    <w:rsid w:val="00B72EE3"/>
    <w:rsid w:val="00B7312F"/>
    <w:rsid w:val="00B73271"/>
    <w:rsid w:val="00B73B4C"/>
    <w:rsid w:val="00B73DE1"/>
    <w:rsid w:val="00B73F83"/>
    <w:rsid w:val="00B74306"/>
    <w:rsid w:val="00B75CB5"/>
    <w:rsid w:val="00B75EAA"/>
    <w:rsid w:val="00B767B8"/>
    <w:rsid w:val="00B76C05"/>
    <w:rsid w:val="00B76E32"/>
    <w:rsid w:val="00B76E60"/>
    <w:rsid w:val="00B77318"/>
    <w:rsid w:val="00B773DA"/>
    <w:rsid w:val="00B777FD"/>
    <w:rsid w:val="00B77B0E"/>
    <w:rsid w:val="00B77D4A"/>
    <w:rsid w:val="00B80598"/>
    <w:rsid w:val="00B80ABC"/>
    <w:rsid w:val="00B818B8"/>
    <w:rsid w:val="00B81D1B"/>
    <w:rsid w:val="00B81F15"/>
    <w:rsid w:val="00B828D3"/>
    <w:rsid w:val="00B83218"/>
    <w:rsid w:val="00B833D5"/>
    <w:rsid w:val="00B836B1"/>
    <w:rsid w:val="00B8456F"/>
    <w:rsid w:val="00B847C2"/>
    <w:rsid w:val="00B84C4C"/>
    <w:rsid w:val="00B84E49"/>
    <w:rsid w:val="00B85007"/>
    <w:rsid w:val="00B86DB7"/>
    <w:rsid w:val="00B86E00"/>
    <w:rsid w:val="00B86E20"/>
    <w:rsid w:val="00B8748C"/>
    <w:rsid w:val="00B87730"/>
    <w:rsid w:val="00B87A1D"/>
    <w:rsid w:val="00B900D6"/>
    <w:rsid w:val="00B9090C"/>
    <w:rsid w:val="00B90A92"/>
    <w:rsid w:val="00B90D1F"/>
    <w:rsid w:val="00B917A7"/>
    <w:rsid w:val="00B91CD4"/>
    <w:rsid w:val="00B923B7"/>
    <w:rsid w:val="00B92F4A"/>
    <w:rsid w:val="00B92FF4"/>
    <w:rsid w:val="00B93120"/>
    <w:rsid w:val="00B933AA"/>
    <w:rsid w:val="00B93E61"/>
    <w:rsid w:val="00B943AD"/>
    <w:rsid w:val="00B94D12"/>
    <w:rsid w:val="00B954E6"/>
    <w:rsid w:val="00B95514"/>
    <w:rsid w:val="00B95942"/>
    <w:rsid w:val="00B95F19"/>
    <w:rsid w:val="00B9610D"/>
    <w:rsid w:val="00B96951"/>
    <w:rsid w:val="00B97230"/>
    <w:rsid w:val="00B972FE"/>
    <w:rsid w:val="00B973DE"/>
    <w:rsid w:val="00B9773D"/>
    <w:rsid w:val="00BA0098"/>
    <w:rsid w:val="00BA0322"/>
    <w:rsid w:val="00BA07D9"/>
    <w:rsid w:val="00BA08E0"/>
    <w:rsid w:val="00BA113C"/>
    <w:rsid w:val="00BA1549"/>
    <w:rsid w:val="00BA1CED"/>
    <w:rsid w:val="00BA2575"/>
    <w:rsid w:val="00BA267E"/>
    <w:rsid w:val="00BA2E19"/>
    <w:rsid w:val="00BA2F59"/>
    <w:rsid w:val="00BA3064"/>
    <w:rsid w:val="00BA3600"/>
    <w:rsid w:val="00BA38F0"/>
    <w:rsid w:val="00BA4048"/>
    <w:rsid w:val="00BA4141"/>
    <w:rsid w:val="00BA5094"/>
    <w:rsid w:val="00BA51A6"/>
    <w:rsid w:val="00BA5908"/>
    <w:rsid w:val="00BA599B"/>
    <w:rsid w:val="00BA6C66"/>
    <w:rsid w:val="00BA6F4E"/>
    <w:rsid w:val="00BA6FC9"/>
    <w:rsid w:val="00BA7470"/>
    <w:rsid w:val="00BA79AA"/>
    <w:rsid w:val="00BA7EB8"/>
    <w:rsid w:val="00BB017F"/>
    <w:rsid w:val="00BB023F"/>
    <w:rsid w:val="00BB0439"/>
    <w:rsid w:val="00BB084A"/>
    <w:rsid w:val="00BB0C24"/>
    <w:rsid w:val="00BB0E6A"/>
    <w:rsid w:val="00BB126E"/>
    <w:rsid w:val="00BB2ADD"/>
    <w:rsid w:val="00BB3C20"/>
    <w:rsid w:val="00BB3D42"/>
    <w:rsid w:val="00BB4A25"/>
    <w:rsid w:val="00BB4B52"/>
    <w:rsid w:val="00BB4BC7"/>
    <w:rsid w:val="00BB4CA1"/>
    <w:rsid w:val="00BB4D0A"/>
    <w:rsid w:val="00BB519A"/>
    <w:rsid w:val="00BB54C7"/>
    <w:rsid w:val="00BB58EB"/>
    <w:rsid w:val="00BB5D96"/>
    <w:rsid w:val="00BB6042"/>
    <w:rsid w:val="00BB6306"/>
    <w:rsid w:val="00BB637A"/>
    <w:rsid w:val="00BB7484"/>
    <w:rsid w:val="00BB7F6A"/>
    <w:rsid w:val="00BC01A6"/>
    <w:rsid w:val="00BC01CF"/>
    <w:rsid w:val="00BC0382"/>
    <w:rsid w:val="00BC0936"/>
    <w:rsid w:val="00BC1148"/>
    <w:rsid w:val="00BC12B3"/>
    <w:rsid w:val="00BC1836"/>
    <w:rsid w:val="00BC1AD1"/>
    <w:rsid w:val="00BC1DE0"/>
    <w:rsid w:val="00BC1F34"/>
    <w:rsid w:val="00BC1FC6"/>
    <w:rsid w:val="00BC20BE"/>
    <w:rsid w:val="00BC23E5"/>
    <w:rsid w:val="00BC2D39"/>
    <w:rsid w:val="00BC3D54"/>
    <w:rsid w:val="00BC428A"/>
    <w:rsid w:val="00BC4393"/>
    <w:rsid w:val="00BC4B73"/>
    <w:rsid w:val="00BC4BD4"/>
    <w:rsid w:val="00BC52A2"/>
    <w:rsid w:val="00BC5A3D"/>
    <w:rsid w:val="00BC5DBA"/>
    <w:rsid w:val="00BC668D"/>
    <w:rsid w:val="00BC67AA"/>
    <w:rsid w:val="00BC6932"/>
    <w:rsid w:val="00BC69D9"/>
    <w:rsid w:val="00BC6A2B"/>
    <w:rsid w:val="00BC7333"/>
    <w:rsid w:val="00BC749C"/>
    <w:rsid w:val="00BC7B59"/>
    <w:rsid w:val="00BC7DD0"/>
    <w:rsid w:val="00BD08E8"/>
    <w:rsid w:val="00BD0C61"/>
    <w:rsid w:val="00BD124D"/>
    <w:rsid w:val="00BD1A88"/>
    <w:rsid w:val="00BD22FD"/>
    <w:rsid w:val="00BD250A"/>
    <w:rsid w:val="00BD287C"/>
    <w:rsid w:val="00BD2A9E"/>
    <w:rsid w:val="00BD2D4E"/>
    <w:rsid w:val="00BD355E"/>
    <w:rsid w:val="00BD358B"/>
    <w:rsid w:val="00BD3BAA"/>
    <w:rsid w:val="00BD3C20"/>
    <w:rsid w:val="00BD3D2C"/>
    <w:rsid w:val="00BD3DA5"/>
    <w:rsid w:val="00BD402C"/>
    <w:rsid w:val="00BD4339"/>
    <w:rsid w:val="00BD4B1F"/>
    <w:rsid w:val="00BD5131"/>
    <w:rsid w:val="00BD5150"/>
    <w:rsid w:val="00BD54D1"/>
    <w:rsid w:val="00BD5958"/>
    <w:rsid w:val="00BD6391"/>
    <w:rsid w:val="00BD65BA"/>
    <w:rsid w:val="00BD6780"/>
    <w:rsid w:val="00BD6A2C"/>
    <w:rsid w:val="00BD73F9"/>
    <w:rsid w:val="00BD7413"/>
    <w:rsid w:val="00BD7865"/>
    <w:rsid w:val="00BD7898"/>
    <w:rsid w:val="00BD7E2C"/>
    <w:rsid w:val="00BE0457"/>
    <w:rsid w:val="00BE0E22"/>
    <w:rsid w:val="00BE12F3"/>
    <w:rsid w:val="00BE138C"/>
    <w:rsid w:val="00BE152B"/>
    <w:rsid w:val="00BE1701"/>
    <w:rsid w:val="00BE1E2B"/>
    <w:rsid w:val="00BE2145"/>
    <w:rsid w:val="00BE2307"/>
    <w:rsid w:val="00BE252A"/>
    <w:rsid w:val="00BE2C37"/>
    <w:rsid w:val="00BE2EA8"/>
    <w:rsid w:val="00BE313E"/>
    <w:rsid w:val="00BE32B2"/>
    <w:rsid w:val="00BE3A7F"/>
    <w:rsid w:val="00BE3B4A"/>
    <w:rsid w:val="00BE3B52"/>
    <w:rsid w:val="00BE3EF0"/>
    <w:rsid w:val="00BE41A5"/>
    <w:rsid w:val="00BE4A65"/>
    <w:rsid w:val="00BE5090"/>
    <w:rsid w:val="00BE5CEC"/>
    <w:rsid w:val="00BE5FE3"/>
    <w:rsid w:val="00BE652B"/>
    <w:rsid w:val="00BE78C7"/>
    <w:rsid w:val="00BE7956"/>
    <w:rsid w:val="00BE7B28"/>
    <w:rsid w:val="00BE7BC7"/>
    <w:rsid w:val="00BE7DF2"/>
    <w:rsid w:val="00BE7E40"/>
    <w:rsid w:val="00BF051B"/>
    <w:rsid w:val="00BF072F"/>
    <w:rsid w:val="00BF09AB"/>
    <w:rsid w:val="00BF0A2F"/>
    <w:rsid w:val="00BF1103"/>
    <w:rsid w:val="00BF13B2"/>
    <w:rsid w:val="00BF20F0"/>
    <w:rsid w:val="00BF2117"/>
    <w:rsid w:val="00BF2268"/>
    <w:rsid w:val="00BF2405"/>
    <w:rsid w:val="00BF24BF"/>
    <w:rsid w:val="00BF303F"/>
    <w:rsid w:val="00BF3240"/>
    <w:rsid w:val="00BF34DF"/>
    <w:rsid w:val="00BF35CE"/>
    <w:rsid w:val="00BF3C9B"/>
    <w:rsid w:val="00BF4C5F"/>
    <w:rsid w:val="00BF54D1"/>
    <w:rsid w:val="00BF5593"/>
    <w:rsid w:val="00BF5804"/>
    <w:rsid w:val="00BF59F1"/>
    <w:rsid w:val="00BF5DB9"/>
    <w:rsid w:val="00BF612E"/>
    <w:rsid w:val="00BF6CE7"/>
    <w:rsid w:val="00BF720E"/>
    <w:rsid w:val="00BF7636"/>
    <w:rsid w:val="00BF79C8"/>
    <w:rsid w:val="00BF7AA7"/>
    <w:rsid w:val="00BF7D0B"/>
    <w:rsid w:val="00C00358"/>
    <w:rsid w:val="00C014F0"/>
    <w:rsid w:val="00C01F09"/>
    <w:rsid w:val="00C02F3B"/>
    <w:rsid w:val="00C03351"/>
    <w:rsid w:val="00C0376E"/>
    <w:rsid w:val="00C0394B"/>
    <w:rsid w:val="00C0398A"/>
    <w:rsid w:val="00C03E20"/>
    <w:rsid w:val="00C042E3"/>
    <w:rsid w:val="00C0440E"/>
    <w:rsid w:val="00C0462F"/>
    <w:rsid w:val="00C05211"/>
    <w:rsid w:val="00C0576F"/>
    <w:rsid w:val="00C05DAE"/>
    <w:rsid w:val="00C05FF1"/>
    <w:rsid w:val="00C068C9"/>
    <w:rsid w:val="00C06B4B"/>
    <w:rsid w:val="00C06F13"/>
    <w:rsid w:val="00C07940"/>
    <w:rsid w:val="00C07A21"/>
    <w:rsid w:val="00C10308"/>
    <w:rsid w:val="00C10828"/>
    <w:rsid w:val="00C11142"/>
    <w:rsid w:val="00C12119"/>
    <w:rsid w:val="00C12330"/>
    <w:rsid w:val="00C12826"/>
    <w:rsid w:val="00C137FF"/>
    <w:rsid w:val="00C139C1"/>
    <w:rsid w:val="00C14739"/>
    <w:rsid w:val="00C151DB"/>
    <w:rsid w:val="00C15299"/>
    <w:rsid w:val="00C15887"/>
    <w:rsid w:val="00C15F9C"/>
    <w:rsid w:val="00C160EB"/>
    <w:rsid w:val="00C16102"/>
    <w:rsid w:val="00C165FF"/>
    <w:rsid w:val="00C16B71"/>
    <w:rsid w:val="00C16F57"/>
    <w:rsid w:val="00C170D5"/>
    <w:rsid w:val="00C173C0"/>
    <w:rsid w:val="00C17839"/>
    <w:rsid w:val="00C17A52"/>
    <w:rsid w:val="00C17BA6"/>
    <w:rsid w:val="00C17C3C"/>
    <w:rsid w:val="00C17F03"/>
    <w:rsid w:val="00C2006C"/>
    <w:rsid w:val="00C20440"/>
    <w:rsid w:val="00C20A70"/>
    <w:rsid w:val="00C20F43"/>
    <w:rsid w:val="00C20F44"/>
    <w:rsid w:val="00C212BA"/>
    <w:rsid w:val="00C219F7"/>
    <w:rsid w:val="00C21D65"/>
    <w:rsid w:val="00C2210C"/>
    <w:rsid w:val="00C22761"/>
    <w:rsid w:val="00C23668"/>
    <w:rsid w:val="00C236CB"/>
    <w:rsid w:val="00C23829"/>
    <w:rsid w:val="00C23974"/>
    <w:rsid w:val="00C239FA"/>
    <w:rsid w:val="00C23E4C"/>
    <w:rsid w:val="00C23F80"/>
    <w:rsid w:val="00C24246"/>
    <w:rsid w:val="00C245C2"/>
    <w:rsid w:val="00C24758"/>
    <w:rsid w:val="00C24ED6"/>
    <w:rsid w:val="00C250C9"/>
    <w:rsid w:val="00C2572C"/>
    <w:rsid w:val="00C25863"/>
    <w:rsid w:val="00C25CDB"/>
    <w:rsid w:val="00C262BB"/>
    <w:rsid w:val="00C266A5"/>
    <w:rsid w:val="00C26847"/>
    <w:rsid w:val="00C26A5D"/>
    <w:rsid w:val="00C26C50"/>
    <w:rsid w:val="00C26C86"/>
    <w:rsid w:val="00C26CC5"/>
    <w:rsid w:val="00C26DCC"/>
    <w:rsid w:val="00C270ED"/>
    <w:rsid w:val="00C27188"/>
    <w:rsid w:val="00C30136"/>
    <w:rsid w:val="00C304BF"/>
    <w:rsid w:val="00C30FB4"/>
    <w:rsid w:val="00C31A9C"/>
    <w:rsid w:val="00C31D44"/>
    <w:rsid w:val="00C32127"/>
    <w:rsid w:val="00C32599"/>
    <w:rsid w:val="00C3259A"/>
    <w:rsid w:val="00C32C02"/>
    <w:rsid w:val="00C33414"/>
    <w:rsid w:val="00C3355D"/>
    <w:rsid w:val="00C338AB"/>
    <w:rsid w:val="00C33F1C"/>
    <w:rsid w:val="00C34029"/>
    <w:rsid w:val="00C34975"/>
    <w:rsid w:val="00C35464"/>
    <w:rsid w:val="00C35473"/>
    <w:rsid w:val="00C354CD"/>
    <w:rsid w:val="00C35675"/>
    <w:rsid w:val="00C356E6"/>
    <w:rsid w:val="00C3578B"/>
    <w:rsid w:val="00C35FDA"/>
    <w:rsid w:val="00C360AA"/>
    <w:rsid w:val="00C36497"/>
    <w:rsid w:val="00C364BD"/>
    <w:rsid w:val="00C37158"/>
    <w:rsid w:val="00C373DD"/>
    <w:rsid w:val="00C376AB"/>
    <w:rsid w:val="00C3770C"/>
    <w:rsid w:val="00C37957"/>
    <w:rsid w:val="00C37E04"/>
    <w:rsid w:val="00C401AC"/>
    <w:rsid w:val="00C401C5"/>
    <w:rsid w:val="00C40613"/>
    <w:rsid w:val="00C4070B"/>
    <w:rsid w:val="00C40FEA"/>
    <w:rsid w:val="00C41021"/>
    <w:rsid w:val="00C414B5"/>
    <w:rsid w:val="00C41624"/>
    <w:rsid w:val="00C41859"/>
    <w:rsid w:val="00C41962"/>
    <w:rsid w:val="00C41AC2"/>
    <w:rsid w:val="00C41C5F"/>
    <w:rsid w:val="00C42135"/>
    <w:rsid w:val="00C4251D"/>
    <w:rsid w:val="00C42690"/>
    <w:rsid w:val="00C428B2"/>
    <w:rsid w:val="00C42A7E"/>
    <w:rsid w:val="00C42AEE"/>
    <w:rsid w:val="00C444E6"/>
    <w:rsid w:val="00C449AC"/>
    <w:rsid w:val="00C44C8F"/>
    <w:rsid w:val="00C4515C"/>
    <w:rsid w:val="00C451D6"/>
    <w:rsid w:val="00C4551D"/>
    <w:rsid w:val="00C45655"/>
    <w:rsid w:val="00C45C45"/>
    <w:rsid w:val="00C45C81"/>
    <w:rsid w:val="00C45E1B"/>
    <w:rsid w:val="00C46905"/>
    <w:rsid w:val="00C46EDD"/>
    <w:rsid w:val="00C47070"/>
    <w:rsid w:val="00C471F3"/>
    <w:rsid w:val="00C4720A"/>
    <w:rsid w:val="00C4724B"/>
    <w:rsid w:val="00C479A1"/>
    <w:rsid w:val="00C47B9F"/>
    <w:rsid w:val="00C47D8C"/>
    <w:rsid w:val="00C506B0"/>
    <w:rsid w:val="00C507CC"/>
    <w:rsid w:val="00C50BDA"/>
    <w:rsid w:val="00C50C40"/>
    <w:rsid w:val="00C50EB9"/>
    <w:rsid w:val="00C512E1"/>
    <w:rsid w:val="00C51B97"/>
    <w:rsid w:val="00C52486"/>
    <w:rsid w:val="00C53124"/>
    <w:rsid w:val="00C531FD"/>
    <w:rsid w:val="00C53BA7"/>
    <w:rsid w:val="00C53F1B"/>
    <w:rsid w:val="00C54B2E"/>
    <w:rsid w:val="00C54BAB"/>
    <w:rsid w:val="00C555EA"/>
    <w:rsid w:val="00C5581F"/>
    <w:rsid w:val="00C55A51"/>
    <w:rsid w:val="00C56428"/>
    <w:rsid w:val="00C56461"/>
    <w:rsid w:val="00C56CAD"/>
    <w:rsid w:val="00C57651"/>
    <w:rsid w:val="00C576AA"/>
    <w:rsid w:val="00C578BE"/>
    <w:rsid w:val="00C57C1F"/>
    <w:rsid w:val="00C57F0F"/>
    <w:rsid w:val="00C60839"/>
    <w:rsid w:val="00C60E0C"/>
    <w:rsid w:val="00C61061"/>
    <w:rsid w:val="00C611A7"/>
    <w:rsid w:val="00C61B99"/>
    <w:rsid w:val="00C61D39"/>
    <w:rsid w:val="00C61E63"/>
    <w:rsid w:val="00C62358"/>
    <w:rsid w:val="00C62C0F"/>
    <w:rsid w:val="00C63216"/>
    <w:rsid w:val="00C63694"/>
    <w:rsid w:val="00C63AC9"/>
    <w:rsid w:val="00C648EC"/>
    <w:rsid w:val="00C64940"/>
    <w:rsid w:val="00C64A10"/>
    <w:rsid w:val="00C64C6E"/>
    <w:rsid w:val="00C650D9"/>
    <w:rsid w:val="00C651A0"/>
    <w:rsid w:val="00C65584"/>
    <w:rsid w:val="00C657D7"/>
    <w:rsid w:val="00C6663F"/>
    <w:rsid w:val="00C668E3"/>
    <w:rsid w:val="00C66DF2"/>
    <w:rsid w:val="00C66FC3"/>
    <w:rsid w:val="00C6707C"/>
    <w:rsid w:val="00C67886"/>
    <w:rsid w:val="00C67CBE"/>
    <w:rsid w:val="00C67D6B"/>
    <w:rsid w:val="00C70672"/>
    <w:rsid w:val="00C70857"/>
    <w:rsid w:val="00C708F1"/>
    <w:rsid w:val="00C70C1F"/>
    <w:rsid w:val="00C70D29"/>
    <w:rsid w:val="00C70D3B"/>
    <w:rsid w:val="00C70F94"/>
    <w:rsid w:val="00C71346"/>
    <w:rsid w:val="00C7169E"/>
    <w:rsid w:val="00C717FB"/>
    <w:rsid w:val="00C71E30"/>
    <w:rsid w:val="00C7204B"/>
    <w:rsid w:val="00C72256"/>
    <w:rsid w:val="00C722B0"/>
    <w:rsid w:val="00C723BF"/>
    <w:rsid w:val="00C72468"/>
    <w:rsid w:val="00C7269E"/>
    <w:rsid w:val="00C72AAE"/>
    <w:rsid w:val="00C72B62"/>
    <w:rsid w:val="00C72F86"/>
    <w:rsid w:val="00C73441"/>
    <w:rsid w:val="00C736EC"/>
    <w:rsid w:val="00C73B54"/>
    <w:rsid w:val="00C73CC3"/>
    <w:rsid w:val="00C73D00"/>
    <w:rsid w:val="00C746F4"/>
    <w:rsid w:val="00C7477E"/>
    <w:rsid w:val="00C7491F"/>
    <w:rsid w:val="00C74C6E"/>
    <w:rsid w:val="00C7557C"/>
    <w:rsid w:val="00C75E61"/>
    <w:rsid w:val="00C75F76"/>
    <w:rsid w:val="00C75FB2"/>
    <w:rsid w:val="00C760A2"/>
    <w:rsid w:val="00C76A1D"/>
    <w:rsid w:val="00C76DBA"/>
    <w:rsid w:val="00C76EE2"/>
    <w:rsid w:val="00C7738D"/>
    <w:rsid w:val="00C77857"/>
    <w:rsid w:val="00C80B3E"/>
    <w:rsid w:val="00C80C67"/>
    <w:rsid w:val="00C80C7E"/>
    <w:rsid w:val="00C80E54"/>
    <w:rsid w:val="00C81D21"/>
    <w:rsid w:val="00C81F8B"/>
    <w:rsid w:val="00C82734"/>
    <w:rsid w:val="00C82C81"/>
    <w:rsid w:val="00C82E1C"/>
    <w:rsid w:val="00C83038"/>
    <w:rsid w:val="00C83589"/>
    <w:rsid w:val="00C83744"/>
    <w:rsid w:val="00C83994"/>
    <w:rsid w:val="00C83BC4"/>
    <w:rsid w:val="00C8463A"/>
    <w:rsid w:val="00C851D8"/>
    <w:rsid w:val="00C85D0F"/>
    <w:rsid w:val="00C85EF1"/>
    <w:rsid w:val="00C86326"/>
    <w:rsid w:val="00C867F8"/>
    <w:rsid w:val="00C86BE4"/>
    <w:rsid w:val="00C86F2B"/>
    <w:rsid w:val="00C87767"/>
    <w:rsid w:val="00C87A7A"/>
    <w:rsid w:val="00C87F3D"/>
    <w:rsid w:val="00C90252"/>
    <w:rsid w:val="00C902FA"/>
    <w:rsid w:val="00C917C5"/>
    <w:rsid w:val="00C91BB9"/>
    <w:rsid w:val="00C928CA"/>
    <w:rsid w:val="00C92A5B"/>
    <w:rsid w:val="00C92A72"/>
    <w:rsid w:val="00C93B02"/>
    <w:rsid w:val="00C94BC6"/>
    <w:rsid w:val="00C94E86"/>
    <w:rsid w:val="00C9560A"/>
    <w:rsid w:val="00C957F6"/>
    <w:rsid w:val="00C95818"/>
    <w:rsid w:val="00C95CC7"/>
    <w:rsid w:val="00C95D21"/>
    <w:rsid w:val="00C96385"/>
    <w:rsid w:val="00C96870"/>
    <w:rsid w:val="00C96B13"/>
    <w:rsid w:val="00C97252"/>
    <w:rsid w:val="00C9729A"/>
    <w:rsid w:val="00C9731C"/>
    <w:rsid w:val="00C973AB"/>
    <w:rsid w:val="00C97416"/>
    <w:rsid w:val="00C975EB"/>
    <w:rsid w:val="00C9780D"/>
    <w:rsid w:val="00C9788C"/>
    <w:rsid w:val="00C978CF"/>
    <w:rsid w:val="00C97EFA"/>
    <w:rsid w:val="00CA0791"/>
    <w:rsid w:val="00CA0850"/>
    <w:rsid w:val="00CA0A44"/>
    <w:rsid w:val="00CA0BF6"/>
    <w:rsid w:val="00CA12AD"/>
    <w:rsid w:val="00CA14CA"/>
    <w:rsid w:val="00CA1AEE"/>
    <w:rsid w:val="00CA1D67"/>
    <w:rsid w:val="00CA20B3"/>
    <w:rsid w:val="00CA2D44"/>
    <w:rsid w:val="00CA44CB"/>
    <w:rsid w:val="00CA4E2C"/>
    <w:rsid w:val="00CA4E64"/>
    <w:rsid w:val="00CA5894"/>
    <w:rsid w:val="00CA5E80"/>
    <w:rsid w:val="00CA65AA"/>
    <w:rsid w:val="00CA66E6"/>
    <w:rsid w:val="00CA6878"/>
    <w:rsid w:val="00CA6C5D"/>
    <w:rsid w:val="00CA736A"/>
    <w:rsid w:val="00CA7701"/>
    <w:rsid w:val="00CA770C"/>
    <w:rsid w:val="00CB0128"/>
    <w:rsid w:val="00CB0CB5"/>
    <w:rsid w:val="00CB0F44"/>
    <w:rsid w:val="00CB173F"/>
    <w:rsid w:val="00CB1823"/>
    <w:rsid w:val="00CB1C73"/>
    <w:rsid w:val="00CB1EF1"/>
    <w:rsid w:val="00CB225E"/>
    <w:rsid w:val="00CB2776"/>
    <w:rsid w:val="00CB313F"/>
    <w:rsid w:val="00CB34F3"/>
    <w:rsid w:val="00CB3EA4"/>
    <w:rsid w:val="00CB4BBD"/>
    <w:rsid w:val="00CB4D9C"/>
    <w:rsid w:val="00CB4F0A"/>
    <w:rsid w:val="00CB52EA"/>
    <w:rsid w:val="00CB5348"/>
    <w:rsid w:val="00CB5690"/>
    <w:rsid w:val="00CB56DE"/>
    <w:rsid w:val="00CB5A99"/>
    <w:rsid w:val="00CB5B0E"/>
    <w:rsid w:val="00CB5D0C"/>
    <w:rsid w:val="00CB60AE"/>
    <w:rsid w:val="00CB6214"/>
    <w:rsid w:val="00CB62CB"/>
    <w:rsid w:val="00CB6757"/>
    <w:rsid w:val="00CB6D8A"/>
    <w:rsid w:val="00CB75C1"/>
    <w:rsid w:val="00CC0289"/>
    <w:rsid w:val="00CC08AE"/>
    <w:rsid w:val="00CC0CB9"/>
    <w:rsid w:val="00CC1A61"/>
    <w:rsid w:val="00CC1CB9"/>
    <w:rsid w:val="00CC1CEE"/>
    <w:rsid w:val="00CC21DA"/>
    <w:rsid w:val="00CC2D08"/>
    <w:rsid w:val="00CC32ED"/>
    <w:rsid w:val="00CC3C1A"/>
    <w:rsid w:val="00CC4A6C"/>
    <w:rsid w:val="00CC5174"/>
    <w:rsid w:val="00CC5253"/>
    <w:rsid w:val="00CC545A"/>
    <w:rsid w:val="00CC5518"/>
    <w:rsid w:val="00CC57CE"/>
    <w:rsid w:val="00CC5A8F"/>
    <w:rsid w:val="00CC5ACF"/>
    <w:rsid w:val="00CC5C32"/>
    <w:rsid w:val="00CC6B0C"/>
    <w:rsid w:val="00CC6BBC"/>
    <w:rsid w:val="00CC6C90"/>
    <w:rsid w:val="00CC7331"/>
    <w:rsid w:val="00CC7447"/>
    <w:rsid w:val="00CC7FA1"/>
    <w:rsid w:val="00CD02F0"/>
    <w:rsid w:val="00CD037F"/>
    <w:rsid w:val="00CD04E5"/>
    <w:rsid w:val="00CD0998"/>
    <w:rsid w:val="00CD0C5E"/>
    <w:rsid w:val="00CD0F12"/>
    <w:rsid w:val="00CD109B"/>
    <w:rsid w:val="00CD10B3"/>
    <w:rsid w:val="00CD1222"/>
    <w:rsid w:val="00CD1268"/>
    <w:rsid w:val="00CD161C"/>
    <w:rsid w:val="00CD16E5"/>
    <w:rsid w:val="00CD26FC"/>
    <w:rsid w:val="00CD28B9"/>
    <w:rsid w:val="00CD29B2"/>
    <w:rsid w:val="00CD2CA0"/>
    <w:rsid w:val="00CD3163"/>
    <w:rsid w:val="00CD329B"/>
    <w:rsid w:val="00CD33F8"/>
    <w:rsid w:val="00CD3538"/>
    <w:rsid w:val="00CD36BE"/>
    <w:rsid w:val="00CD39A3"/>
    <w:rsid w:val="00CD450B"/>
    <w:rsid w:val="00CD48A5"/>
    <w:rsid w:val="00CD4BFC"/>
    <w:rsid w:val="00CD54A0"/>
    <w:rsid w:val="00CD60AE"/>
    <w:rsid w:val="00CD61CD"/>
    <w:rsid w:val="00CD6414"/>
    <w:rsid w:val="00CD6B9D"/>
    <w:rsid w:val="00CD7098"/>
    <w:rsid w:val="00CD70C7"/>
    <w:rsid w:val="00CD7612"/>
    <w:rsid w:val="00CD76DA"/>
    <w:rsid w:val="00CD79FC"/>
    <w:rsid w:val="00CD7F42"/>
    <w:rsid w:val="00CE0FBF"/>
    <w:rsid w:val="00CE1063"/>
    <w:rsid w:val="00CE112C"/>
    <w:rsid w:val="00CE13A1"/>
    <w:rsid w:val="00CE1425"/>
    <w:rsid w:val="00CE1692"/>
    <w:rsid w:val="00CE179F"/>
    <w:rsid w:val="00CE1A34"/>
    <w:rsid w:val="00CE1E30"/>
    <w:rsid w:val="00CE2463"/>
    <w:rsid w:val="00CE2D4E"/>
    <w:rsid w:val="00CE33FA"/>
    <w:rsid w:val="00CE3AD8"/>
    <w:rsid w:val="00CE4316"/>
    <w:rsid w:val="00CE43E2"/>
    <w:rsid w:val="00CE5192"/>
    <w:rsid w:val="00CE551A"/>
    <w:rsid w:val="00CE5613"/>
    <w:rsid w:val="00CE56D7"/>
    <w:rsid w:val="00CE592F"/>
    <w:rsid w:val="00CE5A24"/>
    <w:rsid w:val="00CE5E1C"/>
    <w:rsid w:val="00CE5E60"/>
    <w:rsid w:val="00CE6C7F"/>
    <w:rsid w:val="00CE6D13"/>
    <w:rsid w:val="00CE6E23"/>
    <w:rsid w:val="00CE703A"/>
    <w:rsid w:val="00CE7345"/>
    <w:rsid w:val="00CE792E"/>
    <w:rsid w:val="00CE79D7"/>
    <w:rsid w:val="00CE7BB1"/>
    <w:rsid w:val="00CE7CC9"/>
    <w:rsid w:val="00CF03EC"/>
    <w:rsid w:val="00CF080B"/>
    <w:rsid w:val="00CF0A36"/>
    <w:rsid w:val="00CF0D99"/>
    <w:rsid w:val="00CF1AFB"/>
    <w:rsid w:val="00CF1D93"/>
    <w:rsid w:val="00CF22D3"/>
    <w:rsid w:val="00CF237B"/>
    <w:rsid w:val="00CF2B77"/>
    <w:rsid w:val="00CF2EE3"/>
    <w:rsid w:val="00CF3289"/>
    <w:rsid w:val="00CF3488"/>
    <w:rsid w:val="00CF36DC"/>
    <w:rsid w:val="00CF3D6A"/>
    <w:rsid w:val="00CF3DA5"/>
    <w:rsid w:val="00CF48DB"/>
    <w:rsid w:val="00CF4D99"/>
    <w:rsid w:val="00CF5223"/>
    <w:rsid w:val="00CF5496"/>
    <w:rsid w:val="00CF597E"/>
    <w:rsid w:val="00CF5994"/>
    <w:rsid w:val="00CF5F03"/>
    <w:rsid w:val="00CF74D9"/>
    <w:rsid w:val="00CF7A0A"/>
    <w:rsid w:val="00CF7F31"/>
    <w:rsid w:val="00CF7F83"/>
    <w:rsid w:val="00D000CC"/>
    <w:rsid w:val="00D002FB"/>
    <w:rsid w:val="00D00302"/>
    <w:rsid w:val="00D00380"/>
    <w:rsid w:val="00D00418"/>
    <w:rsid w:val="00D00658"/>
    <w:rsid w:val="00D00A5A"/>
    <w:rsid w:val="00D00D7C"/>
    <w:rsid w:val="00D00E66"/>
    <w:rsid w:val="00D00FE2"/>
    <w:rsid w:val="00D01D37"/>
    <w:rsid w:val="00D01ECD"/>
    <w:rsid w:val="00D0274B"/>
    <w:rsid w:val="00D030F7"/>
    <w:rsid w:val="00D037F5"/>
    <w:rsid w:val="00D04155"/>
    <w:rsid w:val="00D0462C"/>
    <w:rsid w:val="00D05398"/>
    <w:rsid w:val="00D057BA"/>
    <w:rsid w:val="00D05C35"/>
    <w:rsid w:val="00D05CEC"/>
    <w:rsid w:val="00D06601"/>
    <w:rsid w:val="00D067AF"/>
    <w:rsid w:val="00D06AEA"/>
    <w:rsid w:val="00D06B3C"/>
    <w:rsid w:val="00D06D1F"/>
    <w:rsid w:val="00D0717B"/>
    <w:rsid w:val="00D0757F"/>
    <w:rsid w:val="00D07E67"/>
    <w:rsid w:val="00D10929"/>
    <w:rsid w:val="00D10A28"/>
    <w:rsid w:val="00D11A46"/>
    <w:rsid w:val="00D12718"/>
    <w:rsid w:val="00D1295B"/>
    <w:rsid w:val="00D12B84"/>
    <w:rsid w:val="00D12CDB"/>
    <w:rsid w:val="00D12E06"/>
    <w:rsid w:val="00D12E16"/>
    <w:rsid w:val="00D13023"/>
    <w:rsid w:val="00D1303E"/>
    <w:rsid w:val="00D13526"/>
    <w:rsid w:val="00D13601"/>
    <w:rsid w:val="00D136C9"/>
    <w:rsid w:val="00D13A4C"/>
    <w:rsid w:val="00D14367"/>
    <w:rsid w:val="00D144D3"/>
    <w:rsid w:val="00D1451F"/>
    <w:rsid w:val="00D14DDD"/>
    <w:rsid w:val="00D14E80"/>
    <w:rsid w:val="00D1547F"/>
    <w:rsid w:val="00D1669B"/>
    <w:rsid w:val="00D167D4"/>
    <w:rsid w:val="00D16EA7"/>
    <w:rsid w:val="00D178C5"/>
    <w:rsid w:val="00D178CF"/>
    <w:rsid w:val="00D179DD"/>
    <w:rsid w:val="00D17BC1"/>
    <w:rsid w:val="00D17E8F"/>
    <w:rsid w:val="00D17F04"/>
    <w:rsid w:val="00D20328"/>
    <w:rsid w:val="00D203D5"/>
    <w:rsid w:val="00D207F6"/>
    <w:rsid w:val="00D225B4"/>
    <w:rsid w:val="00D226DD"/>
    <w:rsid w:val="00D2271C"/>
    <w:rsid w:val="00D22A18"/>
    <w:rsid w:val="00D22A3F"/>
    <w:rsid w:val="00D22F19"/>
    <w:rsid w:val="00D235BA"/>
    <w:rsid w:val="00D236DB"/>
    <w:rsid w:val="00D23ED6"/>
    <w:rsid w:val="00D240E0"/>
    <w:rsid w:val="00D2449C"/>
    <w:rsid w:val="00D2469E"/>
    <w:rsid w:val="00D2472A"/>
    <w:rsid w:val="00D247C9"/>
    <w:rsid w:val="00D248C4"/>
    <w:rsid w:val="00D249CD"/>
    <w:rsid w:val="00D24C1C"/>
    <w:rsid w:val="00D25093"/>
    <w:rsid w:val="00D25148"/>
    <w:rsid w:val="00D251BA"/>
    <w:rsid w:val="00D252E4"/>
    <w:rsid w:val="00D253B4"/>
    <w:rsid w:val="00D25677"/>
    <w:rsid w:val="00D2568A"/>
    <w:rsid w:val="00D25C18"/>
    <w:rsid w:val="00D25FF6"/>
    <w:rsid w:val="00D263DA"/>
    <w:rsid w:val="00D26B67"/>
    <w:rsid w:val="00D26D5C"/>
    <w:rsid w:val="00D27377"/>
    <w:rsid w:val="00D2766E"/>
    <w:rsid w:val="00D27E6E"/>
    <w:rsid w:val="00D2DF08"/>
    <w:rsid w:val="00D3011C"/>
    <w:rsid w:val="00D3039B"/>
    <w:rsid w:val="00D30755"/>
    <w:rsid w:val="00D30C1B"/>
    <w:rsid w:val="00D314C7"/>
    <w:rsid w:val="00D31501"/>
    <w:rsid w:val="00D317CB"/>
    <w:rsid w:val="00D319E0"/>
    <w:rsid w:val="00D31E2A"/>
    <w:rsid w:val="00D32283"/>
    <w:rsid w:val="00D3254F"/>
    <w:rsid w:val="00D3263B"/>
    <w:rsid w:val="00D32D35"/>
    <w:rsid w:val="00D32D69"/>
    <w:rsid w:val="00D3328A"/>
    <w:rsid w:val="00D3367D"/>
    <w:rsid w:val="00D3385B"/>
    <w:rsid w:val="00D34174"/>
    <w:rsid w:val="00D35360"/>
    <w:rsid w:val="00D354F7"/>
    <w:rsid w:val="00D35984"/>
    <w:rsid w:val="00D35BF4"/>
    <w:rsid w:val="00D367AD"/>
    <w:rsid w:val="00D3726A"/>
    <w:rsid w:val="00D37B5C"/>
    <w:rsid w:val="00D37C3C"/>
    <w:rsid w:val="00D37F74"/>
    <w:rsid w:val="00D40668"/>
    <w:rsid w:val="00D40811"/>
    <w:rsid w:val="00D40874"/>
    <w:rsid w:val="00D40A72"/>
    <w:rsid w:val="00D40C49"/>
    <w:rsid w:val="00D41CF5"/>
    <w:rsid w:val="00D41DA7"/>
    <w:rsid w:val="00D41F4F"/>
    <w:rsid w:val="00D41FB4"/>
    <w:rsid w:val="00D42986"/>
    <w:rsid w:val="00D42CEC"/>
    <w:rsid w:val="00D434DD"/>
    <w:rsid w:val="00D43AE6"/>
    <w:rsid w:val="00D4471A"/>
    <w:rsid w:val="00D4485F"/>
    <w:rsid w:val="00D44C6D"/>
    <w:rsid w:val="00D44D76"/>
    <w:rsid w:val="00D44F7F"/>
    <w:rsid w:val="00D45995"/>
    <w:rsid w:val="00D45F55"/>
    <w:rsid w:val="00D466ED"/>
    <w:rsid w:val="00D467F8"/>
    <w:rsid w:val="00D46CEB"/>
    <w:rsid w:val="00D46D59"/>
    <w:rsid w:val="00D470C3"/>
    <w:rsid w:val="00D47A24"/>
    <w:rsid w:val="00D47B8C"/>
    <w:rsid w:val="00D50AA8"/>
    <w:rsid w:val="00D51051"/>
    <w:rsid w:val="00D513AE"/>
    <w:rsid w:val="00D5185B"/>
    <w:rsid w:val="00D51D75"/>
    <w:rsid w:val="00D520A6"/>
    <w:rsid w:val="00D521CA"/>
    <w:rsid w:val="00D52878"/>
    <w:rsid w:val="00D52967"/>
    <w:rsid w:val="00D529FA"/>
    <w:rsid w:val="00D52B23"/>
    <w:rsid w:val="00D53A97"/>
    <w:rsid w:val="00D53AFB"/>
    <w:rsid w:val="00D53CD2"/>
    <w:rsid w:val="00D53F71"/>
    <w:rsid w:val="00D541FB"/>
    <w:rsid w:val="00D54565"/>
    <w:rsid w:val="00D54669"/>
    <w:rsid w:val="00D54A76"/>
    <w:rsid w:val="00D5542E"/>
    <w:rsid w:val="00D556CB"/>
    <w:rsid w:val="00D55828"/>
    <w:rsid w:val="00D55BA7"/>
    <w:rsid w:val="00D55C88"/>
    <w:rsid w:val="00D55D8F"/>
    <w:rsid w:val="00D56343"/>
    <w:rsid w:val="00D5656C"/>
    <w:rsid w:val="00D5707C"/>
    <w:rsid w:val="00D579DA"/>
    <w:rsid w:val="00D57B36"/>
    <w:rsid w:val="00D57EC9"/>
    <w:rsid w:val="00D6153E"/>
    <w:rsid w:val="00D61631"/>
    <w:rsid w:val="00D61DD6"/>
    <w:rsid w:val="00D620FA"/>
    <w:rsid w:val="00D63242"/>
    <w:rsid w:val="00D6354C"/>
    <w:rsid w:val="00D63BC0"/>
    <w:rsid w:val="00D63BFD"/>
    <w:rsid w:val="00D63F8E"/>
    <w:rsid w:val="00D643A3"/>
    <w:rsid w:val="00D64BA0"/>
    <w:rsid w:val="00D6582D"/>
    <w:rsid w:val="00D65BE3"/>
    <w:rsid w:val="00D65CEA"/>
    <w:rsid w:val="00D66426"/>
    <w:rsid w:val="00D66BCE"/>
    <w:rsid w:val="00D66C01"/>
    <w:rsid w:val="00D67504"/>
    <w:rsid w:val="00D67B48"/>
    <w:rsid w:val="00D67BCA"/>
    <w:rsid w:val="00D6BD35"/>
    <w:rsid w:val="00D7022A"/>
    <w:rsid w:val="00D7080C"/>
    <w:rsid w:val="00D70BA8"/>
    <w:rsid w:val="00D70C75"/>
    <w:rsid w:val="00D71114"/>
    <w:rsid w:val="00D718D4"/>
    <w:rsid w:val="00D71A8D"/>
    <w:rsid w:val="00D71F88"/>
    <w:rsid w:val="00D72129"/>
    <w:rsid w:val="00D722CA"/>
    <w:rsid w:val="00D72A88"/>
    <w:rsid w:val="00D72D9A"/>
    <w:rsid w:val="00D72EE9"/>
    <w:rsid w:val="00D734D1"/>
    <w:rsid w:val="00D73CB3"/>
    <w:rsid w:val="00D73FEA"/>
    <w:rsid w:val="00D7426D"/>
    <w:rsid w:val="00D7496C"/>
    <w:rsid w:val="00D74B5C"/>
    <w:rsid w:val="00D74BD2"/>
    <w:rsid w:val="00D751FF"/>
    <w:rsid w:val="00D756A3"/>
    <w:rsid w:val="00D758BB"/>
    <w:rsid w:val="00D75BA3"/>
    <w:rsid w:val="00D76151"/>
    <w:rsid w:val="00D7653C"/>
    <w:rsid w:val="00D7698D"/>
    <w:rsid w:val="00D77197"/>
    <w:rsid w:val="00D7742F"/>
    <w:rsid w:val="00D77602"/>
    <w:rsid w:val="00D77A60"/>
    <w:rsid w:val="00D77DE9"/>
    <w:rsid w:val="00D808F2"/>
    <w:rsid w:val="00D814B0"/>
    <w:rsid w:val="00D82268"/>
    <w:rsid w:val="00D823E0"/>
    <w:rsid w:val="00D82841"/>
    <w:rsid w:val="00D82856"/>
    <w:rsid w:val="00D82AD2"/>
    <w:rsid w:val="00D84B48"/>
    <w:rsid w:val="00D84DAD"/>
    <w:rsid w:val="00D850F3"/>
    <w:rsid w:val="00D8537F"/>
    <w:rsid w:val="00D85463"/>
    <w:rsid w:val="00D8552F"/>
    <w:rsid w:val="00D85572"/>
    <w:rsid w:val="00D86159"/>
    <w:rsid w:val="00D86AC6"/>
    <w:rsid w:val="00D86DEC"/>
    <w:rsid w:val="00D876A8"/>
    <w:rsid w:val="00D87810"/>
    <w:rsid w:val="00D90657"/>
    <w:rsid w:val="00D906CC"/>
    <w:rsid w:val="00D90955"/>
    <w:rsid w:val="00D90BD7"/>
    <w:rsid w:val="00D91370"/>
    <w:rsid w:val="00D919B2"/>
    <w:rsid w:val="00D91F13"/>
    <w:rsid w:val="00D91F66"/>
    <w:rsid w:val="00D93138"/>
    <w:rsid w:val="00D936B3"/>
    <w:rsid w:val="00D936E3"/>
    <w:rsid w:val="00D939A2"/>
    <w:rsid w:val="00D93DFA"/>
    <w:rsid w:val="00D93E50"/>
    <w:rsid w:val="00D9402A"/>
    <w:rsid w:val="00D94302"/>
    <w:rsid w:val="00D94757"/>
    <w:rsid w:val="00D94D74"/>
    <w:rsid w:val="00D94FE8"/>
    <w:rsid w:val="00D95098"/>
    <w:rsid w:val="00D95225"/>
    <w:rsid w:val="00D95796"/>
    <w:rsid w:val="00D95C31"/>
    <w:rsid w:val="00D95D61"/>
    <w:rsid w:val="00D95E3E"/>
    <w:rsid w:val="00D9600C"/>
    <w:rsid w:val="00D9607A"/>
    <w:rsid w:val="00D96680"/>
    <w:rsid w:val="00D97268"/>
    <w:rsid w:val="00D9754B"/>
    <w:rsid w:val="00D97552"/>
    <w:rsid w:val="00D9768B"/>
    <w:rsid w:val="00D97C70"/>
    <w:rsid w:val="00D97FE3"/>
    <w:rsid w:val="00DA0187"/>
    <w:rsid w:val="00DA0E91"/>
    <w:rsid w:val="00DA0FAD"/>
    <w:rsid w:val="00DA137C"/>
    <w:rsid w:val="00DA1868"/>
    <w:rsid w:val="00DA1B25"/>
    <w:rsid w:val="00DA1B53"/>
    <w:rsid w:val="00DA1B60"/>
    <w:rsid w:val="00DA1D39"/>
    <w:rsid w:val="00DA2386"/>
    <w:rsid w:val="00DA2544"/>
    <w:rsid w:val="00DA254E"/>
    <w:rsid w:val="00DA26DE"/>
    <w:rsid w:val="00DA297B"/>
    <w:rsid w:val="00DA348A"/>
    <w:rsid w:val="00DA361A"/>
    <w:rsid w:val="00DA39D0"/>
    <w:rsid w:val="00DA401C"/>
    <w:rsid w:val="00DA465B"/>
    <w:rsid w:val="00DA50F2"/>
    <w:rsid w:val="00DA5411"/>
    <w:rsid w:val="00DA556C"/>
    <w:rsid w:val="00DA59E2"/>
    <w:rsid w:val="00DA5AC7"/>
    <w:rsid w:val="00DA626E"/>
    <w:rsid w:val="00DA6707"/>
    <w:rsid w:val="00DA67C5"/>
    <w:rsid w:val="00DA6F2A"/>
    <w:rsid w:val="00DA70E6"/>
    <w:rsid w:val="00DA73FE"/>
    <w:rsid w:val="00DB05C6"/>
    <w:rsid w:val="00DB08E7"/>
    <w:rsid w:val="00DB10AA"/>
    <w:rsid w:val="00DB1830"/>
    <w:rsid w:val="00DB184D"/>
    <w:rsid w:val="00DB18F5"/>
    <w:rsid w:val="00DB19FE"/>
    <w:rsid w:val="00DB1E7B"/>
    <w:rsid w:val="00DB29D2"/>
    <w:rsid w:val="00DB2A7D"/>
    <w:rsid w:val="00DB33D9"/>
    <w:rsid w:val="00DB3A0D"/>
    <w:rsid w:val="00DB4527"/>
    <w:rsid w:val="00DB4599"/>
    <w:rsid w:val="00DB4641"/>
    <w:rsid w:val="00DB46D0"/>
    <w:rsid w:val="00DB505B"/>
    <w:rsid w:val="00DB5108"/>
    <w:rsid w:val="00DB5265"/>
    <w:rsid w:val="00DB54A2"/>
    <w:rsid w:val="00DB58FA"/>
    <w:rsid w:val="00DB5DB9"/>
    <w:rsid w:val="00DB5E74"/>
    <w:rsid w:val="00DB68E6"/>
    <w:rsid w:val="00DB6D54"/>
    <w:rsid w:val="00DB6E4D"/>
    <w:rsid w:val="00DB711C"/>
    <w:rsid w:val="00DB71EA"/>
    <w:rsid w:val="00DB72C9"/>
    <w:rsid w:val="00DB7407"/>
    <w:rsid w:val="00DB7546"/>
    <w:rsid w:val="00DB7A89"/>
    <w:rsid w:val="00DB7DEA"/>
    <w:rsid w:val="00DB7E4F"/>
    <w:rsid w:val="00DC009E"/>
    <w:rsid w:val="00DC0575"/>
    <w:rsid w:val="00DC0C4B"/>
    <w:rsid w:val="00DC14F9"/>
    <w:rsid w:val="00DC1FD0"/>
    <w:rsid w:val="00DC212C"/>
    <w:rsid w:val="00DC2141"/>
    <w:rsid w:val="00DC258E"/>
    <w:rsid w:val="00DC2959"/>
    <w:rsid w:val="00DC2DA9"/>
    <w:rsid w:val="00DC3280"/>
    <w:rsid w:val="00DC3C19"/>
    <w:rsid w:val="00DC3C6A"/>
    <w:rsid w:val="00DC3DCB"/>
    <w:rsid w:val="00DC3F01"/>
    <w:rsid w:val="00DC415F"/>
    <w:rsid w:val="00DC42D5"/>
    <w:rsid w:val="00DC43AB"/>
    <w:rsid w:val="00DC5383"/>
    <w:rsid w:val="00DC552C"/>
    <w:rsid w:val="00DC5548"/>
    <w:rsid w:val="00DC688F"/>
    <w:rsid w:val="00DC7061"/>
    <w:rsid w:val="00DC79E6"/>
    <w:rsid w:val="00DC971B"/>
    <w:rsid w:val="00DD04DA"/>
    <w:rsid w:val="00DD0EE0"/>
    <w:rsid w:val="00DD1B0A"/>
    <w:rsid w:val="00DD246B"/>
    <w:rsid w:val="00DD2BD1"/>
    <w:rsid w:val="00DD2DAB"/>
    <w:rsid w:val="00DD30BD"/>
    <w:rsid w:val="00DD3BEA"/>
    <w:rsid w:val="00DD3BF9"/>
    <w:rsid w:val="00DD4065"/>
    <w:rsid w:val="00DD48CF"/>
    <w:rsid w:val="00DD4B2E"/>
    <w:rsid w:val="00DD4C5A"/>
    <w:rsid w:val="00DD51DC"/>
    <w:rsid w:val="00DD539F"/>
    <w:rsid w:val="00DD5632"/>
    <w:rsid w:val="00DD5694"/>
    <w:rsid w:val="00DD56E4"/>
    <w:rsid w:val="00DD59AC"/>
    <w:rsid w:val="00DD5F7A"/>
    <w:rsid w:val="00DD6D76"/>
    <w:rsid w:val="00DD6FE0"/>
    <w:rsid w:val="00DD71E9"/>
    <w:rsid w:val="00DD7CCF"/>
    <w:rsid w:val="00DE039F"/>
    <w:rsid w:val="00DE0949"/>
    <w:rsid w:val="00DE0A31"/>
    <w:rsid w:val="00DE0CE0"/>
    <w:rsid w:val="00DE151C"/>
    <w:rsid w:val="00DE1988"/>
    <w:rsid w:val="00DE1DE9"/>
    <w:rsid w:val="00DE25FA"/>
    <w:rsid w:val="00DE28D1"/>
    <w:rsid w:val="00DE2C1B"/>
    <w:rsid w:val="00DE2F48"/>
    <w:rsid w:val="00DE3089"/>
    <w:rsid w:val="00DE37F7"/>
    <w:rsid w:val="00DE405A"/>
    <w:rsid w:val="00DE4D42"/>
    <w:rsid w:val="00DE4D90"/>
    <w:rsid w:val="00DE4E32"/>
    <w:rsid w:val="00DE537C"/>
    <w:rsid w:val="00DE54AA"/>
    <w:rsid w:val="00DE59EA"/>
    <w:rsid w:val="00DE5A6D"/>
    <w:rsid w:val="00DE68DA"/>
    <w:rsid w:val="00DE6A0E"/>
    <w:rsid w:val="00DE6F8E"/>
    <w:rsid w:val="00DE6FC6"/>
    <w:rsid w:val="00DE71F2"/>
    <w:rsid w:val="00DE797E"/>
    <w:rsid w:val="00DE7A01"/>
    <w:rsid w:val="00DE7C51"/>
    <w:rsid w:val="00DF0297"/>
    <w:rsid w:val="00DF0753"/>
    <w:rsid w:val="00DF08C4"/>
    <w:rsid w:val="00DF0CE1"/>
    <w:rsid w:val="00DF0D85"/>
    <w:rsid w:val="00DF0D9D"/>
    <w:rsid w:val="00DF1409"/>
    <w:rsid w:val="00DF15B8"/>
    <w:rsid w:val="00DF2735"/>
    <w:rsid w:val="00DF2A85"/>
    <w:rsid w:val="00DF3073"/>
    <w:rsid w:val="00DF334B"/>
    <w:rsid w:val="00DF39C1"/>
    <w:rsid w:val="00DF3BA2"/>
    <w:rsid w:val="00DF3D7F"/>
    <w:rsid w:val="00DF4460"/>
    <w:rsid w:val="00DF48DB"/>
    <w:rsid w:val="00DF4B83"/>
    <w:rsid w:val="00DF4DCB"/>
    <w:rsid w:val="00DF56B6"/>
    <w:rsid w:val="00DF5EA3"/>
    <w:rsid w:val="00DF61F2"/>
    <w:rsid w:val="00DF6244"/>
    <w:rsid w:val="00DF6681"/>
    <w:rsid w:val="00DF6C93"/>
    <w:rsid w:val="00DF6FDE"/>
    <w:rsid w:val="00DF7161"/>
    <w:rsid w:val="00DF737B"/>
    <w:rsid w:val="00DF7865"/>
    <w:rsid w:val="00E00A85"/>
    <w:rsid w:val="00E00AB5"/>
    <w:rsid w:val="00E00B73"/>
    <w:rsid w:val="00E00D89"/>
    <w:rsid w:val="00E0101C"/>
    <w:rsid w:val="00E01326"/>
    <w:rsid w:val="00E01AED"/>
    <w:rsid w:val="00E01EFA"/>
    <w:rsid w:val="00E0202B"/>
    <w:rsid w:val="00E0282E"/>
    <w:rsid w:val="00E029CA"/>
    <w:rsid w:val="00E030A9"/>
    <w:rsid w:val="00E03977"/>
    <w:rsid w:val="00E03B77"/>
    <w:rsid w:val="00E041C4"/>
    <w:rsid w:val="00E04A86"/>
    <w:rsid w:val="00E053B8"/>
    <w:rsid w:val="00E058B5"/>
    <w:rsid w:val="00E062EF"/>
    <w:rsid w:val="00E066A6"/>
    <w:rsid w:val="00E06705"/>
    <w:rsid w:val="00E068BF"/>
    <w:rsid w:val="00E07A6F"/>
    <w:rsid w:val="00E07ECF"/>
    <w:rsid w:val="00E100DC"/>
    <w:rsid w:val="00E1025F"/>
    <w:rsid w:val="00E10976"/>
    <w:rsid w:val="00E10A95"/>
    <w:rsid w:val="00E10DF4"/>
    <w:rsid w:val="00E119E7"/>
    <w:rsid w:val="00E11BE8"/>
    <w:rsid w:val="00E11DF1"/>
    <w:rsid w:val="00E11F7D"/>
    <w:rsid w:val="00E12286"/>
    <w:rsid w:val="00E12324"/>
    <w:rsid w:val="00E12AD1"/>
    <w:rsid w:val="00E13151"/>
    <w:rsid w:val="00E13696"/>
    <w:rsid w:val="00E13867"/>
    <w:rsid w:val="00E14721"/>
    <w:rsid w:val="00E15123"/>
    <w:rsid w:val="00E1540E"/>
    <w:rsid w:val="00E16432"/>
    <w:rsid w:val="00E1677B"/>
    <w:rsid w:val="00E169E0"/>
    <w:rsid w:val="00E16B18"/>
    <w:rsid w:val="00E16DE9"/>
    <w:rsid w:val="00E16EBF"/>
    <w:rsid w:val="00E174EA"/>
    <w:rsid w:val="00E17710"/>
    <w:rsid w:val="00E2050C"/>
    <w:rsid w:val="00E21175"/>
    <w:rsid w:val="00E2123F"/>
    <w:rsid w:val="00E2150A"/>
    <w:rsid w:val="00E21F53"/>
    <w:rsid w:val="00E231F9"/>
    <w:rsid w:val="00E23497"/>
    <w:rsid w:val="00E23A4A"/>
    <w:rsid w:val="00E23F9A"/>
    <w:rsid w:val="00E242D8"/>
    <w:rsid w:val="00E24ACE"/>
    <w:rsid w:val="00E25522"/>
    <w:rsid w:val="00E2558A"/>
    <w:rsid w:val="00E255D0"/>
    <w:rsid w:val="00E2563C"/>
    <w:rsid w:val="00E25908"/>
    <w:rsid w:val="00E25960"/>
    <w:rsid w:val="00E2626D"/>
    <w:rsid w:val="00E26426"/>
    <w:rsid w:val="00E26B88"/>
    <w:rsid w:val="00E26F9E"/>
    <w:rsid w:val="00E27509"/>
    <w:rsid w:val="00E275D8"/>
    <w:rsid w:val="00E27CAD"/>
    <w:rsid w:val="00E27D7A"/>
    <w:rsid w:val="00E27F59"/>
    <w:rsid w:val="00E3004D"/>
    <w:rsid w:val="00E30A8B"/>
    <w:rsid w:val="00E30DBC"/>
    <w:rsid w:val="00E30EA9"/>
    <w:rsid w:val="00E312F4"/>
    <w:rsid w:val="00E3130E"/>
    <w:rsid w:val="00E318D9"/>
    <w:rsid w:val="00E31A73"/>
    <w:rsid w:val="00E31E7E"/>
    <w:rsid w:val="00E32888"/>
    <w:rsid w:val="00E32C1C"/>
    <w:rsid w:val="00E33E09"/>
    <w:rsid w:val="00E34023"/>
    <w:rsid w:val="00E34088"/>
    <w:rsid w:val="00E34B9D"/>
    <w:rsid w:val="00E34C99"/>
    <w:rsid w:val="00E35052"/>
    <w:rsid w:val="00E36224"/>
    <w:rsid w:val="00E36AFD"/>
    <w:rsid w:val="00E374B0"/>
    <w:rsid w:val="00E374E2"/>
    <w:rsid w:val="00E37626"/>
    <w:rsid w:val="00E37EA4"/>
    <w:rsid w:val="00E400D4"/>
    <w:rsid w:val="00E401FE"/>
    <w:rsid w:val="00E4036E"/>
    <w:rsid w:val="00E40459"/>
    <w:rsid w:val="00E40556"/>
    <w:rsid w:val="00E40798"/>
    <w:rsid w:val="00E41211"/>
    <w:rsid w:val="00E41389"/>
    <w:rsid w:val="00E418D7"/>
    <w:rsid w:val="00E42025"/>
    <w:rsid w:val="00E4295B"/>
    <w:rsid w:val="00E4335A"/>
    <w:rsid w:val="00E43588"/>
    <w:rsid w:val="00E43EF6"/>
    <w:rsid w:val="00E4407F"/>
    <w:rsid w:val="00E44BDF"/>
    <w:rsid w:val="00E454CC"/>
    <w:rsid w:val="00E45783"/>
    <w:rsid w:val="00E45DAF"/>
    <w:rsid w:val="00E45FC8"/>
    <w:rsid w:val="00E46D33"/>
    <w:rsid w:val="00E47F03"/>
    <w:rsid w:val="00E502B4"/>
    <w:rsid w:val="00E50C45"/>
    <w:rsid w:val="00E50E63"/>
    <w:rsid w:val="00E50F2B"/>
    <w:rsid w:val="00E513E9"/>
    <w:rsid w:val="00E51713"/>
    <w:rsid w:val="00E51962"/>
    <w:rsid w:val="00E51F55"/>
    <w:rsid w:val="00E529FA"/>
    <w:rsid w:val="00E52C8F"/>
    <w:rsid w:val="00E5302D"/>
    <w:rsid w:val="00E530E0"/>
    <w:rsid w:val="00E5352A"/>
    <w:rsid w:val="00E53AC5"/>
    <w:rsid w:val="00E5421D"/>
    <w:rsid w:val="00E54252"/>
    <w:rsid w:val="00E5455A"/>
    <w:rsid w:val="00E546B7"/>
    <w:rsid w:val="00E54715"/>
    <w:rsid w:val="00E5497F"/>
    <w:rsid w:val="00E55249"/>
    <w:rsid w:val="00E554CD"/>
    <w:rsid w:val="00E55739"/>
    <w:rsid w:val="00E559F5"/>
    <w:rsid w:val="00E55A49"/>
    <w:rsid w:val="00E55BCA"/>
    <w:rsid w:val="00E564C2"/>
    <w:rsid w:val="00E56B62"/>
    <w:rsid w:val="00E574D4"/>
    <w:rsid w:val="00E57E64"/>
    <w:rsid w:val="00E57E72"/>
    <w:rsid w:val="00E601DD"/>
    <w:rsid w:val="00E603AB"/>
    <w:rsid w:val="00E604BC"/>
    <w:rsid w:val="00E606AE"/>
    <w:rsid w:val="00E609A4"/>
    <w:rsid w:val="00E60B8D"/>
    <w:rsid w:val="00E61187"/>
    <w:rsid w:val="00E61A88"/>
    <w:rsid w:val="00E61D51"/>
    <w:rsid w:val="00E61F75"/>
    <w:rsid w:val="00E620DC"/>
    <w:rsid w:val="00E62B80"/>
    <w:rsid w:val="00E63309"/>
    <w:rsid w:val="00E63834"/>
    <w:rsid w:val="00E63998"/>
    <w:rsid w:val="00E639DF"/>
    <w:rsid w:val="00E64013"/>
    <w:rsid w:val="00E6404D"/>
    <w:rsid w:val="00E64581"/>
    <w:rsid w:val="00E64697"/>
    <w:rsid w:val="00E646C0"/>
    <w:rsid w:val="00E6470B"/>
    <w:rsid w:val="00E64760"/>
    <w:rsid w:val="00E64778"/>
    <w:rsid w:val="00E64C22"/>
    <w:rsid w:val="00E64FE8"/>
    <w:rsid w:val="00E64FF5"/>
    <w:rsid w:val="00E653A7"/>
    <w:rsid w:val="00E654C5"/>
    <w:rsid w:val="00E65947"/>
    <w:rsid w:val="00E65AD7"/>
    <w:rsid w:val="00E661DF"/>
    <w:rsid w:val="00E66B80"/>
    <w:rsid w:val="00E66DC3"/>
    <w:rsid w:val="00E67181"/>
    <w:rsid w:val="00E67295"/>
    <w:rsid w:val="00E6745B"/>
    <w:rsid w:val="00E675CF"/>
    <w:rsid w:val="00E67834"/>
    <w:rsid w:val="00E67B1D"/>
    <w:rsid w:val="00E67C3A"/>
    <w:rsid w:val="00E70253"/>
    <w:rsid w:val="00E7059C"/>
    <w:rsid w:val="00E708B8"/>
    <w:rsid w:val="00E71141"/>
    <w:rsid w:val="00E71CD5"/>
    <w:rsid w:val="00E71F4A"/>
    <w:rsid w:val="00E7283C"/>
    <w:rsid w:val="00E7295C"/>
    <w:rsid w:val="00E732C9"/>
    <w:rsid w:val="00E7343B"/>
    <w:rsid w:val="00E734EE"/>
    <w:rsid w:val="00E735D7"/>
    <w:rsid w:val="00E73975"/>
    <w:rsid w:val="00E73ABD"/>
    <w:rsid w:val="00E73DA5"/>
    <w:rsid w:val="00E73EF9"/>
    <w:rsid w:val="00E745EE"/>
    <w:rsid w:val="00E74660"/>
    <w:rsid w:val="00E74771"/>
    <w:rsid w:val="00E74C3E"/>
    <w:rsid w:val="00E75124"/>
    <w:rsid w:val="00E75C91"/>
    <w:rsid w:val="00E7711A"/>
    <w:rsid w:val="00E7771D"/>
    <w:rsid w:val="00E80D28"/>
    <w:rsid w:val="00E81793"/>
    <w:rsid w:val="00E81822"/>
    <w:rsid w:val="00E81F7D"/>
    <w:rsid w:val="00E821CB"/>
    <w:rsid w:val="00E825B0"/>
    <w:rsid w:val="00E82603"/>
    <w:rsid w:val="00E82AF4"/>
    <w:rsid w:val="00E83240"/>
    <w:rsid w:val="00E83381"/>
    <w:rsid w:val="00E83431"/>
    <w:rsid w:val="00E83ABC"/>
    <w:rsid w:val="00E83F8B"/>
    <w:rsid w:val="00E84569"/>
    <w:rsid w:val="00E84C72"/>
    <w:rsid w:val="00E852D9"/>
    <w:rsid w:val="00E852EF"/>
    <w:rsid w:val="00E857D7"/>
    <w:rsid w:val="00E85954"/>
    <w:rsid w:val="00E86381"/>
    <w:rsid w:val="00E86808"/>
    <w:rsid w:val="00E86F6C"/>
    <w:rsid w:val="00E87297"/>
    <w:rsid w:val="00E876C8"/>
    <w:rsid w:val="00E87814"/>
    <w:rsid w:val="00E8795F"/>
    <w:rsid w:val="00E87AE4"/>
    <w:rsid w:val="00E87BB8"/>
    <w:rsid w:val="00E9033C"/>
    <w:rsid w:val="00E905A0"/>
    <w:rsid w:val="00E90890"/>
    <w:rsid w:val="00E909E3"/>
    <w:rsid w:val="00E90E95"/>
    <w:rsid w:val="00E910CD"/>
    <w:rsid w:val="00E915B1"/>
    <w:rsid w:val="00E92260"/>
    <w:rsid w:val="00E92853"/>
    <w:rsid w:val="00E928AA"/>
    <w:rsid w:val="00E92A7A"/>
    <w:rsid w:val="00E92ECB"/>
    <w:rsid w:val="00E93114"/>
    <w:rsid w:val="00E932CB"/>
    <w:rsid w:val="00E93473"/>
    <w:rsid w:val="00E93609"/>
    <w:rsid w:val="00E939ED"/>
    <w:rsid w:val="00E93ABA"/>
    <w:rsid w:val="00E942C7"/>
    <w:rsid w:val="00E942D9"/>
    <w:rsid w:val="00E9431B"/>
    <w:rsid w:val="00E95B9A"/>
    <w:rsid w:val="00E95D82"/>
    <w:rsid w:val="00E96149"/>
    <w:rsid w:val="00E966F6"/>
    <w:rsid w:val="00E9713D"/>
    <w:rsid w:val="00E972A3"/>
    <w:rsid w:val="00E975C6"/>
    <w:rsid w:val="00E97733"/>
    <w:rsid w:val="00E97764"/>
    <w:rsid w:val="00E9776E"/>
    <w:rsid w:val="00EA10A0"/>
    <w:rsid w:val="00EA1206"/>
    <w:rsid w:val="00EA123F"/>
    <w:rsid w:val="00EA26F8"/>
    <w:rsid w:val="00EA2F89"/>
    <w:rsid w:val="00EA3B3D"/>
    <w:rsid w:val="00EA3E41"/>
    <w:rsid w:val="00EA403A"/>
    <w:rsid w:val="00EA4419"/>
    <w:rsid w:val="00EA44ED"/>
    <w:rsid w:val="00EA47E1"/>
    <w:rsid w:val="00EA4CFA"/>
    <w:rsid w:val="00EA4F37"/>
    <w:rsid w:val="00EA5120"/>
    <w:rsid w:val="00EA51B9"/>
    <w:rsid w:val="00EA5298"/>
    <w:rsid w:val="00EA540C"/>
    <w:rsid w:val="00EA5911"/>
    <w:rsid w:val="00EA6848"/>
    <w:rsid w:val="00EA6A62"/>
    <w:rsid w:val="00EA758E"/>
    <w:rsid w:val="00EA76AF"/>
    <w:rsid w:val="00EA79DC"/>
    <w:rsid w:val="00EA7AC6"/>
    <w:rsid w:val="00EA7C5F"/>
    <w:rsid w:val="00EB0058"/>
    <w:rsid w:val="00EB02B9"/>
    <w:rsid w:val="00EB0934"/>
    <w:rsid w:val="00EB0AF3"/>
    <w:rsid w:val="00EB0EBA"/>
    <w:rsid w:val="00EB0F54"/>
    <w:rsid w:val="00EB1400"/>
    <w:rsid w:val="00EB1D92"/>
    <w:rsid w:val="00EB1FBF"/>
    <w:rsid w:val="00EB2112"/>
    <w:rsid w:val="00EB2174"/>
    <w:rsid w:val="00EB2375"/>
    <w:rsid w:val="00EB25CC"/>
    <w:rsid w:val="00EB2732"/>
    <w:rsid w:val="00EB2B3E"/>
    <w:rsid w:val="00EB2E38"/>
    <w:rsid w:val="00EB307A"/>
    <w:rsid w:val="00EB3234"/>
    <w:rsid w:val="00EB3772"/>
    <w:rsid w:val="00EB3B23"/>
    <w:rsid w:val="00EB3D31"/>
    <w:rsid w:val="00EB3E7E"/>
    <w:rsid w:val="00EB44D3"/>
    <w:rsid w:val="00EB4B67"/>
    <w:rsid w:val="00EB500D"/>
    <w:rsid w:val="00EB5918"/>
    <w:rsid w:val="00EB5D40"/>
    <w:rsid w:val="00EB5E5B"/>
    <w:rsid w:val="00EB63C6"/>
    <w:rsid w:val="00EB66C6"/>
    <w:rsid w:val="00EB6A5C"/>
    <w:rsid w:val="00EB6F8C"/>
    <w:rsid w:val="00EB7A2D"/>
    <w:rsid w:val="00EB7B9D"/>
    <w:rsid w:val="00EB7BA5"/>
    <w:rsid w:val="00EC01D1"/>
    <w:rsid w:val="00EC067C"/>
    <w:rsid w:val="00EC0B9C"/>
    <w:rsid w:val="00EC1205"/>
    <w:rsid w:val="00EC2687"/>
    <w:rsid w:val="00EC27F3"/>
    <w:rsid w:val="00EC2B18"/>
    <w:rsid w:val="00EC2CB0"/>
    <w:rsid w:val="00EC2DD4"/>
    <w:rsid w:val="00EC2E61"/>
    <w:rsid w:val="00EC368E"/>
    <w:rsid w:val="00EC372D"/>
    <w:rsid w:val="00EC40DF"/>
    <w:rsid w:val="00EC4136"/>
    <w:rsid w:val="00EC44D6"/>
    <w:rsid w:val="00EC4762"/>
    <w:rsid w:val="00EC4944"/>
    <w:rsid w:val="00EC4A6A"/>
    <w:rsid w:val="00EC4D34"/>
    <w:rsid w:val="00EC5158"/>
    <w:rsid w:val="00EC5461"/>
    <w:rsid w:val="00EC598C"/>
    <w:rsid w:val="00EC59FE"/>
    <w:rsid w:val="00EC5D2E"/>
    <w:rsid w:val="00EC61F0"/>
    <w:rsid w:val="00EC6538"/>
    <w:rsid w:val="00EC65D1"/>
    <w:rsid w:val="00EC69F9"/>
    <w:rsid w:val="00EC6A1C"/>
    <w:rsid w:val="00EC6B8C"/>
    <w:rsid w:val="00EC6C15"/>
    <w:rsid w:val="00EC6C49"/>
    <w:rsid w:val="00EC708B"/>
    <w:rsid w:val="00EC73AE"/>
    <w:rsid w:val="00EC7467"/>
    <w:rsid w:val="00EC79CD"/>
    <w:rsid w:val="00EC7CC5"/>
    <w:rsid w:val="00EC7E49"/>
    <w:rsid w:val="00ED049A"/>
    <w:rsid w:val="00ED0934"/>
    <w:rsid w:val="00ED0A1F"/>
    <w:rsid w:val="00ED0B2F"/>
    <w:rsid w:val="00ED2236"/>
    <w:rsid w:val="00ED24FD"/>
    <w:rsid w:val="00ED251E"/>
    <w:rsid w:val="00ED2777"/>
    <w:rsid w:val="00ED30E6"/>
    <w:rsid w:val="00ED31F8"/>
    <w:rsid w:val="00ED335D"/>
    <w:rsid w:val="00ED37D4"/>
    <w:rsid w:val="00ED3C6D"/>
    <w:rsid w:val="00ED3D0A"/>
    <w:rsid w:val="00ED41AB"/>
    <w:rsid w:val="00ED4271"/>
    <w:rsid w:val="00ED45F2"/>
    <w:rsid w:val="00ED4649"/>
    <w:rsid w:val="00ED49C9"/>
    <w:rsid w:val="00ED4ABB"/>
    <w:rsid w:val="00ED4B73"/>
    <w:rsid w:val="00ED5345"/>
    <w:rsid w:val="00ED56FC"/>
    <w:rsid w:val="00ED5EC0"/>
    <w:rsid w:val="00ED6E5D"/>
    <w:rsid w:val="00ED6F1E"/>
    <w:rsid w:val="00ED7287"/>
    <w:rsid w:val="00ED741D"/>
    <w:rsid w:val="00ED784B"/>
    <w:rsid w:val="00ED7BAE"/>
    <w:rsid w:val="00ED7D51"/>
    <w:rsid w:val="00EE04C1"/>
    <w:rsid w:val="00EE04CD"/>
    <w:rsid w:val="00EE04FF"/>
    <w:rsid w:val="00EE0BC9"/>
    <w:rsid w:val="00EE0E9E"/>
    <w:rsid w:val="00EE1720"/>
    <w:rsid w:val="00EE195A"/>
    <w:rsid w:val="00EE1D78"/>
    <w:rsid w:val="00EE1D81"/>
    <w:rsid w:val="00EE1F97"/>
    <w:rsid w:val="00EE245A"/>
    <w:rsid w:val="00EE27C4"/>
    <w:rsid w:val="00EE2B74"/>
    <w:rsid w:val="00EE3577"/>
    <w:rsid w:val="00EE390A"/>
    <w:rsid w:val="00EE427B"/>
    <w:rsid w:val="00EE4816"/>
    <w:rsid w:val="00EE4908"/>
    <w:rsid w:val="00EE507B"/>
    <w:rsid w:val="00EE53A3"/>
    <w:rsid w:val="00EE57A8"/>
    <w:rsid w:val="00EE587D"/>
    <w:rsid w:val="00EE59DD"/>
    <w:rsid w:val="00EE5E4B"/>
    <w:rsid w:val="00EE6470"/>
    <w:rsid w:val="00EE64AC"/>
    <w:rsid w:val="00EE6828"/>
    <w:rsid w:val="00EE6C22"/>
    <w:rsid w:val="00EE71CB"/>
    <w:rsid w:val="00EE7823"/>
    <w:rsid w:val="00EE7CC8"/>
    <w:rsid w:val="00EE7E8A"/>
    <w:rsid w:val="00EF024F"/>
    <w:rsid w:val="00EF057C"/>
    <w:rsid w:val="00EF1233"/>
    <w:rsid w:val="00EF14E5"/>
    <w:rsid w:val="00EF1EC6"/>
    <w:rsid w:val="00EF215D"/>
    <w:rsid w:val="00EF237C"/>
    <w:rsid w:val="00EF2518"/>
    <w:rsid w:val="00EF2799"/>
    <w:rsid w:val="00EF305C"/>
    <w:rsid w:val="00EF3709"/>
    <w:rsid w:val="00EF37F7"/>
    <w:rsid w:val="00EF39E4"/>
    <w:rsid w:val="00EF4342"/>
    <w:rsid w:val="00EF4B4E"/>
    <w:rsid w:val="00EF4F76"/>
    <w:rsid w:val="00EF55F5"/>
    <w:rsid w:val="00EF5916"/>
    <w:rsid w:val="00EF5ACE"/>
    <w:rsid w:val="00EF6578"/>
    <w:rsid w:val="00EF6713"/>
    <w:rsid w:val="00EF69F5"/>
    <w:rsid w:val="00EF70A1"/>
    <w:rsid w:val="00EF74DB"/>
    <w:rsid w:val="00EF7DCB"/>
    <w:rsid w:val="00EF7EE1"/>
    <w:rsid w:val="00F003BB"/>
    <w:rsid w:val="00F004BC"/>
    <w:rsid w:val="00F006E4"/>
    <w:rsid w:val="00F00867"/>
    <w:rsid w:val="00F009E4"/>
    <w:rsid w:val="00F00D8F"/>
    <w:rsid w:val="00F00DCF"/>
    <w:rsid w:val="00F00DE6"/>
    <w:rsid w:val="00F012B7"/>
    <w:rsid w:val="00F01874"/>
    <w:rsid w:val="00F0215C"/>
    <w:rsid w:val="00F02B12"/>
    <w:rsid w:val="00F032A1"/>
    <w:rsid w:val="00F03381"/>
    <w:rsid w:val="00F0406F"/>
    <w:rsid w:val="00F041E4"/>
    <w:rsid w:val="00F04C50"/>
    <w:rsid w:val="00F04F66"/>
    <w:rsid w:val="00F050F8"/>
    <w:rsid w:val="00F05444"/>
    <w:rsid w:val="00F058BD"/>
    <w:rsid w:val="00F05C5E"/>
    <w:rsid w:val="00F05DA0"/>
    <w:rsid w:val="00F07923"/>
    <w:rsid w:val="00F07E32"/>
    <w:rsid w:val="00F07E6B"/>
    <w:rsid w:val="00F1001B"/>
    <w:rsid w:val="00F10AC2"/>
    <w:rsid w:val="00F10F45"/>
    <w:rsid w:val="00F10F9E"/>
    <w:rsid w:val="00F11086"/>
    <w:rsid w:val="00F1108C"/>
    <w:rsid w:val="00F11171"/>
    <w:rsid w:val="00F1118B"/>
    <w:rsid w:val="00F11332"/>
    <w:rsid w:val="00F117C7"/>
    <w:rsid w:val="00F1181E"/>
    <w:rsid w:val="00F11BF7"/>
    <w:rsid w:val="00F11F86"/>
    <w:rsid w:val="00F1263B"/>
    <w:rsid w:val="00F127BA"/>
    <w:rsid w:val="00F12A2C"/>
    <w:rsid w:val="00F13C8C"/>
    <w:rsid w:val="00F14384"/>
    <w:rsid w:val="00F1504F"/>
    <w:rsid w:val="00F151D3"/>
    <w:rsid w:val="00F15480"/>
    <w:rsid w:val="00F158EA"/>
    <w:rsid w:val="00F15C65"/>
    <w:rsid w:val="00F16E84"/>
    <w:rsid w:val="00F1738F"/>
    <w:rsid w:val="00F17724"/>
    <w:rsid w:val="00F17A20"/>
    <w:rsid w:val="00F203A3"/>
    <w:rsid w:val="00F207FD"/>
    <w:rsid w:val="00F2089C"/>
    <w:rsid w:val="00F20C32"/>
    <w:rsid w:val="00F20F6A"/>
    <w:rsid w:val="00F21AE5"/>
    <w:rsid w:val="00F21DB9"/>
    <w:rsid w:val="00F21F35"/>
    <w:rsid w:val="00F21FC9"/>
    <w:rsid w:val="00F221DF"/>
    <w:rsid w:val="00F2342F"/>
    <w:rsid w:val="00F23CDD"/>
    <w:rsid w:val="00F23FBD"/>
    <w:rsid w:val="00F24BDA"/>
    <w:rsid w:val="00F2564A"/>
    <w:rsid w:val="00F25699"/>
    <w:rsid w:val="00F257B0"/>
    <w:rsid w:val="00F25B24"/>
    <w:rsid w:val="00F25EC8"/>
    <w:rsid w:val="00F26130"/>
    <w:rsid w:val="00F26727"/>
    <w:rsid w:val="00F271CD"/>
    <w:rsid w:val="00F27403"/>
    <w:rsid w:val="00F27B62"/>
    <w:rsid w:val="00F27CB2"/>
    <w:rsid w:val="00F27D06"/>
    <w:rsid w:val="00F27DA0"/>
    <w:rsid w:val="00F300B5"/>
    <w:rsid w:val="00F30717"/>
    <w:rsid w:val="00F30E8A"/>
    <w:rsid w:val="00F31573"/>
    <w:rsid w:val="00F31715"/>
    <w:rsid w:val="00F31A82"/>
    <w:rsid w:val="00F31C63"/>
    <w:rsid w:val="00F31DC9"/>
    <w:rsid w:val="00F320AE"/>
    <w:rsid w:val="00F325F3"/>
    <w:rsid w:val="00F32A43"/>
    <w:rsid w:val="00F32D6A"/>
    <w:rsid w:val="00F3322F"/>
    <w:rsid w:val="00F3325D"/>
    <w:rsid w:val="00F3325E"/>
    <w:rsid w:val="00F33742"/>
    <w:rsid w:val="00F33A52"/>
    <w:rsid w:val="00F34004"/>
    <w:rsid w:val="00F343D3"/>
    <w:rsid w:val="00F343D5"/>
    <w:rsid w:val="00F34E9C"/>
    <w:rsid w:val="00F35AAB"/>
    <w:rsid w:val="00F35C45"/>
    <w:rsid w:val="00F35E9D"/>
    <w:rsid w:val="00F369CC"/>
    <w:rsid w:val="00F36A1E"/>
    <w:rsid w:val="00F36CD1"/>
    <w:rsid w:val="00F37CE0"/>
    <w:rsid w:val="00F37E45"/>
    <w:rsid w:val="00F37F42"/>
    <w:rsid w:val="00F4005B"/>
    <w:rsid w:val="00F406F9"/>
    <w:rsid w:val="00F40935"/>
    <w:rsid w:val="00F40AE6"/>
    <w:rsid w:val="00F40D0D"/>
    <w:rsid w:val="00F40F0E"/>
    <w:rsid w:val="00F42088"/>
    <w:rsid w:val="00F420DA"/>
    <w:rsid w:val="00F42A60"/>
    <w:rsid w:val="00F430A5"/>
    <w:rsid w:val="00F43210"/>
    <w:rsid w:val="00F4393B"/>
    <w:rsid w:val="00F444E2"/>
    <w:rsid w:val="00F4452A"/>
    <w:rsid w:val="00F44A3E"/>
    <w:rsid w:val="00F44DE2"/>
    <w:rsid w:val="00F4521E"/>
    <w:rsid w:val="00F455E3"/>
    <w:rsid w:val="00F45A13"/>
    <w:rsid w:val="00F45AE8"/>
    <w:rsid w:val="00F45B3A"/>
    <w:rsid w:val="00F45F95"/>
    <w:rsid w:val="00F4638F"/>
    <w:rsid w:val="00F4657F"/>
    <w:rsid w:val="00F46686"/>
    <w:rsid w:val="00F468B2"/>
    <w:rsid w:val="00F46999"/>
    <w:rsid w:val="00F4761E"/>
    <w:rsid w:val="00F47E1F"/>
    <w:rsid w:val="00F50024"/>
    <w:rsid w:val="00F50100"/>
    <w:rsid w:val="00F51298"/>
    <w:rsid w:val="00F51A07"/>
    <w:rsid w:val="00F51A98"/>
    <w:rsid w:val="00F51C68"/>
    <w:rsid w:val="00F5271B"/>
    <w:rsid w:val="00F52744"/>
    <w:rsid w:val="00F528DB"/>
    <w:rsid w:val="00F53310"/>
    <w:rsid w:val="00F53E0F"/>
    <w:rsid w:val="00F54506"/>
    <w:rsid w:val="00F551AC"/>
    <w:rsid w:val="00F557F7"/>
    <w:rsid w:val="00F559FB"/>
    <w:rsid w:val="00F55C95"/>
    <w:rsid w:val="00F55E73"/>
    <w:rsid w:val="00F5602D"/>
    <w:rsid w:val="00F5644F"/>
    <w:rsid w:val="00F56A29"/>
    <w:rsid w:val="00F56A66"/>
    <w:rsid w:val="00F56B0D"/>
    <w:rsid w:val="00F570DC"/>
    <w:rsid w:val="00F575AA"/>
    <w:rsid w:val="00F5794B"/>
    <w:rsid w:val="00F57B94"/>
    <w:rsid w:val="00F57E09"/>
    <w:rsid w:val="00F600A3"/>
    <w:rsid w:val="00F6010F"/>
    <w:rsid w:val="00F60863"/>
    <w:rsid w:val="00F60CBA"/>
    <w:rsid w:val="00F611EE"/>
    <w:rsid w:val="00F61752"/>
    <w:rsid w:val="00F6183E"/>
    <w:rsid w:val="00F61C1B"/>
    <w:rsid w:val="00F62409"/>
    <w:rsid w:val="00F62709"/>
    <w:rsid w:val="00F62FEB"/>
    <w:rsid w:val="00F63304"/>
    <w:rsid w:val="00F63323"/>
    <w:rsid w:val="00F63B4B"/>
    <w:rsid w:val="00F63CE7"/>
    <w:rsid w:val="00F64540"/>
    <w:rsid w:val="00F645B3"/>
    <w:rsid w:val="00F64B7B"/>
    <w:rsid w:val="00F65897"/>
    <w:rsid w:val="00F65FE0"/>
    <w:rsid w:val="00F6639F"/>
    <w:rsid w:val="00F66478"/>
    <w:rsid w:val="00F6686E"/>
    <w:rsid w:val="00F66B7F"/>
    <w:rsid w:val="00F66C32"/>
    <w:rsid w:val="00F6706E"/>
    <w:rsid w:val="00F67457"/>
    <w:rsid w:val="00F67C50"/>
    <w:rsid w:val="00F701BF"/>
    <w:rsid w:val="00F7059D"/>
    <w:rsid w:val="00F70848"/>
    <w:rsid w:val="00F70D8F"/>
    <w:rsid w:val="00F7135F"/>
    <w:rsid w:val="00F7285B"/>
    <w:rsid w:val="00F72871"/>
    <w:rsid w:val="00F72CD2"/>
    <w:rsid w:val="00F7346A"/>
    <w:rsid w:val="00F754AE"/>
    <w:rsid w:val="00F75504"/>
    <w:rsid w:val="00F75B37"/>
    <w:rsid w:val="00F75BAD"/>
    <w:rsid w:val="00F76085"/>
    <w:rsid w:val="00F76609"/>
    <w:rsid w:val="00F7670A"/>
    <w:rsid w:val="00F7759C"/>
    <w:rsid w:val="00F77666"/>
    <w:rsid w:val="00F7774C"/>
    <w:rsid w:val="00F777E2"/>
    <w:rsid w:val="00F80041"/>
    <w:rsid w:val="00F801EC"/>
    <w:rsid w:val="00F803D3"/>
    <w:rsid w:val="00F805EE"/>
    <w:rsid w:val="00F80C4D"/>
    <w:rsid w:val="00F80D5E"/>
    <w:rsid w:val="00F80F66"/>
    <w:rsid w:val="00F81020"/>
    <w:rsid w:val="00F81175"/>
    <w:rsid w:val="00F8189B"/>
    <w:rsid w:val="00F819BB"/>
    <w:rsid w:val="00F81BC7"/>
    <w:rsid w:val="00F81EA4"/>
    <w:rsid w:val="00F81F0C"/>
    <w:rsid w:val="00F826A9"/>
    <w:rsid w:val="00F826CE"/>
    <w:rsid w:val="00F82B14"/>
    <w:rsid w:val="00F82EDF"/>
    <w:rsid w:val="00F82FAC"/>
    <w:rsid w:val="00F83510"/>
    <w:rsid w:val="00F840B4"/>
    <w:rsid w:val="00F841D2"/>
    <w:rsid w:val="00F84436"/>
    <w:rsid w:val="00F8468E"/>
    <w:rsid w:val="00F8476A"/>
    <w:rsid w:val="00F84838"/>
    <w:rsid w:val="00F859D1"/>
    <w:rsid w:val="00F85B8C"/>
    <w:rsid w:val="00F861E8"/>
    <w:rsid w:val="00F86398"/>
    <w:rsid w:val="00F8670D"/>
    <w:rsid w:val="00F86779"/>
    <w:rsid w:val="00F87459"/>
    <w:rsid w:val="00F87BBE"/>
    <w:rsid w:val="00F87CDB"/>
    <w:rsid w:val="00F90125"/>
    <w:rsid w:val="00F90389"/>
    <w:rsid w:val="00F9066D"/>
    <w:rsid w:val="00F90895"/>
    <w:rsid w:val="00F90C6F"/>
    <w:rsid w:val="00F90EFB"/>
    <w:rsid w:val="00F90F56"/>
    <w:rsid w:val="00F90FD6"/>
    <w:rsid w:val="00F91377"/>
    <w:rsid w:val="00F91652"/>
    <w:rsid w:val="00F926A1"/>
    <w:rsid w:val="00F92B60"/>
    <w:rsid w:val="00F92BA5"/>
    <w:rsid w:val="00F9345B"/>
    <w:rsid w:val="00F9352B"/>
    <w:rsid w:val="00F9378A"/>
    <w:rsid w:val="00F93FA7"/>
    <w:rsid w:val="00F9436B"/>
    <w:rsid w:val="00F9470E"/>
    <w:rsid w:val="00F94778"/>
    <w:rsid w:val="00F94C7F"/>
    <w:rsid w:val="00F952EE"/>
    <w:rsid w:val="00F95568"/>
    <w:rsid w:val="00F955EC"/>
    <w:rsid w:val="00F95CC8"/>
    <w:rsid w:val="00F95F65"/>
    <w:rsid w:val="00F961C6"/>
    <w:rsid w:val="00F96263"/>
    <w:rsid w:val="00F966C9"/>
    <w:rsid w:val="00F96885"/>
    <w:rsid w:val="00F96BD4"/>
    <w:rsid w:val="00F96EB6"/>
    <w:rsid w:val="00F976D1"/>
    <w:rsid w:val="00F97CF7"/>
    <w:rsid w:val="00F97E0E"/>
    <w:rsid w:val="00FA0399"/>
    <w:rsid w:val="00FA0570"/>
    <w:rsid w:val="00FA077B"/>
    <w:rsid w:val="00FA0CDC"/>
    <w:rsid w:val="00FA0D8E"/>
    <w:rsid w:val="00FA0E05"/>
    <w:rsid w:val="00FA0F78"/>
    <w:rsid w:val="00FA1047"/>
    <w:rsid w:val="00FA10E5"/>
    <w:rsid w:val="00FA1198"/>
    <w:rsid w:val="00FA1449"/>
    <w:rsid w:val="00FA1725"/>
    <w:rsid w:val="00FA1867"/>
    <w:rsid w:val="00FA1CEA"/>
    <w:rsid w:val="00FA2705"/>
    <w:rsid w:val="00FA278C"/>
    <w:rsid w:val="00FA3186"/>
    <w:rsid w:val="00FA3297"/>
    <w:rsid w:val="00FA3733"/>
    <w:rsid w:val="00FA37D9"/>
    <w:rsid w:val="00FA4107"/>
    <w:rsid w:val="00FA423A"/>
    <w:rsid w:val="00FA4573"/>
    <w:rsid w:val="00FA48E8"/>
    <w:rsid w:val="00FA4E52"/>
    <w:rsid w:val="00FA5CBB"/>
    <w:rsid w:val="00FA60DD"/>
    <w:rsid w:val="00FA6C49"/>
    <w:rsid w:val="00FA6DB1"/>
    <w:rsid w:val="00FB01D8"/>
    <w:rsid w:val="00FB089F"/>
    <w:rsid w:val="00FB09D7"/>
    <w:rsid w:val="00FB0E6A"/>
    <w:rsid w:val="00FB19D3"/>
    <w:rsid w:val="00FB1CFC"/>
    <w:rsid w:val="00FB1DE0"/>
    <w:rsid w:val="00FB1EFA"/>
    <w:rsid w:val="00FB20C8"/>
    <w:rsid w:val="00FB2B30"/>
    <w:rsid w:val="00FB2E32"/>
    <w:rsid w:val="00FB3611"/>
    <w:rsid w:val="00FB3C43"/>
    <w:rsid w:val="00FB4040"/>
    <w:rsid w:val="00FB40FC"/>
    <w:rsid w:val="00FB46C1"/>
    <w:rsid w:val="00FB4938"/>
    <w:rsid w:val="00FB4E8C"/>
    <w:rsid w:val="00FB5101"/>
    <w:rsid w:val="00FB5788"/>
    <w:rsid w:val="00FB5A74"/>
    <w:rsid w:val="00FB5B01"/>
    <w:rsid w:val="00FB5CC1"/>
    <w:rsid w:val="00FB5FB6"/>
    <w:rsid w:val="00FB65D3"/>
    <w:rsid w:val="00FB6615"/>
    <w:rsid w:val="00FB6AF7"/>
    <w:rsid w:val="00FB7004"/>
    <w:rsid w:val="00FB70B6"/>
    <w:rsid w:val="00FB7362"/>
    <w:rsid w:val="00FB7396"/>
    <w:rsid w:val="00FB7963"/>
    <w:rsid w:val="00FC01CA"/>
    <w:rsid w:val="00FC02EB"/>
    <w:rsid w:val="00FC02F4"/>
    <w:rsid w:val="00FC05F9"/>
    <w:rsid w:val="00FC0801"/>
    <w:rsid w:val="00FC08D2"/>
    <w:rsid w:val="00FC09E2"/>
    <w:rsid w:val="00FC1B99"/>
    <w:rsid w:val="00FC245F"/>
    <w:rsid w:val="00FC2794"/>
    <w:rsid w:val="00FC2C14"/>
    <w:rsid w:val="00FC2D81"/>
    <w:rsid w:val="00FC33B1"/>
    <w:rsid w:val="00FC33BB"/>
    <w:rsid w:val="00FC3AD9"/>
    <w:rsid w:val="00FC459C"/>
    <w:rsid w:val="00FC573A"/>
    <w:rsid w:val="00FC5A42"/>
    <w:rsid w:val="00FC5BCF"/>
    <w:rsid w:val="00FC5FDC"/>
    <w:rsid w:val="00FC6031"/>
    <w:rsid w:val="00FC6389"/>
    <w:rsid w:val="00FC68A7"/>
    <w:rsid w:val="00FC6ADA"/>
    <w:rsid w:val="00FC72FF"/>
    <w:rsid w:val="00FC73BC"/>
    <w:rsid w:val="00FC7730"/>
    <w:rsid w:val="00FC7B06"/>
    <w:rsid w:val="00FD0100"/>
    <w:rsid w:val="00FD0182"/>
    <w:rsid w:val="00FD083D"/>
    <w:rsid w:val="00FD0AFF"/>
    <w:rsid w:val="00FD0C3F"/>
    <w:rsid w:val="00FD0D9A"/>
    <w:rsid w:val="00FD1513"/>
    <w:rsid w:val="00FD1664"/>
    <w:rsid w:val="00FD1ADD"/>
    <w:rsid w:val="00FD1D35"/>
    <w:rsid w:val="00FD1F40"/>
    <w:rsid w:val="00FD24BE"/>
    <w:rsid w:val="00FD2D7D"/>
    <w:rsid w:val="00FD32E5"/>
    <w:rsid w:val="00FD3658"/>
    <w:rsid w:val="00FD40F5"/>
    <w:rsid w:val="00FD4EC0"/>
    <w:rsid w:val="00FD526D"/>
    <w:rsid w:val="00FD5DBD"/>
    <w:rsid w:val="00FD5E0E"/>
    <w:rsid w:val="00FD6761"/>
    <w:rsid w:val="00FD6B51"/>
    <w:rsid w:val="00FD6E23"/>
    <w:rsid w:val="00FD6E83"/>
    <w:rsid w:val="00FD7BE0"/>
    <w:rsid w:val="00FD7CBB"/>
    <w:rsid w:val="00FE0B6F"/>
    <w:rsid w:val="00FE0D22"/>
    <w:rsid w:val="00FE124B"/>
    <w:rsid w:val="00FE1B50"/>
    <w:rsid w:val="00FE1FAD"/>
    <w:rsid w:val="00FE2086"/>
    <w:rsid w:val="00FE2564"/>
    <w:rsid w:val="00FE27B7"/>
    <w:rsid w:val="00FE29CC"/>
    <w:rsid w:val="00FE2E1D"/>
    <w:rsid w:val="00FE33D7"/>
    <w:rsid w:val="00FE3496"/>
    <w:rsid w:val="00FE3B97"/>
    <w:rsid w:val="00FE3C8E"/>
    <w:rsid w:val="00FE3E71"/>
    <w:rsid w:val="00FE43CC"/>
    <w:rsid w:val="00FE4519"/>
    <w:rsid w:val="00FE4C61"/>
    <w:rsid w:val="00FE4E95"/>
    <w:rsid w:val="00FE552D"/>
    <w:rsid w:val="00FE55D0"/>
    <w:rsid w:val="00FE5A96"/>
    <w:rsid w:val="00FE6124"/>
    <w:rsid w:val="00FE6695"/>
    <w:rsid w:val="00FE68ED"/>
    <w:rsid w:val="00FE6E82"/>
    <w:rsid w:val="00FE7023"/>
    <w:rsid w:val="00FE74D2"/>
    <w:rsid w:val="00FE772E"/>
    <w:rsid w:val="00FE7989"/>
    <w:rsid w:val="00FF03F2"/>
    <w:rsid w:val="00FF13CE"/>
    <w:rsid w:val="00FF1756"/>
    <w:rsid w:val="00FF1C9A"/>
    <w:rsid w:val="00FF2180"/>
    <w:rsid w:val="00FF21B9"/>
    <w:rsid w:val="00FF22E8"/>
    <w:rsid w:val="00FF2AD8"/>
    <w:rsid w:val="00FF2B26"/>
    <w:rsid w:val="00FF31B8"/>
    <w:rsid w:val="00FF373D"/>
    <w:rsid w:val="00FF37EE"/>
    <w:rsid w:val="00FF3B29"/>
    <w:rsid w:val="00FF3BE2"/>
    <w:rsid w:val="00FF3D23"/>
    <w:rsid w:val="00FF3EAC"/>
    <w:rsid w:val="00FF455F"/>
    <w:rsid w:val="00FF4760"/>
    <w:rsid w:val="00FF4C5B"/>
    <w:rsid w:val="00FF4DCB"/>
    <w:rsid w:val="00FF51BA"/>
    <w:rsid w:val="00FF5663"/>
    <w:rsid w:val="00FF5C2D"/>
    <w:rsid w:val="00FF658A"/>
    <w:rsid w:val="00FF675C"/>
    <w:rsid w:val="00FF6BEC"/>
    <w:rsid w:val="00FF748D"/>
    <w:rsid w:val="00FF7C9E"/>
    <w:rsid w:val="00FF7DFE"/>
    <w:rsid w:val="010469A2"/>
    <w:rsid w:val="013030AB"/>
    <w:rsid w:val="0130749D"/>
    <w:rsid w:val="016C7F52"/>
    <w:rsid w:val="017EE08B"/>
    <w:rsid w:val="017EE3D2"/>
    <w:rsid w:val="017FD369"/>
    <w:rsid w:val="018C951A"/>
    <w:rsid w:val="0190786F"/>
    <w:rsid w:val="01921C9C"/>
    <w:rsid w:val="019A68E3"/>
    <w:rsid w:val="019CEAD2"/>
    <w:rsid w:val="01CE3D9B"/>
    <w:rsid w:val="01D302B8"/>
    <w:rsid w:val="01D794A5"/>
    <w:rsid w:val="01DDD585"/>
    <w:rsid w:val="01FB5489"/>
    <w:rsid w:val="02079F1C"/>
    <w:rsid w:val="02291E88"/>
    <w:rsid w:val="02411BDD"/>
    <w:rsid w:val="0246EE37"/>
    <w:rsid w:val="0248AE84"/>
    <w:rsid w:val="025A23D9"/>
    <w:rsid w:val="026A5662"/>
    <w:rsid w:val="028D4A12"/>
    <w:rsid w:val="028F1D99"/>
    <w:rsid w:val="02A25471"/>
    <w:rsid w:val="02B1F762"/>
    <w:rsid w:val="02D61BD9"/>
    <w:rsid w:val="02EC51EF"/>
    <w:rsid w:val="0312B364"/>
    <w:rsid w:val="0315134A"/>
    <w:rsid w:val="03254C7B"/>
    <w:rsid w:val="033B2459"/>
    <w:rsid w:val="0370FF23"/>
    <w:rsid w:val="0376FEAF"/>
    <w:rsid w:val="0390E994"/>
    <w:rsid w:val="03928065"/>
    <w:rsid w:val="03B133B1"/>
    <w:rsid w:val="03D229D8"/>
    <w:rsid w:val="03D3BBF9"/>
    <w:rsid w:val="03E83E63"/>
    <w:rsid w:val="03E9F727"/>
    <w:rsid w:val="03EC4B87"/>
    <w:rsid w:val="03F2036E"/>
    <w:rsid w:val="03FD8D5F"/>
    <w:rsid w:val="04000877"/>
    <w:rsid w:val="04138EF0"/>
    <w:rsid w:val="041518FD"/>
    <w:rsid w:val="04168B35"/>
    <w:rsid w:val="0434121C"/>
    <w:rsid w:val="043705A1"/>
    <w:rsid w:val="045BDA14"/>
    <w:rsid w:val="047132AE"/>
    <w:rsid w:val="0481B8A5"/>
    <w:rsid w:val="0483F8E7"/>
    <w:rsid w:val="04A09EB3"/>
    <w:rsid w:val="04BBFE9B"/>
    <w:rsid w:val="04CE403F"/>
    <w:rsid w:val="04D293AE"/>
    <w:rsid w:val="04D49978"/>
    <w:rsid w:val="04EBAAB8"/>
    <w:rsid w:val="04EF0140"/>
    <w:rsid w:val="04F43CF1"/>
    <w:rsid w:val="04F6CBC8"/>
    <w:rsid w:val="04FEC787"/>
    <w:rsid w:val="05049CA7"/>
    <w:rsid w:val="050CFAEC"/>
    <w:rsid w:val="053686CA"/>
    <w:rsid w:val="054DF36C"/>
    <w:rsid w:val="055309E8"/>
    <w:rsid w:val="056BF6D5"/>
    <w:rsid w:val="056E200F"/>
    <w:rsid w:val="05A07628"/>
    <w:rsid w:val="05A2E8D6"/>
    <w:rsid w:val="05A37984"/>
    <w:rsid w:val="05B9327B"/>
    <w:rsid w:val="05C2B53B"/>
    <w:rsid w:val="05C89506"/>
    <w:rsid w:val="05F691FA"/>
    <w:rsid w:val="05FA119F"/>
    <w:rsid w:val="060F3BEE"/>
    <w:rsid w:val="061911DD"/>
    <w:rsid w:val="062799C2"/>
    <w:rsid w:val="063F18C9"/>
    <w:rsid w:val="06594DE2"/>
    <w:rsid w:val="066D12E7"/>
    <w:rsid w:val="06719D4F"/>
    <w:rsid w:val="0672D647"/>
    <w:rsid w:val="0675132B"/>
    <w:rsid w:val="0675E2F8"/>
    <w:rsid w:val="069BF045"/>
    <w:rsid w:val="069DFA5D"/>
    <w:rsid w:val="06A8F350"/>
    <w:rsid w:val="06B13FCE"/>
    <w:rsid w:val="06B21AE2"/>
    <w:rsid w:val="06B54EBB"/>
    <w:rsid w:val="06BA2C3A"/>
    <w:rsid w:val="06DEC1C6"/>
    <w:rsid w:val="06F130DF"/>
    <w:rsid w:val="06F410CA"/>
    <w:rsid w:val="06F90E8F"/>
    <w:rsid w:val="06FF9C9F"/>
    <w:rsid w:val="07021AE2"/>
    <w:rsid w:val="070B76BD"/>
    <w:rsid w:val="070DCA4D"/>
    <w:rsid w:val="071BA322"/>
    <w:rsid w:val="071ED204"/>
    <w:rsid w:val="0725262C"/>
    <w:rsid w:val="072AFD9E"/>
    <w:rsid w:val="074E714C"/>
    <w:rsid w:val="075AFF9F"/>
    <w:rsid w:val="07728854"/>
    <w:rsid w:val="0774D34F"/>
    <w:rsid w:val="078698CD"/>
    <w:rsid w:val="078C2929"/>
    <w:rsid w:val="079C7A99"/>
    <w:rsid w:val="07A87719"/>
    <w:rsid w:val="07CA1E69"/>
    <w:rsid w:val="07CF6980"/>
    <w:rsid w:val="07CF8F5E"/>
    <w:rsid w:val="07D75C53"/>
    <w:rsid w:val="07DD85AF"/>
    <w:rsid w:val="07DF0C53"/>
    <w:rsid w:val="07DFF754"/>
    <w:rsid w:val="08036C0F"/>
    <w:rsid w:val="08406889"/>
    <w:rsid w:val="08408258"/>
    <w:rsid w:val="085AC821"/>
    <w:rsid w:val="08639B4B"/>
    <w:rsid w:val="08718F2F"/>
    <w:rsid w:val="08909B6F"/>
    <w:rsid w:val="0898409D"/>
    <w:rsid w:val="08AFBB31"/>
    <w:rsid w:val="08B9E71B"/>
    <w:rsid w:val="08D63BD1"/>
    <w:rsid w:val="08D6B438"/>
    <w:rsid w:val="08D8DD7C"/>
    <w:rsid w:val="08F4D80C"/>
    <w:rsid w:val="09691C42"/>
    <w:rsid w:val="09A3120B"/>
    <w:rsid w:val="09A4620C"/>
    <w:rsid w:val="09AB18AD"/>
    <w:rsid w:val="09BDBDEF"/>
    <w:rsid w:val="09C8798B"/>
    <w:rsid w:val="09D37EBF"/>
    <w:rsid w:val="09FA3B51"/>
    <w:rsid w:val="0A131F97"/>
    <w:rsid w:val="0A35022A"/>
    <w:rsid w:val="0A38571E"/>
    <w:rsid w:val="0A47D442"/>
    <w:rsid w:val="0A671C83"/>
    <w:rsid w:val="0A673555"/>
    <w:rsid w:val="0A9093C4"/>
    <w:rsid w:val="0A9ADB3C"/>
    <w:rsid w:val="0A9CA126"/>
    <w:rsid w:val="0A9D721B"/>
    <w:rsid w:val="0AA865AE"/>
    <w:rsid w:val="0ABAEECD"/>
    <w:rsid w:val="0ABF439F"/>
    <w:rsid w:val="0AE0881D"/>
    <w:rsid w:val="0AE53E7A"/>
    <w:rsid w:val="0AE8BD29"/>
    <w:rsid w:val="0AF40867"/>
    <w:rsid w:val="0B0A5E38"/>
    <w:rsid w:val="0B11C2BC"/>
    <w:rsid w:val="0B1828AA"/>
    <w:rsid w:val="0B1C6078"/>
    <w:rsid w:val="0B44002C"/>
    <w:rsid w:val="0B44E638"/>
    <w:rsid w:val="0B57DB2E"/>
    <w:rsid w:val="0B6F473C"/>
    <w:rsid w:val="0B7851F7"/>
    <w:rsid w:val="0B7F739B"/>
    <w:rsid w:val="0B977B55"/>
    <w:rsid w:val="0B9D7AA6"/>
    <w:rsid w:val="0BC7F1AB"/>
    <w:rsid w:val="0BF20CFD"/>
    <w:rsid w:val="0BFE5D48"/>
    <w:rsid w:val="0C248605"/>
    <w:rsid w:val="0C36D425"/>
    <w:rsid w:val="0C3BDA9A"/>
    <w:rsid w:val="0C87B40B"/>
    <w:rsid w:val="0CA072FA"/>
    <w:rsid w:val="0CA25822"/>
    <w:rsid w:val="0CB2AF38"/>
    <w:rsid w:val="0CB88ED7"/>
    <w:rsid w:val="0CC4049A"/>
    <w:rsid w:val="0CC88E40"/>
    <w:rsid w:val="0CD668C6"/>
    <w:rsid w:val="0CF81B97"/>
    <w:rsid w:val="0D022ABA"/>
    <w:rsid w:val="0D0CA88C"/>
    <w:rsid w:val="0D1754D1"/>
    <w:rsid w:val="0D29E62C"/>
    <w:rsid w:val="0D2D8185"/>
    <w:rsid w:val="0D3383FE"/>
    <w:rsid w:val="0D4D37E7"/>
    <w:rsid w:val="0D574B5F"/>
    <w:rsid w:val="0D5FAD5F"/>
    <w:rsid w:val="0D64DB23"/>
    <w:rsid w:val="0D748380"/>
    <w:rsid w:val="0D7AF6A9"/>
    <w:rsid w:val="0D882728"/>
    <w:rsid w:val="0DA7B78F"/>
    <w:rsid w:val="0DAF40EE"/>
    <w:rsid w:val="0DB0F509"/>
    <w:rsid w:val="0DB16F1D"/>
    <w:rsid w:val="0DC39FD2"/>
    <w:rsid w:val="0DC974A2"/>
    <w:rsid w:val="0DDCF797"/>
    <w:rsid w:val="0DF1D0E0"/>
    <w:rsid w:val="0DF5A0C4"/>
    <w:rsid w:val="0E0969E1"/>
    <w:rsid w:val="0E171A51"/>
    <w:rsid w:val="0E21FEDD"/>
    <w:rsid w:val="0E351BE1"/>
    <w:rsid w:val="0E39475D"/>
    <w:rsid w:val="0E653BBB"/>
    <w:rsid w:val="0E6BA337"/>
    <w:rsid w:val="0E6DB4B2"/>
    <w:rsid w:val="0E85DCCC"/>
    <w:rsid w:val="0E8DE3F8"/>
    <w:rsid w:val="0E93A02D"/>
    <w:rsid w:val="0E9B0C0B"/>
    <w:rsid w:val="0EAE2674"/>
    <w:rsid w:val="0ECB83C1"/>
    <w:rsid w:val="0EDDE351"/>
    <w:rsid w:val="0EF9AD19"/>
    <w:rsid w:val="0EFB0D80"/>
    <w:rsid w:val="0EFD3CAE"/>
    <w:rsid w:val="0EFF3B64"/>
    <w:rsid w:val="0F070CD5"/>
    <w:rsid w:val="0F1A845C"/>
    <w:rsid w:val="0F2FF943"/>
    <w:rsid w:val="0F4CC1CD"/>
    <w:rsid w:val="0F57337A"/>
    <w:rsid w:val="0F6031B3"/>
    <w:rsid w:val="0F641312"/>
    <w:rsid w:val="0F722781"/>
    <w:rsid w:val="0F87AC8C"/>
    <w:rsid w:val="0F88CF09"/>
    <w:rsid w:val="0F9DC328"/>
    <w:rsid w:val="0FACF3AA"/>
    <w:rsid w:val="0FB26CB7"/>
    <w:rsid w:val="0FB3CBAC"/>
    <w:rsid w:val="0FCB221C"/>
    <w:rsid w:val="0FCDF579"/>
    <w:rsid w:val="0FD68C68"/>
    <w:rsid w:val="0FDB88BD"/>
    <w:rsid w:val="0FF1FEC5"/>
    <w:rsid w:val="0FFD80B4"/>
    <w:rsid w:val="102C126E"/>
    <w:rsid w:val="10641834"/>
    <w:rsid w:val="106C7A2F"/>
    <w:rsid w:val="10770226"/>
    <w:rsid w:val="10811A19"/>
    <w:rsid w:val="10914E50"/>
    <w:rsid w:val="10A6D5A2"/>
    <w:rsid w:val="10C12A66"/>
    <w:rsid w:val="10C1FB73"/>
    <w:rsid w:val="10DC496D"/>
    <w:rsid w:val="10DEE4FF"/>
    <w:rsid w:val="10E626A8"/>
    <w:rsid w:val="10E7718A"/>
    <w:rsid w:val="10FE31C6"/>
    <w:rsid w:val="10FE9E76"/>
    <w:rsid w:val="111F6EBD"/>
    <w:rsid w:val="1125F465"/>
    <w:rsid w:val="11378BB6"/>
    <w:rsid w:val="11584C37"/>
    <w:rsid w:val="115D7340"/>
    <w:rsid w:val="1185DD84"/>
    <w:rsid w:val="1197DD7D"/>
    <w:rsid w:val="11A3FCCC"/>
    <w:rsid w:val="11ACD77A"/>
    <w:rsid w:val="11C4905D"/>
    <w:rsid w:val="11DABA9D"/>
    <w:rsid w:val="11DEE462"/>
    <w:rsid w:val="11EE492F"/>
    <w:rsid w:val="11F21EA9"/>
    <w:rsid w:val="11F59A85"/>
    <w:rsid w:val="11FBAFDB"/>
    <w:rsid w:val="11FCB8C6"/>
    <w:rsid w:val="1210BE1D"/>
    <w:rsid w:val="1232E9BD"/>
    <w:rsid w:val="123FEDF4"/>
    <w:rsid w:val="1253178E"/>
    <w:rsid w:val="125E64D8"/>
    <w:rsid w:val="129004BB"/>
    <w:rsid w:val="1291F9B6"/>
    <w:rsid w:val="129C6BF3"/>
    <w:rsid w:val="12B29C60"/>
    <w:rsid w:val="12DD3655"/>
    <w:rsid w:val="130059F8"/>
    <w:rsid w:val="13089FD0"/>
    <w:rsid w:val="13498BEC"/>
    <w:rsid w:val="1359738B"/>
    <w:rsid w:val="135A2FDE"/>
    <w:rsid w:val="138287FE"/>
    <w:rsid w:val="138D9879"/>
    <w:rsid w:val="139C6B7D"/>
    <w:rsid w:val="13A88378"/>
    <w:rsid w:val="13B24A82"/>
    <w:rsid w:val="13CB0E95"/>
    <w:rsid w:val="13CC83B3"/>
    <w:rsid w:val="13D641FA"/>
    <w:rsid w:val="13D6C224"/>
    <w:rsid w:val="13E94157"/>
    <w:rsid w:val="14217BB7"/>
    <w:rsid w:val="1428F8D8"/>
    <w:rsid w:val="14290BE3"/>
    <w:rsid w:val="142D09EB"/>
    <w:rsid w:val="143FFA74"/>
    <w:rsid w:val="144389CC"/>
    <w:rsid w:val="1447D3C1"/>
    <w:rsid w:val="14512D25"/>
    <w:rsid w:val="14565D6B"/>
    <w:rsid w:val="1461D3BF"/>
    <w:rsid w:val="148C1FED"/>
    <w:rsid w:val="14B2BB6D"/>
    <w:rsid w:val="14CF8343"/>
    <w:rsid w:val="14D05BF6"/>
    <w:rsid w:val="14E1FE5C"/>
    <w:rsid w:val="14E608B5"/>
    <w:rsid w:val="14EAFA44"/>
    <w:rsid w:val="14ECCB85"/>
    <w:rsid w:val="14EFCAC8"/>
    <w:rsid w:val="14F9B6E1"/>
    <w:rsid w:val="15015E85"/>
    <w:rsid w:val="1501ACCE"/>
    <w:rsid w:val="15032CF2"/>
    <w:rsid w:val="1507E50C"/>
    <w:rsid w:val="1511692A"/>
    <w:rsid w:val="1511BD71"/>
    <w:rsid w:val="152E5F21"/>
    <w:rsid w:val="153346DE"/>
    <w:rsid w:val="15544D59"/>
    <w:rsid w:val="155757B5"/>
    <w:rsid w:val="156ECD74"/>
    <w:rsid w:val="15804C5E"/>
    <w:rsid w:val="15982F84"/>
    <w:rsid w:val="159BDF17"/>
    <w:rsid w:val="15BFBA31"/>
    <w:rsid w:val="15D9DD52"/>
    <w:rsid w:val="15E1127A"/>
    <w:rsid w:val="15FA3E16"/>
    <w:rsid w:val="161773F5"/>
    <w:rsid w:val="1621420C"/>
    <w:rsid w:val="1635A237"/>
    <w:rsid w:val="163FA4A9"/>
    <w:rsid w:val="164528E7"/>
    <w:rsid w:val="164BC6E5"/>
    <w:rsid w:val="165D5159"/>
    <w:rsid w:val="167D7E49"/>
    <w:rsid w:val="1683930D"/>
    <w:rsid w:val="168BB876"/>
    <w:rsid w:val="16932A0F"/>
    <w:rsid w:val="16945BFA"/>
    <w:rsid w:val="169B9249"/>
    <w:rsid w:val="16A0654B"/>
    <w:rsid w:val="16AFEE6E"/>
    <w:rsid w:val="16B1633E"/>
    <w:rsid w:val="16E7DEDC"/>
    <w:rsid w:val="16F87065"/>
    <w:rsid w:val="16FF7088"/>
    <w:rsid w:val="170489DA"/>
    <w:rsid w:val="171D7E46"/>
    <w:rsid w:val="17203AD6"/>
    <w:rsid w:val="172429D3"/>
    <w:rsid w:val="175202AA"/>
    <w:rsid w:val="176C9947"/>
    <w:rsid w:val="17AE65A7"/>
    <w:rsid w:val="17BC1306"/>
    <w:rsid w:val="17C8C620"/>
    <w:rsid w:val="17C8F354"/>
    <w:rsid w:val="17C97446"/>
    <w:rsid w:val="17DC4746"/>
    <w:rsid w:val="1802AA58"/>
    <w:rsid w:val="18096B71"/>
    <w:rsid w:val="181F249B"/>
    <w:rsid w:val="182888D9"/>
    <w:rsid w:val="182EE24F"/>
    <w:rsid w:val="184613CD"/>
    <w:rsid w:val="18897496"/>
    <w:rsid w:val="1890F861"/>
    <w:rsid w:val="1895D7CC"/>
    <w:rsid w:val="18A68900"/>
    <w:rsid w:val="18B68567"/>
    <w:rsid w:val="18C5DBC6"/>
    <w:rsid w:val="18E61AA2"/>
    <w:rsid w:val="18F83C93"/>
    <w:rsid w:val="19041796"/>
    <w:rsid w:val="190F15A5"/>
    <w:rsid w:val="1920DC82"/>
    <w:rsid w:val="19229902"/>
    <w:rsid w:val="192CEE09"/>
    <w:rsid w:val="19319D69"/>
    <w:rsid w:val="1947AEA8"/>
    <w:rsid w:val="1968F382"/>
    <w:rsid w:val="196D728C"/>
    <w:rsid w:val="1984A592"/>
    <w:rsid w:val="19BBC693"/>
    <w:rsid w:val="19CF82A7"/>
    <w:rsid w:val="19DC7D60"/>
    <w:rsid w:val="19E8F2C1"/>
    <w:rsid w:val="1A2F6A40"/>
    <w:rsid w:val="1A31F537"/>
    <w:rsid w:val="1A465C01"/>
    <w:rsid w:val="1A54D917"/>
    <w:rsid w:val="1A7F59C7"/>
    <w:rsid w:val="1A89342A"/>
    <w:rsid w:val="1AA88021"/>
    <w:rsid w:val="1AB6ACDF"/>
    <w:rsid w:val="1ABC9AC4"/>
    <w:rsid w:val="1ADCDBC2"/>
    <w:rsid w:val="1AFA1A73"/>
    <w:rsid w:val="1B082A94"/>
    <w:rsid w:val="1B147163"/>
    <w:rsid w:val="1B42CE17"/>
    <w:rsid w:val="1B435B0A"/>
    <w:rsid w:val="1B48A335"/>
    <w:rsid w:val="1B49D15D"/>
    <w:rsid w:val="1B4DBFAF"/>
    <w:rsid w:val="1B6546CD"/>
    <w:rsid w:val="1B68D890"/>
    <w:rsid w:val="1B7FA601"/>
    <w:rsid w:val="1B87C6BD"/>
    <w:rsid w:val="1B897591"/>
    <w:rsid w:val="1BA014A9"/>
    <w:rsid w:val="1BA4BEA2"/>
    <w:rsid w:val="1BC70FBB"/>
    <w:rsid w:val="1BEECB39"/>
    <w:rsid w:val="1C01D915"/>
    <w:rsid w:val="1C044011"/>
    <w:rsid w:val="1C1ADC7F"/>
    <w:rsid w:val="1C3A468E"/>
    <w:rsid w:val="1C4D048F"/>
    <w:rsid w:val="1C5206BC"/>
    <w:rsid w:val="1C5EAD55"/>
    <w:rsid w:val="1C606208"/>
    <w:rsid w:val="1C64DE73"/>
    <w:rsid w:val="1C784A19"/>
    <w:rsid w:val="1CB2AC91"/>
    <w:rsid w:val="1CB8BF34"/>
    <w:rsid w:val="1CBF1963"/>
    <w:rsid w:val="1CEE1801"/>
    <w:rsid w:val="1CFA3733"/>
    <w:rsid w:val="1CFB039C"/>
    <w:rsid w:val="1D04D9E7"/>
    <w:rsid w:val="1D0C616F"/>
    <w:rsid w:val="1D0D7A40"/>
    <w:rsid w:val="1D0F2B3D"/>
    <w:rsid w:val="1D16C1AD"/>
    <w:rsid w:val="1D1E218E"/>
    <w:rsid w:val="1D2F3E16"/>
    <w:rsid w:val="1D2F6598"/>
    <w:rsid w:val="1D999A3F"/>
    <w:rsid w:val="1DBEC828"/>
    <w:rsid w:val="1DD49B90"/>
    <w:rsid w:val="1DEFA712"/>
    <w:rsid w:val="1E106098"/>
    <w:rsid w:val="1E44E065"/>
    <w:rsid w:val="1E6430F8"/>
    <w:rsid w:val="1E82A3E2"/>
    <w:rsid w:val="1EBE1F11"/>
    <w:rsid w:val="1EBECA4D"/>
    <w:rsid w:val="1EC0EAF2"/>
    <w:rsid w:val="1ED619AA"/>
    <w:rsid w:val="1EDEF45D"/>
    <w:rsid w:val="1EEC609D"/>
    <w:rsid w:val="1EFF556B"/>
    <w:rsid w:val="1F36EB1C"/>
    <w:rsid w:val="1F4BD57A"/>
    <w:rsid w:val="1F6E348C"/>
    <w:rsid w:val="1F713879"/>
    <w:rsid w:val="1F7399B1"/>
    <w:rsid w:val="1F827385"/>
    <w:rsid w:val="1F8D82CA"/>
    <w:rsid w:val="1F9015FC"/>
    <w:rsid w:val="1FA8FBAB"/>
    <w:rsid w:val="1FB163EA"/>
    <w:rsid w:val="1FB7C0EF"/>
    <w:rsid w:val="1FC59DFE"/>
    <w:rsid w:val="1FDC8486"/>
    <w:rsid w:val="1FDD3EAC"/>
    <w:rsid w:val="1FEA2DE4"/>
    <w:rsid w:val="1FF3D291"/>
    <w:rsid w:val="1FFDDA25"/>
    <w:rsid w:val="200722E6"/>
    <w:rsid w:val="20174256"/>
    <w:rsid w:val="202056C3"/>
    <w:rsid w:val="2023790E"/>
    <w:rsid w:val="2026B6A6"/>
    <w:rsid w:val="20297ADB"/>
    <w:rsid w:val="2035877B"/>
    <w:rsid w:val="2045DE16"/>
    <w:rsid w:val="20475705"/>
    <w:rsid w:val="206C169B"/>
    <w:rsid w:val="207621DF"/>
    <w:rsid w:val="20A9DF45"/>
    <w:rsid w:val="20E3DBFA"/>
    <w:rsid w:val="21031F37"/>
    <w:rsid w:val="21108C3A"/>
    <w:rsid w:val="2112CDDB"/>
    <w:rsid w:val="2113E6CB"/>
    <w:rsid w:val="21283A6C"/>
    <w:rsid w:val="215FDE4F"/>
    <w:rsid w:val="21661A1C"/>
    <w:rsid w:val="216D868F"/>
    <w:rsid w:val="21891598"/>
    <w:rsid w:val="219EDDDA"/>
    <w:rsid w:val="21B9E388"/>
    <w:rsid w:val="21C0C829"/>
    <w:rsid w:val="21DE98A8"/>
    <w:rsid w:val="21DF4D6A"/>
    <w:rsid w:val="21E02AEE"/>
    <w:rsid w:val="21E908B9"/>
    <w:rsid w:val="21F5B673"/>
    <w:rsid w:val="221EFF3C"/>
    <w:rsid w:val="2221E47F"/>
    <w:rsid w:val="222D3F9B"/>
    <w:rsid w:val="2230460A"/>
    <w:rsid w:val="229BBE9D"/>
    <w:rsid w:val="22A7CDDB"/>
    <w:rsid w:val="22ADA9D2"/>
    <w:rsid w:val="22BC0EFD"/>
    <w:rsid w:val="22C1ACCD"/>
    <w:rsid w:val="22C8AF75"/>
    <w:rsid w:val="22EA2114"/>
    <w:rsid w:val="23097CA1"/>
    <w:rsid w:val="2337D7DC"/>
    <w:rsid w:val="23561E07"/>
    <w:rsid w:val="237F790E"/>
    <w:rsid w:val="23929847"/>
    <w:rsid w:val="239C8E8E"/>
    <w:rsid w:val="23BC0D2D"/>
    <w:rsid w:val="23C8AD1B"/>
    <w:rsid w:val="23DB6CE0"/>
    <w:rsid w:val="23FD3B74"/>
    <w:rsid w:val="2413C09C"/>
    <w:rsid w:val="2429A190"/>
    <w:rsid w:val="24443CF3"/>
    <w:rsid w:val="2446A0E1"/>
    <w:rsid w:val="2460CD4E"/>
    <w:rsid w:val="2465E87B"/>
    <w:rsid w:val="24786FDA"/>
    <w:rsid w:val="247B6D5B"/>
    <w:rsid w:val="24840D3A"/>
    <w:rsid w:val="248DBDA8"/>
    <w:rsid w:val="24AC6765"/>
    <w:rsid w:val="24B78486"/>
    <w:rsid w:val="24C2BE65"/>
    <w:rsid w:val="24CED1CC"/>
    <w:rsid w:val="24F469DD"/>
    <w:rsid w:val="24F572AE"/>
    <w:rsid w:val="25144388"/>
    <w:rsid w:val="25165A89"/>
    <w:rsid w:val="2526ADEB"/>
    <w:rsid w:val="25385102"/>
    <w:rsid w:val="253C9F90"/>
    <w:rsid w:val="253CC1D2"/>
    <w:rsid w:val="2546DDEC"/>
    <w:rsid w:val="254CD91F"/>
    <w:rsid w:val="2566412B"/>
    <w:rsid w:val="256D5BDD"/>
    <w:rsid w:val="25A840C3"/>
    <w:rsid w:val="25BB3303"/>
    <w:rsid w:val="25C7FAB6"/>
    <w:rsid w:val="25C8E685"/>
    <w:rsid w:val="25DBF450"/>
    <w:rsid w:val="25FF60EE"/>
    <w:rsid w:val="2629ABE7"/>
    <w:rsid w:val="26557B5B"/>
    <w:rsid w:val="266553FD"/>
    <w:rsid w:val="2679A0C4"/>
    <w:rsid w:val="267FC45E"/>
    <w:rsid w:val="26809453"/>
    <w:rsid w:val="26A4A274"/>
    <w:rsid w:val="26A95900"/>
    <w:rsid w:val="26B7377F"/>
    <w:rsid w:val="26C61A84"/>
    <w:rsid w:val="26D181E2"/>
    <w:rsid w:val="26D9A5F8"/>
    <w:rsid w:val="26E1E8D4"/>
    <w:rsid w:val="26E28D1A"/>
    <w:rsid w:val="26E2B842"/>
    <w:rsid w:val="26E56F91"/>
    <w:rsid w:val="26E9FBDE"/>
    <w:rsid w:val="26FB7F57"/>
    <w:rsid w:val="27022588"/>
    <w:rsid w:val="2707B706"/>
    <w:rsid w:val="271DBFFA"/>
    <w:rsid w:val="2721DA67"/>
    <w:rsid w:val="2725BA86"/>
    <w:rsid w:val="2725BEB9"/>
    <w:rsid w:val="273A0B98"/>
    <w:rsid w:val="273EC81D"/>
    <w:rsid w:val="2762C9A3"/>
    <w:rsid w:val="2786178B"/>
    <w:rsid w:val="278AEB53"/>
    <w:rsid w:val="27A55B05"/>
    <w:rsid w:val="27A8ED83"/>
    <w:rsid w:val="27CB69E6"/>
    <w:rsid w:val="27DC9650"/>
    <w:rsid w:val="27F3D274"/>
    <w:rsid w:val="27F9DAFD"/>
    <w:rsid w:val="281E3754"/>
    <w:rsid w:val="281E5D9E"/>
    <w:rsid w:val="283424E4"/>
    <w:rsid w:val="283666EE"/>
    <w:rsid w:val="2845FABF"/>
    <w:rsid w:val="28483AA6"/>
    <w:rsid w:val="2865C58A"/>
    <w:rsid w:val="287922AF"/>
    <w:rsid w:val="28846CD0"/>
    <w:rsid w:val="28937EED"/>
    <w:rsid w:val="28982D03"/>
    <w:rsid w:val="28A7FC59"/>
    <w:rsid w:val="28D38D19"/>
    <w:rsid w:val="28D64C82"/>
    <w:rsid w:val="28DB0A2B"/>
    <w:rsid w:val="28E5A6F4"/>
    <w:rsid w:val="28EBCA48"/>
    <w:rsid w:val="28EBEB44"/>
    <w:rsid w:val="29056C68"/>
    <w:rsid w:val="29065534"/>
    <w:rsid w:val="2906C963"/>
    <w:rsid w:val="2916F08F"/>
    <w:rsid w:val="291B87BA"/>
    <w:rsid w:val="291C2913"/>
    <w:rsid w:val="29213E07"/>
    <w:rsid w:val="292518E4"/>
    <w:rsid w:val="29330005"/>
    <w:rsid w:val="2937DA92"/>
    <w:rsid w:val="2938A157"/>
    <w:rsid w:val="293AE50D"/>
    <w:rsid w:val="294A9AED"/>
    <w:rsid w:val="297804E4"/>
    <w:rsid w:val="299B552E"/>
    <w:rsid w:val="29ABCFF1"/>
    <w:rsid w:val="29C4FD0B"/>
    <w:rsid w:val="29D754D5"/>
    <w:rsid w:val="29E79E1D"/>
    <w:rsid w:val="2A0955F9"/>
    <w:rsid w:val="2A0DBAA4"/>
    <w:rsid w:val="2A15B4F7"/>
    <w:rsid w:val="2A16418A"/>
    <w:rsid w:val="2A322B34"/>
    <w:rsid w:val="2A43BB04"/>
    <w:rsid w:val="2A539DC7"/>
    <w:rsid w:val="2A66B7FE"/>
    <w:rsid w:val="2A795418"/>
    <w:rsid w:val="2A796D76"/>
    <w:rsid w:val="2A79CE85"/>
    <w:rsid w:val="2A7A1DFB"/>
    <w:rsid w:val="2A7B0DC2"/>
    <w:rsid w:val="2A9E7AD7"/>
    <w:rsid w:val="2AA70504"/>
    <w:rsid w:val="2AC13BCC"/>
    <w:rsid w:val="2ACC28D6"/>
    <w:rsid w:val="2AE162CB"/>
    <w:rsid w:val="2AE6B80C"/>
    <w:rsid w:val="2AE7BA3D"/>
    <w:rsid w:val="2B0D7DBA"/>
    <w:rsid w:val="2B42D064"/>
    <w:rsid w:val="2B480CD4"/>
    <w:rsid w:val="2B7638E5"/>
    <w:rsid w:val="2B81705E"/>
    <w:rsid w:val="2B82C884"/>
    <w:rsid w:val="2B874C71"/>
    <w:rsid w:val="2BD358A8"/>
    <w:rsid w:val="2BD83FCA"/>
    <w:rsid w:val="2BE0F5AE"/>
    <w:rsid w:val="2BE6865B"/>
    <w:rsid w:val="2BF1383A"/>
    <w:rsid w:val="2BFF3DA8"/>
    <w:rsid w:val="2C05AB6C"/>
    <w:rsid w:val="2C0859C3"/>
    <w:rsid w:val="2C0A536F"/>
    <w:rsid w:val="2C104FDE"/>
    <w:rsid w:val="2C15E393"/>
    <w:rsid w:val="2C19F50E"/>
    <w:rsid w:val="2C21078F"/>
    <w:rsid w:val="2C3EB6F1"/>
    <w:rsid w:val="2C4FAFE0"/>
    <w:rsid w:val="2C5A437A"/>
    <w:rsid w:val="2C7560CD"/>
    <w:rsid w:val="2C7C4E28"/>
    <w:rsid w:val="2C7E09D0"/>
    <w:rsid w:val="2C7E5B08"/>
    <w:rsid w:val="2CA7E4DB"/>
    <w:rsid w:val="2CAC5B1B"/>
    <w:rsid w:val="2CBAB2C3"/>
    <w:rsid w:val="2CC12093"/>
    <w:rsid w:val="2CC20644"/>
    <w:rsid w:val="2CC22011"/>
    <w:rsid w:val="2CD8376A"/>
    <w:rsid w:val="2CF12E8F"/>
    <w:rsid w:val="2CF236D3"/>
    <w:rsid w:val="2CFB3E28"/>
    <w:rsid w:val="2D197EE3"/>
    <w:rsid w:val="2D1C6A67"/>
    <w:rsid w:val="2D208FDA"/>
    <w:rsid w:val="2D27C622"/>
    <w:rsid w:val="2D28D8A4"/>
    <w:rsid w:val="2D2A9793"/>
    <w:rsid w:val="2D55BED3"/>
    <w:rsid w:val="2D5AB652"/>
    <w:rsid w:val="2D6E742D"/>
    <w:rsid w:val="2D704A5A"/>
    <w:rsid w:val="2D828001"/>
    <w:rsid w:val="2D8C078E"/>
    <w:rsid w:val="2D8CBFD0"/>
    <w:rsid w:val="2D939FAC"/>
    <w:rsid w:val="2DAC0BEC"/>
    <w:rsid w:val="2DB90D81"/>
    <w:rsid w:val="2DC69A9B"/>
    <w:rsid w:val="2DCA7500"/>
    <w:rsid w:val="2DCB6838"/>
    <w:rsid w:val="2DCB96F6"/>
    <w:rsid w:val="2DCD0605"/>
    <w:rsid w:val="2DCE1A82"/>
    <w:rsid w:val="2DDF7782"/>
    <w:rsid w:val="2DEDEA2B"/>
    <w:rsid w:val="2E0C7006"/>
    <w:rsid w:val="2E2D6ED5"/>
    <w:rsid w:val="2E306D8C"/>
    <w:rsid w:val="2E3079B3"/>
    <w:rsid w:val="2E5E270F"/>
    <w:rsid w:val="2E62BF0A"/>
    <w:rsid w:val="2E8FAAEB"/>
    <w:rsid w:val="2E9F1B01"/>
    <w:rsid w:val="2EB8C5A8"/>
    <w:rsid w:val="2EC50FF2"/>
    <w:rsid w:val="2EEC36A2"/>
    <w:rsid w:val="2EFBC68A"/>
    <w:rsid w:val="2F09A070"/>
    <w:rsid w:val="2F1F2415"/>
    <w:rsid w:val="2F375964"/>
    <w:rsid w:val="2F4A6B5F"/>
    <w:rsid w:val="2F51C884"/>
    <w:rsid w:val="2F5B07C5"/>
    <w:rsid w:val="2F62538A"/>
    <w:rsid w:val="2F62F096"/>
    <w:rsid w:val="2F808DD6"/>
    <w:rsid w:val="2F974AED"/>
    <w:rsid w:val="2FBF56A7"/>
    <w:rsid w:val="2FDCFF28"/>
    <w:rsid w:val="2FE2C1FA"/>
    <w:rsid w:val="2FE84CFE"/>
    <w:rsid w:val="2FFE66FC"/>
    <w:rsid w:val="2FFF5F0B"/>
    <w:rsid w:val="301E01EC"/>
    <w:rsid w:val="301F0912"/>
    <w:rsid w:val="303AEA86"/>
    <w:rsid w:val="304A0B9B"/>
    <w:rsid w:val="304E64DE"/>
    <w:rsid w:val="305EDF3D"/>
    <w:rsid w:val="3073FD6C"/>
    <w:rsid w:val="308D414D"/>
    <w:rsid w:val="30A719BA"/>
    <w:rsid w:val="30CD93EC"/>
    <w:rsid w:val="310E693A"/>
    <w:rsid w:val="311D6ED3"/>
    <w:rsid w:val="3143F250"/>
    <w:rsid w:val="316B8F74"/>
    <w:rsid w:val="31739EAD"/>
    <w:rsid w:val="31882E3C"/>
    <w:rsid w:val="3190461E"/>
    <w:rsid w:val="319B23B6"/>
    <w:rsid w:val="31A62555"/>
    <w:rsid w:val="31C5F20A"/>
    <w:rsid w:val="31CDE80D"/>
    <w:rsid w:val="31D87959"/>
    <w:rsid w:val="31F4CBEC"/>
    <w:rsid w:val="31FF47BB"/>
    <w:rsid w:val="32336021"/>
    <w:rsid w:val="324128D8"/>
    <w:rsid w:val="324FD77E"/>
    <w:rsid w:val="3259049A"/>
    <w:rsid w:val="325A298F"/>
    <w:rsid w:val="325E5EE0"/>
    <w:rsid w:val="326C13DC"/>
    <w:rsid w:val="326E476F"/>
    <w:rsid w:val="3272CED2"/>
    <w:rsid w:val="32B63D86"/>
    <w:rsid w:val="32B9957A"/>
    <w:rsid w:val="32BA8EF1"/>
    <w:rsid w:val="32C581C6"/>
    <w:rsid w:val="32CFB99F"/>
    <w:rsid w:val="32D432E9"/>
    <w:rsid w:val="32E3DBFC"/>
    <w:rsid w:val="332050BB"/>
    <w:rsid w:val="332FD9A1"/>
    <w:rsid w:val="3336A7DC"/>
    <w:rsid w:val="333DBAE9"/>
    <w:rsid w:val="3357A8A2"/>
    <w:rsid w:val="336F11EB"/>
    <w:rsid w:val="337350E5"/>
    <w:rsid w:val="3376827A"/>
    <w:rsid w:val="33786BA2"/>
    <w:rsid w:val="33823343"/>
    <w:rsid w:val="338686BA"/>
    <w:rsid w:val="338FADF2"/>
    <w:rsid w:val="33C59199"/>
    <w:rsid w:val="33CDF874"/>
    <w:rsid w:val="33D09184"/>
    <w:rsid w:val="33D0D608"/>
    <w:rsid w:val="33E0831F"/>
    <w:rsid w:val="33E1CDE3"/>
    <w:rsid w:val="33EE5B25"/>
    <w:rsid w:val="33F19B20"/>
    <w:rsid w:val="33FECB83"/>
    <w:rsid w:val="340DD1E1"/>
    <w:rsid w:val="341811D1"/>
    <w:rsid w:val="3432862D"/>
    <w:rsid w:val="34345499"/>
    <w:rsid w:val="34392E87"/>
    <w:rsid w:val="343C26C5"/>
    <w:rsid w:val="3442E44B"/>
    <w:rsid w:val="3452843D"/>
    <w:rsid w:val="346070A1"/>
    <w:rsid w:val="3477EE79"/>
    <w:rsid w:val="347B557A"/>
    <w:rsid w:val="34CB336F"/>
    <w:rsid w:val="34DAC6AA"/>
    <w:rsid w:val="34F8F0BD"/>
    <w:rsid w:val="34FCF63C"/>
    <w:rsid w:val="34FDC72C"/>
    <w:rsid w:val="3500DE79"/>
    <w:rsid w:val="3501B9C3"/>
    <w:rsid w:val="3513FEA2"/>
    <w:rsid w:val="35287C2B"/>
    <w:rsid w:val="3555EC54"/>
    <w:rsid w:val="356DD642"/>
    <w:rsid w:val="3581F919"/>
    <w:rsid w:val="358AC368"/>
    <w:rsid w:val="35924640"/>
    <w:rsid w:val="359CD065"/>
    <w:rsid w:val="35A6F899"/>
    <w:rsid w:val="35B1069A"/>
    <w:rsid w:val="35DA86EA"/>
    <w:rsid w:val="35DABD41"/>
    <w:rsid w:val="35DC6161"/>
    <w:rsid w:val="35DE27F0"/>
    <w:rsid w:val="35E9F04E"/>
    <w:rsid w:val="35EB26A2"/>
    <w:rsid w:val="3617FE8B"/>
    <w:rsid w:val="36187E97"/>
    <w:rsid w:val="362431E8"/>
    <w:rsid w:val="363F0917"/>
    <w:rsid w:val="36459B7F"/>
    <w:rsid w:val="36479294"/>
    <w:rsid w:val="364F642F"/>
    <w:rsid w:val="366404C9"/>
    <w:rsid w:val="368946CB"/>
    <w:rsid w:val="36903097"/>
    <w:rsid w:val="3690F1C3"/>
    <w:rsid w:val="36948329"/>
    <w:rsid w:val="36A4ECF6"/>
    <w:rsid w:val="36AD9229"/>
    <w:rsid w:val="36B32C8E"/>
    <w:rsid w:val="36C84BA1"/>
    <w:rsid w:val="36D55B39"/>
    <w:rsid w:val="36E2E25D"/>
    <w:rsid w:val="36E839FE"/>
    <w:rsid w:val="36EF1758"/>
    <w:rsid w:val="3715F9C3"/>
    <w:rsid w:val="3725CFAC"/>
    <w:rsid w:val="37277BEA"/>
    <w:rsid w:val="37297608"/>
    <w:rsid w:val="373D28D6"/>
    <w:rsid w:val="37458EA5"/>
    <w:rsid w:val="374DDF89"/>
    <w:rsid w:val="375D42FF"/>
    <w:rsid w:val="377D1B4F"/>
    <w:rsid w:val="377FDE99"/>
    <w:rsid w:val="3781708A"/>
    <w:rsid w:val="378C7D44"/>
    <w:rsid w:val="379A5551"/>
    <w:rsid w:val="37B83B8D"/>
    <w:rsid w:val="37D720CD"/>
    <w:rsid w:val="37E8CFE1"/>
    <w:rsid w:val="37FA9A83"/>
    <w:rsid w:val="37FAA393"/>
    <w:rsid w:val="380CBF32"/>
    <w:rsid w:val="380D2A3B"/>
    <w:rsid w:val="38240341"/>
    <w:rsid w:val="3826A53F"/>
    <w:rsid w:val="382B85C5"/>
    <w:rsid w:val="3836FD4B"/>
    <w:rsid w:val="383A2307"/>
    <w:rsid w:val="386D39B7"/>
    <w:rsid w:val="3873669A"/>
    <w:rsid w:val="38CD90ED"/>
    <w:rsid w:val="38DD3AC3"/>
    <w:rsid w:val="38E6FCAD"/>
    <w:rsid w:val="38FAFB96"/>
    <w:rsid w:val="38FCDEDF"/>
    <w:rsid w:val="392E2AB4"/>
    <w:rsid w:val="39401C57"/>
    <w:rsid w:val="394A4788"/>
    <w:rsid w:val="3950993E"/>
    <w:rsid w:val="3956AFF4"/>
    <w:rsid w:val="396AF8E2"/>
    <w:rsid w:val="3970CF34"/>
    <w:rsid w:val="3994F8D9"/>
    <w:rsid w:val="39D93AD1"/>
    <w:rsid w:val="39E147B3"/>
    <w:rsid w:val="39EEC55A"/>
    <w:rsid w:val="39F3F1C8"/>
    <w:rsid w:val="39F8BFD7"/>
    <w:rsid w:val="39FDAB68"/>
    <w:rsid w:val="3A070E8E"/>
    <w:rsid w:val="3A07BB31"/>
    <w:rsid w:val="3A14AA5D"/>
    <w:rsid w:val="3A15CAA2"/>
    <w:rsid w:val="3A22B8C0"/>
    <w:rsid w:val="3A277BE5"/>
    <w:rsid w:val="3A2C85AA"/>
    <w:rsid w:val="3A2D185C"/>
    <w:rsid w:val="3A3B409B"/>
    <w:rsid w:val="3A404920"/>
    <w:rsid w:val="3A4950F7"/>
    <w:rsid w:val="3A6845C9"/>
    <w:rsid w:val="3A74449D"/>
    <w:rsid w:val="3A77B3DB"/>
    <w:rsid w:val="3A797DAE"/>
    <w:rsid w:val="3A7C4E5C"/>
    <w:rsid w:val="3A9A9C1B"/>
    <w:rsid w:val="3AAD2BC0"/>
    <w:rsid w:val="3AC32544"/>
    <w:rsid w:val="3AC8B0C7"/>
    <w:rsid w:val="3AD71AF5"/>
    <w:rsid w:val="3AECA51C"/>
    <w:rsid w:val="3AF9877B"/>
    <w:rsid w:val="3AF9DE7A"/>
    <w:rsid w:val="3AFA828B"/>
    <w:rsid w:val="3B106172"/>
    <w:rsid w:val="3B358ECA"/>
    <w:rsid w:val="3B44DA4A"/>
    <w:rsid w:val="3B67725F"/>
    <w:rsid w:val="3B6E180D"/>
    <w:rsid w:val="3B712B2A"/>
    <w:rsid w:val="3B914CC0"/>
    <w:rsid w:val="3B9E2B52"/>
    <w:rsid w:val="3BAEA882"/>
    <w:rsid w:val="3BBC8E1D"/>
    <w:rsid w:val="3BC05FB4"/>
    <w:rsid w:val="3BD75322"/>
    <w:rsid w:val="3BD8E8A1"/>
    <w:rsid w:val="3BE62BE5"/>
    <w:rsid w:val="3C0EE3E1"/>
    <w:rsid w:val="3C102BD5"/>
    <w:rsid w:val="3C1FD2D7"/>
    <w:rsid w:val="3C2E6C30"/>
    <w:rsid w:val="3C4D5411"/>
    <w:rsid w:val="3C4DE6E8"/>
    <w:rsid w:val="3C74FFCC"/>
    <w:rsid w:val="3C7902CF"/>
    <w:rsid w:val="3C7FB102"/>
    <w:rsid w:val="3CDE7435"/>
    <w:rsid w:val="3D013786"/>
    <w:rsid w:val="3D56B227"/>
    <w:rsid w:val="3D5C0003"/>
    <w:rsid w:val="3D7623FB"/>
    <w:rsid w:val="3D835525"/>
    <w:rsid w:val="3D8B88EC"/>
    <w:rsid w:val="3D90E9A2"/>
    <w:rsid w:val="3D98DBCA"/>
    <w:rsid w:val="3DA3385B"/>
    <w:rsid w:val="3DA5606E"/>
    <w:rsid w:val="3DC73D34"/>
    <w:rsid w:val="3DC7BB08"/>
    <w:rsid w:val="3DE068FA"/>
    <w:rsid w:val="3DEA021C"/>
    <w:rsid w:val="3DEE3FB7"/>
    <w:rsid w:val="3DEFABBB"/>
    <w:rsid w:val="3E10376E"/>
    <w:rsid w:val="3E2C3D38"/>
    <w:rsid w:val="3E2FF9C5"/>
    <w:rsid w:val="3E3B7BEF"/>
    <w:rsid w:val="3E3DF767"/>
    <w:rsid w:val="3E42C867"/>
    <w:rsid w:val="3E70DFB3"/>
    <w:rsid w:val="3EA2EB7C"/>
    <w:rsid w:val="3EB9051C"/>
    <w:rsid w:val="3EC0171A"/>
    <w:rsid w:val="3ED54E2F"/>
    <w:rsid w:val="3EE874C5"/>
    <w:rsid w:val="3EF02925"/>
    <w:rsid w:val="3EF6AF4B"/>
    <w:rsid w:val="3F0C9BA6"/>
    <w:rsid w:val="3F1EA658"/>
    <w:rsid w:val="3F1EF1FB"/>
    <w:rsid w:val="3F1F8DC3"/>
    <w:rsid w:val="3F22076C"/>
    <w:rsid w:val="3F303E17"/>
    <w:rsid w:val="3F31FA18"/>
    <w:rsid w:val="3F4B05D8"/>
    <w:rsid w:val="3F4CB1D0"/>
    <w:rsid w:val="3F4EA410"/>
    <w:rsid w:val="3F70CF5F"/>
    <w:rsid w:val="3F76E4D5"/>
    <w:rsid w:val="3F7F1951"/>
    <w:rsid w:val="3F91CE90"/>
    <w:rsid w:val="3F9A66B6"/>
    <w:rsid w:val="3FB76F33"/>
    <w:rsid w:val="3FB7D9E6"/>
    <w:rsid w:val="3FC3D79F"/>
    <w:rsid w:val="3FC90420"/>
    <w:rsid w:val="3FF0C55E"/>
    <w:rsid w:val="3FFC26E6"/>
    <w:rsid w:val="40216015"/>
    <w:rsid w:val="402C5E7D"/>
    <w:rsid w:val="403CB2A4"/>
    <w:rsid w:val="405A1777"/>
    <w:rsid w:val="40757B77"/>
    <w:rsid w:val="4077D3EB"/>
    <w:rsid w:val="4085F4CA"/>
    <w:rsid w:val="409AD25C"/>
    <w:rsid w:val="40A3C945"/>
    <w:rsid w:val="40A3E18F"/>
    <w:rsid w:val="40ACA962"/>
    <w:rsid w:val="40B75559"/>
    <w:rsid w:val="40BD6504"/>
    <w:rsid w:val="40C48789"/>
    <w:rsid w:val="40FE3C9C"/>
    <w:rsid w:val="41006FA8"/>
    <w:rsid w:val="410C49F4"/>
    <w:rsid w:val="410E8317"/>
    <w:rsid w:val="411A8870"/>
    <w:rsid w:val="4127F521"/>
    <w:rsid w:val="4129C0B7"/>
    <w:rsid w:val="413465B9"/>
    <w:rsid w:val="413D1EE9"/>
    <w:rsid w:val="4146B2F0"/>
    <w:rsid w:val="414D5545"/>
    <w:rsid w:val="4151CD70"/>
    <w:rsid w:val="41566039"/>
    <w:rsid w:val="417CBA98"/>
    <w:rsid w:val="4185D669"/>
    <w:rsid w:val="41964414"/>
    <w:rsid w:val="41A97F1E"/>
    <w:rsid w:val="41C2932A"/>
    <w:rsid w:val="41D6A1C4"/>
    <w:rsid w:val="41E77836"/>
    <w:rsid w:val="41EA347E"/>
    <w:rsid w:val="41F94AC1"/>
    <w:rsid w:val="420478D4"/>
    <w:rsid w:val="42085D45"/>
    <w:rsid w:val="423776D4"/>
    <w:rsid w:val="4240AEDE"/>
    <w:rsid w:val="42950CE5"/>
    <w:rsid w:val="42A80D78"/>
    <w:rsid w:val="42AE28CC"/>
    <w:rsid w:val="42BA2B7F"/>
    <w:rsid w:val="42BA68F4"/>
    <w:rsid w:val="42C6A791"/>
    <w:rsid w:val="42D99A2C"/>
    <w:rsid w:val="42F45FEE"/>
    <w:rsid w:val="42F6B927"/>
    <w:rsid w:val="432E9C92"/>
    <w:rsid w:val="4330E92D"/>
    <w:rsid w:val="435B532D"/>
    <w:rsid w:val="4366B883"/>
    <w:rsid w:val="43688451"/>
    <w:rsid w:val="4376CB2C"/>
    <w:rsid w:val="43824105"/>
    <w:rsid w:val="439C55EE"/>
    <w:rsid w:val="43A3B805"/>
    <w:rsid w:val="43BB56FE"/>
    <w:rsid w:val="43CC3908"/>
    <w:rsid w:val="43CFBDD3"/>
    <w:rsid w:val="43D86257"/>
    <w:rsid w:val="43DD9FED"/>
    <w:rsid w:val="43EA33E1"/>
    <w:rsid w:val="43F4E6B0"/>
    <w:rsid w:val="43FB77D9"/>
    <w:rsid w:val="44068D7F"/>
    <w:rsid w:val="440EC753"/>
    <w:rsid w:val="44103137"/>
    <w:rsid w:val="442079B6"/>
    <w:rsid w:val="443294F2"/>
    <w:rsid w:val="44384D88"/>
    <w:rsid w:val="4453FD2C"/>
    <w:rsid w:val="44549A6E"/>
    <w:rsid w:val="4469CA9A"/>
    <w:rsid w:val="447B93D5"/>
    <w:rsid w:val="44827271"/>
    <w:rsid w:val="4482C88D"/>
    <w:rsid w:val="4489AB03"/>
    <w:rsid w:val="448F374E"/>
    <w:rsid w:val="44990F6B"/>
    <w:rsid w:val="44A8E2FC"/>
    <w:rsid w:val="44CAC37D"/>
    <w:rsid w:val="44D9162E"/>
    <w:rsid w:val="44EBE5D6"/>
    <w:rsid w:val="44F3E874"/>
    <w:rsid w:val="44F95B19"/>
    <w:rsid w:val="451F1A71"/>
    <w:rsid w:val="452B21E7"/>
    <w:rsid w:val="452EDDFC"/>
    <w:rsid w:val="453612DC"/>
    <w:rsid w:val="45414236"/>
    <w:rsid w:val="456D3B72"/>
    <w:rsid w:val="4576182E"/>
    <w:rsid w:val="45791DFE"/>
    <w:rsid w:val="457EA27F"/>
    <w:rsid w:val="457F327F"/>
    <w:rsid w:val="458699D3"/>
    <w:rsid w:val="45A02200"/>
    <w:rsid w:val="45A75568"/>
    <w:rsid w:val="45B3416A"/>
    <w:rsid w:val="45DBCCDA"/>
    <w:rsid w:val="45DD948E"/>
    <w:rsid w:val="45EA278D"/>
    <w:rsid w:val="45F12D68"/>
    <w:rsid w:val="45F81125"/>
    <w:rsid w:val="45FB5008"/>
    <w:rsid w:val="460AB37C"/>
    <w:rsid w:val="460E1DAF"/>
    <w:rsid w:val="46114B92"/>
    <w:rsid w:val="461F709E"/>
    <w:rsid w:val="4628FBB2"/>
    <w:rsid w:val="463E6D06"/>
    <w:rsid w:val="4640B26D"/>
    <w:rsid w:val="464BF99A"/>
    <w:rsid w:val="4651FA4D"/>
    <w:rsid w:val="46620895"/>
    <w:rsid w:val="466B7BD6"/>
    <w:rsid w:val="4673F4C4"/>
    <w:rsid w:val="46A233CE"/>
    <w:rsid w:val="46A472CE"/>
    <w:rsid w:val="46EBAE4D"/>
    <w:rsid w:val="46EC0326"/>
    <w:rsid w:val="46EC7892"/>
    <w:rsid w:val="470775A3"/>
    <w:rsid w:val="4725566F"/>
    <w:rsid w:val="472B565D"/>
    <w:rsid w:val="472C525B"/>
    <w:rsid w:val="472E3621"/>
    <w:rsid w:val="474338DB"/>
    <w:rsid w:val="47442ACC"/>
    <w:rsid w:val="475A9E5A"/>
    <w:rsid w:val="476921C2"/>
    <w:rsid w:val="4777652C"/>
    <w:rsid w:val="4788CCEA"/>
    <w:rsid w:val="478F8663"/>
    <w:rsid w:val="479FB6F5"/>
    <w:rsid w:val="47AFC133"/>
    <w:rsid w:val="47B9DFC8"/>
    <w:rsid w:val="47C2CD7A"/>
    <w:rsid w:val="47C99472"/>
    <w:rsid w:val="47DBC00E"/>
    <w:rsid w:val="47F96119"/>
    <w:rsid w:val="47FB3A40"/>
    <w:rsid w:val="48092DA6"/>
    <w:rsid w:val="481A41C1"/>
    <w:rsid w:val="4840ADA9"/>
    <w:rsid w:val="485A1B18"/>
    <w:rsid w:val="485BCBB9"/>
    <w:rsid w:val="4865738C"/>
    <w:rsid w:val="4888B5A9"/>
    <w:rsid w:val="4893B313"/>
    <w:rsid w:val="48BADDAE"/>
    <w:rsid w:val="48BD26F1"/>
    <w:rsid w:val="48C5D5E3"/>
    <w:rsid w:val="48C9ACAE"/>
    <w:rsid w:val="48CD29B1"/>
    <w:rsid w:val="48EC2FF5"/>
    <w:rsid w:val="48F176C5"/>
    <w:rsid w:val="48F99985"/>
    <w:rsid w:val="49089233"/>
    <w:rsid w:val="491BECAB"/>
    <w:rsid w:val="491CC725"/>
    <w:rsid w:val="491DB40C"/>
    <w:rsid w:val="4926B9DC"/>
    <w:rsid w:val="492F3FB0"/>
    <w:rsid w:val="49323FFD"/>
    <w:rsid w:val="493877E1"/>
    <w:rsid w:val="494837EC"/>
    <w:rsid w:val="494F7472"/>
    <w:rsid w:val="4952A0EF"/>
    <w:rsid w:val="4961D39E"/>
    <w:rsid w:val="49750462"/>
    <w:rsid w:val="49768F52"/>
    <w:rsid w:val="4977BE3B"/>
    <w:rsid w:val="4981D3FD"/>
    <w:rsid w:val="49BC025E"/>
    <w:rsid w:val="49C170F4"/>
    <w:rsid w:val="49D5F02D"/>
    <w:rsid w:val="49F9C65D"/>
    <w:rsid w:val="49FB1589"/>
    <w:rsid w:val="4A0DBB1C"/>
    <w:rsid w:val="4A1F50D7"/>
    <w:rsid w:val="4A461DC5"/>
    <w:rsid w:val="4A4C2962"/>
    <w:rsid w:val="4A53ACA8"/>
    <w:rsid w:val="4A5F552C"/>
    <w:rsid w:val="4A6A947E"/>
    <w:rsid w:val="4AA0441E"/>
    <w:rsid w:val="4AA4605B"/>
    <w:rsid w:val="4AA66162"/>
    <w:rsid w:val="4AAD2739"/>
    <w:rsid w:val="4AAFD1BF"/>
    <w:rsid w:val="4AB4FBBC"/>
    <w:rsid w:val="4AB85B11"/>
    <w:rsid w:val="4AFAE35D"/>
    <w:rsid w:val="4AFBA46F"/>
    <w:rsid w:val="4B3D5FF8"/>
    <w:rsid w:val="4B51509E"/>
    <w:rsid w:val="4B59DBF6"/>
    <w:rsid w:val="4B71412A"/>
    <w:rsid w:val="4B7F4361"/>
    <w:rsid w:val="4B7FA812"/>
    <w:rsid w:val="4B8A004E"/>
    <w:rsid w:val="4B90B51D"/>
    <w:rsid w:val="4B9590C5"/>
    <w:rsid w:val="4BA8AAF0"/>
    <w:rsid w:val="4BBF695E"/>
    <w:rsid w:val="4BC748BA"/>
    <w:rsid w:val="4BE73558"/>
    <w:rsid w:val="4BF6C7FA"/>
    <w:rsid w:val="4C20124D"/>
    <w:rsid w:val="4C2A0679"/>
    <w:rsid w:val="4C37CE9F"/>
    <w:rsid w:val="4C5AF5FF"/>
    <w:rsid w:val="4C6027E7"/>
    <w:rsid w:val="4C6A5473"/>
    <w:rsid w:val="4C8138DA"/>
    <w:rsid w:val="4C91CF59"/>
    <w:rsid w:val="4C9CA815"/>
    <w:rsid w:val="4CA3F074"/>
    <w:rsid w:val="4CC5681D"/>
    <w:rsid w:val="4CCD5E4A"/>
    <w:rsid w:val="4CDD6C22"/>
    <w:rsid w:val="4CE81020"/>
    <w:rsid w:val="4CF53D52"/>
    <w:rsid w:val="4D011188"/>
    <w:rsid w:val="4D07B47E"/>
    <w:rsid w:val="4D17F8D4"/>
    <w:rsid w:val="4D197AEB"/>
    <w:rsid w:val="4D1D3573"/>
    <w:rsid w:val="4D1EB2C6"/>
    <w:rsid w:val="4D287E46"/>
    <w:rsid w:val="4D2B1678"/>
    <w:rsid w:val="4D30A53A"/>
    <w:rsid w:val="4D62865A"/>
    <w:rsid w:val="4D63498A"/>
    <w:rsid w:val="4D674ABC"/>
    <w:rsid w:val="4D79A02B"/>
    <w:rsid w:val="4D7F1D9C"/>
    <w:rsid w:val="4D7F62AB"/>
    <w:rsid w:val="4D83D967"/>
    <w:rsid w:val="4DC0A9DC"/>
    <w:rsid w:val="4DD526FA"/>
    <w:rsid w:val="4DDB2ACB"/>
    <w:rsid w:val="4DE71895"/>
    <w:rsid w:val="4DF9CD00"/>
    <w:rsid w:val="4E030C74"/>
    <w:rsid w:val="4E05E543"/>
    <w:rsid w:val="4E313927"/>
    <w:rsid w:val="4E3B077D"/>
    <w:rsid w:val="4E6006F3"/>
    <w:rsid w:val="4E66AABB"/>
    <w:rsid w:val="4E677B08"/>
    <w:rsid w:val="4E7C58D5"/>
    <w:rsid w:val="4E803AE4"/>
    <w:rsid w:val="4E804494"/>
    <w:rsid w:val="4E96D19E"/>
    <w:rsid w:val="4E9A5758"/>
    <w:rsid w:val="4EA48D5A"/>
    <w:rsid w:val="4EB8C30C"/>
    <w:rsid w:val="4EBD0544"/>
    <w:rsid w:val="4EBF1A73"/>
    <w:rsid w:val="4EBF4E27"/>
    <w:rsid w:val="4ED192BB"/>
    <w:rsid w:val="4EE11F34"/>
    <w:rsid w:val="4EF8A6E0"/>
    <w:rsid w:val="4F01CC59"/>
    <w:rsid w:val="4F0C51E1"/>
    <w:rsid w:val="4F0D3476"/>
    <w:rsid w:val="4F224AB2"/>
    <w:rsid w:val="4F35CDD1"/>
    <w:rsid w:val="4F3B4608"/>
    <w:rsid w:val="4F46D42E"/>
    <w:rsid w:val="4F4747D1"/>
    <w:rsid w:val="4F7ABE37"/>
    <w:rsid w:val="4F7FA945"/>
    <w:rsid w:val="4F89D4B7"/>
    <w:rsid w:val="4F8C0E56"/>
    <w:rsid w:val="4FA8834A"/>
    <w:rsid w:val="4FCF8AB4"/>
    <w:rsid w:val="4FDA42FC"/>
    <w:rsid w:val="4FF0D63E"/>
    <w:rsid w:val="5011F265"/>
    <w:rsid w:val="502C9D3F"/>
    <w:rsid w:val="5038313E"/>
    <w:rsid w:val="504A6B63"/>
    <w:rsid w:val="504F6736"/>
    <w:rsid w:val="50552D13"/>
    <w:rsid w:val="505C4CC7"/>
    <w:rsid w:val="505E004B"/>
    <w:rsid w:val="506B3905"/>
    <w:rsid w:val="50719F33"/>
    <w:rsid w:val="5072BF13"/>
    <w:rsid w:val="507C60DE"/>
    <w:rsid w:val="508963D7"/>
    <w:rsid w:val="50B5DB94"/>
    <w:rsid w:val="50D0D049"/>
    <w:rsid w:val="50D10925"/>
    <w:rsid w:val="50D69EB4"/>
    <w:rsid w:val="50E24388"/>
    <w:rsid w:val="50E547F0"/>
    <w:rsid w:val="5132584E"/>
    <w:rsid w:val="514FA59B"/>
    <w:rsid w:val="5157DD36"/>
    <w:rsid w:val="515921B0"/>
    <w:rsid w:val="51621B46"/>
    <w:rsid w:val="516BDF0F"/>
    <w:rsid w:val="51745C47"/>
    <w:rsid w:val="517E57D2"/>
    <w:rsid w:val="51992A8F"/>
    <w:rsid w:val="519A4305"/>
    <w:rsid w:val="51A1CD75"/>
    <w:rsid w:val="51B4F697"/>
    <w:rsid w:val="51BA387C"/>
    <w:rsid w:val="51D1D642"/>
    <w:rsid w:val="51DA5001"/>
    <w:rsid w:val="51F98682"/>
    <w:rsid w:val="5207A017"/>
    <w:rsid w:val="521AA417"/>
    <w:rsid w:val="52215A96"/>
    <w:rsid w:val="52225E08"/>
    <w:rsid w:val="5228586E"/>
    <w:rsid w:val="52320A2C"/>
    <w:rsid w:val="5233DB9E"/>
    <w:rsid w:val="525227A0"/>
    <w:rsid w:val="5259FC94"/>
    <w:rsid w:val="52754980"/>
    <w:rsid w:val="527B471B"/>
    <w:rsid w:val="527CE53C"/>
    <w:rsid w:val="527D4CCF"/>
    <w:rsid w:val="529E669C"/>
    <w:rsid w:val="52A080E4"/>
    <w:rsid w:val="52FCFF83"/>
    <w:rsid w:val="532517DD"/>
    <w:rsid w:val="534DB122"/>
    <w:rsid w:val="5356C316"/>
    <w:rsid w:val="53735E7E"/>
    <w:rsid w:val="53852CAA"/>
    <w:rsid w:val="53853268"/>
    <w:rsid w:val="538D737D"/>
    <w:rsid w:val="538DA6B5"/>
    <w:rsid w:val="538F1274"/>
    <w:rsid w:val="53C7FA24"/>
    <w:rsid w:val="53CC6893"/>
    <w:rsid w:val="540D137E"/>
    <w:rsid w:val="54189874"/>
    <w:rsid w:val="542CB871"/>
    <w:rsid w:val="5457B6B7"/>
    <w:rsid w:val="545CEC14"/>
    <w:rsid w:val="54966FC6"/>
    <w:rsid w:val="549B50D7"/>
    <w:rsid w:val="549FC93A"/>
    <w:rsid w:val="54A96387"/>
    <w:rsid w:val="54AB6ED6"/>
    <w:rsid w:val="54B2484C"/>
    <w:rsid w:val="54C5A212"/>
    <w:rsid w:val="55253F20"/>
    <w:rsid w:val="55275009"/>
    <w:rsid w:val="552C5D20"/>
    <w:rsid w:val="554266FC"/>
    <w:rsid w:val="55557720"/>
    <w:rsid w:val="55608E10"/>
    <w:rsid w:val="5570E8BE"/>
    <w:rsid w:val="55799C69"/>
    <w:rsid w:val="559E67C5"/>
    <w:rsid w:val="55A4910B"/>
    <w:rsid w:val="55A817C9"/>
    <w:rsid w:val="55B5AF13"/>
    <w:rsid w:val="55E3F1C6"/>
    <w:rsid w:val="5608B3F3"/>
    <w:rsid w:val="5610E8BB"/>
    <w:rsid w:val="5613E523"/>
    <w:rsid w:val="563F9F3E"/>
    <w:rsid w:val="565321FA"/>
    <w:rsid w:val="56C71B4D"/>
    <w:rsid w:val="56C9C532"/>
    <w:rsid w:val="56CA302E"/>
    <w:rsid w:val="56D2DAED"/>
    <w:rsid w:val="56D70B05"/>
    <w:rsid w:val="56DC04E2"/>
    <w:rsid w:val="56EC6257"/>
    <w:rsid w:val="56F56CA1"/>
    <w:rsid w:val="57177E08"/>
    <w:rsid w:val="57273485"/>
    <w:rsid w:val="573358AE"/>
    <w:rsid w:val="574B2FE4"/>
    <w:rsid w:val="5753CADA"/>
    <w:rsid w:val="57876906"/>
    <w:rsid w:val="5792D949"/>
    <w:rsid w:val="57B452E1"/>
    <w:rsid w:val="57BC54C0"/>
    <w:rsid w:val="57DA5603"/>
    <w:rsid w:val="57E04413"/>
    <w:rsid w:val="57E9C5D9"/>
    <w:rsid w:val="58090D0D"/>
    <w:rsid w:val="580DCC76"/>
    <w:rsid w:val="582EEC03"/>
    <w:rsid w:val="584216FA"/>
    <w:rsid w:val="58433CD9"/>
    <w:rsid w:val="585829AD"/>
    <w:rsid w:val="5873F270"/>
    <w:rsid w:val="587A10F8"/>
    <w:rsid w:val="589571AA"/>
    <w:rsid w:val="58A1BB1C"/>
    <w:rsid w:val="58CEB2A9"/>
    <w:rsid w:val="58DDB13E"/>
    <w:rsid w:val="59097878"/>
    <w:rsid w:val="591012D0"/>
    <w:rsid w:val="59102332"/>
    <w:rsid w:val="591A5B2A"/>
    <w:rsid w:val="59205B6A"/>
    <w:rsid w:val="592813ED"/>
    <w:rsid w:val="592DC325"/>
    <w:rsid w:val="594C0651"/>
    <w:rsid w:val="595665D5"/>
    <w:rsid w:val="59594E54"/>
    <w:rsid w:val="596D743C"/>
    <w:rsid w:val="598D7456"/>
    <w:rsid w:val="59A94067"/>
    <w:rsid w:val="59BD01CC"/>
    <w:rsid w:val="59C57B7E"/>
    <w:rsid w:val="59DA986B"/>
    <w:rsid w:val="59EB24F1"/>
    <w:rsid w:val="59F34445"/>
    <w:rsid w:val="59F57775"/>
    <w:rsid w:val="5A226815"/>
    <w:rsid w:val="5A250474"/>
    <w:rsid w:val="5A28C1C1"/>
    <w:rsid w:val="5A327F0F"/>
    <w:rsid w:val="5A460514"/>
    <w:rsid w:val="5A4870D7"/>
    <w:rsid w:val="5A4E4A6E"/>
    <w:rsid w:val="5A9D67A0"/>
    <w:rsid w:val="5AB6EDC7"/>
    <w:rsid w:val="5ACD7EB6"/>
    <w:rsid w:val="5ADF4475"/>
    <w:rsid w:val="5B0BB375"/>
    <w:rsid w:val="5B1100C7"/>
    <w:rsid w:val="5B123582"/>
    <w:rsid w:val="5B1D1D3F"/>
    <w:rsid w:val="5B3C68B7"/>
    <w:rsid w:val="5B5414CE"/>
    <w:rsid w:val="5B55C88C"/>
    <w:rsid w:val="5B721DA4"/>
    <w:rsid w:val="5B72EB85"/>
    <w:rsid w:val="5B7C85AC"/>
    <w:rsid w:val="5B997B3E"/>
    <w:rsid w:val="5B9C7050"/>
    <w:rsid w:val="5BC21B51"/>
    <w:rsid w:val="5BC8C998"/>
    <w:rsid w:val="5BCBAE1C"/>
    <w:rsid w:val="5BCC9330"/>
    <w:rsid w:val="5BCD6D4F"/>
    <w:rsid w:val="5BCEBB1F"/>
    <w:rsid w:val="5BD6B094"/>
    <w:rsid w:val="5BF5EEC1"/>
    <w:rsid w:val="5BFA5B58"/>
    <w:rsid w:val="5C1EEAE8"/>
    <w:rsid w:val="5C2B233A"/>
    <w:rsid w:val="5C36EB51"/>
    <w:rsid w:val="5C38507B"/>
    <w:rsid w:val="5C473A16"/>
    <w:rsid w:val="5C7277C5"/>
    <w:rsid w:val="5C79B024"/>
    <w:rsid w:val="5C86F27F"/>
    <w:rsid w:val="5CA40CE7"/>
    <w:rsid w:val="5CA8B7D4"/>
    <w:rsid w:val="5CBAD4A3"/>
    <w:rsid w:val="5CC9949D"/>
    <w:rsid w:val="5CCC548F"/>
    <w:rsid w:val="5CD4CDAA"/>
    <w:rsid w:val="5CD6D659"/>
    <w:rsid w:val="5CE28855"/>
    <w:rsid w:val="5CEEAF3C"/>
    <w:rsid w:val="5CF35558"/>
    <w:rsid w:val="5CF55CFA"/>
    <w:rsid w:val="5CF769D8"/>
    <w:rsid w:val="5CF8E486"/>
    <w:rsid w:val="5D075172"/>
    <w:rsid w:val="5D394BB8"/>
    <w:rsid w:val="5D4B0C90"/>
    <w:rsid w:val="5D4CE97E"/>
    <w:rsid w:val="5D58422A"/>
    <w:rsid w:val="5D67B5D2"/>
    <w:rsid w:val="5D68BD80"/>
    <w:rsid w:val="5D75CE2E"/>
    <w:rsid w:val="5D7FA917"/>
    <w:rsid w:val="5DA45500"/>
    <w:rsid w:val="5DBD10D0"/>
    <w:rsid w:val="5DC46580"/>
    <w:rsid w:val="5DCBB857"/>
    <w:rsid w:val="5DCCBD4F"/>
    <w:rsid w:val="5DD0F378"/>
    <w:rsid w:val="5DE62AF8"/>
    <w:rsid w:val="5DEE92DB"/>
    <w:rsid w:val="5E00057F"/>
    <w:rsid w:val="5E1FC927"/>
    <w:rsid w:val="5E20B74D"/>
    <w:rsid w:val="5E2D71CD"/>
    <w:rsid w:val="5E453521"/>
    <w:rsid w:val="5E4BBCE9"/>
    <w:rsid w:val="5E592999"/>
    <w:rsid w:val="5E6A2A98"/>
    <w:rsid w:val="5E6CB0F0"/>
    <w:rsid w:val="5E72F504"/>
    <w:rsid w:val="5E74C056"/>
    <w:rsid w:val="5E7562B1"/>
    <w:rsid w:val="5E98A1C4"/>
    <w:rsid w:val="5E9B8064"/>
    <w:rsid w:val="5EB17FB8"/>
    <w:rsid w:val="5EB51055"/>
    <w:rsid w:val="5EC5EA9B"/>
    <w:rsid w:val="5ECCA233"/>
    <w:rsid w:val="5ECD94A3"/>
    <w:rsid w:val="5ECE3281"/>
    <w:rsid w:val="5ED5186F"/>
    <w:rsid w:val="5F00CDF4"/>
    <w:rsid w:val="5F01D75F"/>
    <w:rsid w:val="5F086E97"/>
    <w:rsid w:val="5F32846A"/>
    <w:rsid w:val="5F4D2320"/>
    <w:rsid w:val="5F4D3944"/>
    <w:rsid w:val="5F594906"/>
    <w:rsid w:val="5F68D116"/>
    <w:rsid w:val="5F6A47B5"/>
    <w:rsid w:val="5F7A9B39"/>
    <w:rsid w:val="5FB116EE"/>
    <w:rsid w:val="5FBB40B8"/>
    <w:rsid w:val="5FC29FBE"/>
    <w:rsid w:val="5FDBC188"/>
    <w:rsid w:val="600709BB"/>
    <w:rsid w:val="60099781"/>
    <w:rsid w:val="6029D745"/>
    <w:rsid w:val="603CF88F"/>
    <w:rsid w:val="604EF4F6"/>
    <w:rsid w:val="606537FC"/>
    <w:rsid w:val="60680550"/>
    <w:rsid w:val="607B56E8"/>
    <w:rsid w:val="607C2A23"/>
    <w:rsid w:val="6098C5E9"/>
    <w:rsid w:val="60B05ED0"/>
    <w:rsid w:val="60B22DDE"/>
    <w:rsid w:val="60C1AB1F"/>
    <w:rsid w:val="60C1E2AD"/>
    <w:rsid w:val="60C3F724"/>
    <w:rsid w:val="60D15533"/>
    <w:rsid w:val="60EEE73F"/>
    <w:rsid w:val="60FBF200"/>
    <w:rsid w:val="611FE0A6"/>
    <w:rsid w:val="61243BF1"/>
    <w:rsid w:val="613EC8EA"/>
    <w:rsid w:val="6148EADE"/>
    <w:rsid w:val="6155698E"/>
    <w:rsid w:val="615E8E70"/>
    <w:rsid w:val="6171009F"/>
    <w:rsid w:val="6177ED27"/>
    <w:rsid w:val="618B04D6"/>
    <w:rsid w:val="619511D4"/>
    <w:rsid w:val="6197309B"/>
    <w:rsid w:val="619A3689"/>
    <w:rsid w:val="61B74673"/>
    <w:rsid w:val="61D2ECB4"/>
    <w:rsid w:val="61E245E9"/>
    <w:rsid w:val="620383E8"/>
    <w:rsid w:val="620FACC4"/>
    <w:rsid w:val="621AD49C"/>
    <w:rsid w:val="622B0A36"/>
    <w:rsid w:val="6230F0E1"/>
    <w:rsid w:val="623FBB56"/>
    <w:rsid w:val="6244309E"/>
    <w:rsid w:val="625F1E22"/>
    <w:rsid w:val="6262E5ED"/>
    <w:rsid w:val="626E7154"/>
    <w:rsid w:val="627ABA82"/>
    <w:rsid w:val="627F4A55"/>
    <w:rsid w:val="62A98B2B"/>
    <w:rsid w:val="62E871FF"/>
    <w:rsid w:val="62FAA3F7"/>
    <w:rsid w:val="6312A84A"/>
    <w:rsid w:val="6324156C"/>
    <w:rsid w:val="6325CD3C"/>
    <w:rsid w:val="633D22E2"/>
    <w:rsid w:val="63461047"/>
    <w:rsid w:val="63489334"/>
    <w:rsid w:val="635435A2"/>
    <w:rsid w:val="635903C4"/>
    <w:rsid w:val="636168B3"/>
    <w:rsid w:val="63659F0B"/>
    <w:rsid w:val="63919044"/>
    <w:rsid w:val="639F17EF"/>
    <w:rsid w:val="63B59219"/>
    <w:rsid w:val="63D85B21"/>
    <w:rsid w:val="63E048BF"/>
    <w:rsid w:val="63E38BDA"/>
    <w:rsid w:val="64036E5C"/>
    <w:rsid w:val="6405B939"/>
    <w:rsid w:val="6412A2DB"/>
    <w:rsid w:val="6412D5DE"/>
    <w:rsid w:val="642C19A0"/>
    <w:rsid w:val="6430E800"/>
    <w:rsid w:val="6446558F"/>
    <w:rsid w:val="6456F87D"/>
    <w:rsid w:val="645AE3AD"/>
    <w:rsid w:val="6462C212"/>
    <w:rsid w:val="646757CB"/>
    <w:rsid w:val="646C51CC"/>
    <w:rsid w:val="646DE223"/>
    <w:rsid w:val="647084CF"/>
    <w:rsid w:val="64752C8E"/>
    <w:rsid w:val="64818161"/>
    <w:rsid w:val="6494AB24"/>
    <w:rsid w:val="6498EB2A"/>
    <w:rsid w:val="64BDF727"/>
    <w:rsid w:val="64CC4F8A"/>
    <w:rsid w:val="64D0530F"/>
    <w:rsid w:val="64D17B28"/>
    <w:rsid w:val="64EF7A27"/>
    <w:rsid w:val="65054A9D"/>
    <w:rsid w:val="650F9E1C"/>
    <w:rsid w:val="65326462"/>
    <w:rsid w:val="656119F5"/>
    <w:rsid w:val="657D522A"/>
    <w:rsid w:val="65826F23"/>
    <w:rsid w:val="6582F674"/>
    <w:rsid w:val="658BD2EB"/>
    <w:rsid w:val="6593A82A"/>
    <w:rsid w:val="659C2A30"/>
    <w:rsid w:val="659CE721"/>
    <w:rsid w:val="65A3A470"/>
    <w:rsid w:val="65AD89CD"/>
    <w:rsid w:val="65B450D8"/>
    <w:rsid w:val="65DAFE81"/>
    <w:rsid w:val="65E0D03C"/>
    <w:rsid w:val="65EDA68E"/>
    <w:rsid w:val="6606E716"/>
    <w:rsid w:val="66090F2A"/>
    <w:rsid w:val="6616A435"/>
    <w:rsid w:val="661E23DA"/>
    <w:rsid w:val="6627E147"/>
    <w:rsid w:val="6641253A"/>
    <w:rsid w:val="66557CB6"/>
    <w:rsid w:val="665BB7E3"/>
    <w:rsid w:val="665FDDCA"/>
    <w:rsid w:val="6661075D"/>
    <w:rsid w:val="66713E7F"/>
    <w:rsid w:val="66760E1C"/>
    <w:rsid w:val="66949A2B"/>
    <w:rsid w:val="66A908CE"/>
    <w:rsid w:val="66B8D393"/>
    <w:rsid w:val="66DD4098"/>
    <w:rsid w:val="66DD8F59"/>
    <w:rsid w:val="66F23E72"/>
    <w:rsid w:val="67048D39"/>
    <w:rsid w:val="670F42C3"/>
    <w:rsid w:val="6715D191"/>
    <w:rsid w:val="671BF045"/>
    <w:rsid w:val="67225E99"/>
    <w:rsid w:val="6723DB59"/>
    <w:rsid w:val="672CA855"/>
    <w:rsid w:val="6744492E"/>
    <w:rsid w:val="67559EA2"/>
    <w:rsid w:val="6756D5FE"/>
    <w:rsid w:val="677ED9DD"/>
    <w:rsid w:val="67A5B5E0"/>
    <w:rsid w:val="67B397D2"/>
    <w:rsid w:val="67C69C83"/>
    <w:rsid w:val="67CFF4DA"/>
    <w:rsid w:val="67DBA542"/>
    <w:rsid w:val="67E11C3F"/>
    <w:rsid w:val="67EB63E2"/>
    <w:rsid w:val="67EC4325"/>
    <w:rsid w:val="67F6AB00"/>
    <w:rsid w:val="68025DB8"/>
    <w:rsid w:val="6806CC39"/>
    <w:rsid w:val="682C5D4A"/>
    <w:rsid w:val="68472352"/>
    <w:rsid w:val="684D18C5"/>
    <w:rsid w:val="684D21CE"/>
    <w:rsid w:val="68531A65"/>
    <w:rsid w:val="687B9C91"/>
    <w:rsid w:val="687F60C8"/>
    <w:rsid w:val="6888B31A"/>
    <w:rsid w:val="6891ECBB"/>
    <w:rsid w:val="689912E9"/>
    <w:rsid w:val="689B79E4"/>
    <w:rsid w:val="68A18B8E"/>
    <w:rsid w:val="68AC62FA"/>
    <w:rsid w:val="68ACB92F"/>
    <w:rsid w:val="68B402CE"/>
    <w:rsid w:val="68D7A7EF"/>
    <w:rsid w:val="68E4A47C"/>
    <w:rsid w:val="68EB0885"/>
    <w:rsid w:val="69098342"/>
    <w:rsid w:val="69117E2E"/>
    <w:rsid w:val="69194A42"/>
    <w:rsid w:val="691DA889"/>
    <w:rsid w:val="69409146"/>
    <w:rsid w:val="6945AE04"/>
    <w:rsid w:val="694D229E"/>
    <w:rsid w:val="69713EB4"/>
    <w:rsid w:val="697427D7"/>
    <w:rsid w:val="699C7A2F"/>
    <w:rsid w:val="69A47863"/>
    <w:rsid w:val="69C6E198"/>
    <w:rsid w:val="69E198EF"/>
    <w:rsid w:val="69F600AF"/>
    <w:rsid w:val="6A0B492E"/>
    <w:rsid w:val="6A22F2EE"/>
    <w:rsid w:val="6A30EBEF"/>
    <w:rsid w:val="6A3B2329"/>
    <w:rsid w:val="6A4A2EDD"/>
    <w:rsid w:val="6A7F1234"/>
    <w:rsid w:val="6A8A66C7"/>
    <w:rsid w:val="6A8FD71B"/>
    <w:rsid w:val="6A9732E8"/>
    <w:rsid w:val="6A9F1FFA"/>
    <w:rsid w:val="6ABDCD21"/>
    <w:rsid w:val="6AC2C396"/>
    <w:rsid w:val="6AE68A20"/>
    <w:rsid w:val="6AF9A4C2"/>
    <w:rsid w:val="6B114C87"/>
    <w:rsid w:val="6B24F908"/>
    <w:rsid w:val="6B2642D7"/>
    <w:rsid w:val="6B2E3B26"/>
    <w:rsid w:val="6B51A612"/>
    <w:rsid w:val="6B61EDF0"/>
    <w:rsid w:val="6B649AC9"/>
    <w:rsid w:val="6B89D09B"/>
    <w:rsid w:val="6B995315"/>
    <w:rsid w:val="6B9B36DD"/>
    <w:rsid w:val="6BA2274A"/>
    <w:rsid w:val="6BA59F3A"/>
    <w:rsid w:val="6BC68AB7"/>
    <w:rsid w:val="6BE68BF9"/>
    <w:rsid w:val="6BF1810E"/>
    <w:rsid w:val="6C18AE9E"/>
    <w:rsid w:val="6C27DBFE"/>
    <w:rsid w:val="6C369D33"/>
    <w:rsid w:val="6C49856B"/>
    <w:rsid w:val="6C4FE6F1"/>
    <w:rsid w:val="6C5DB3F2"/>
    <w:rsid w:val="6C6D857F"/>
    <w:rsid w:val="6C8A8EA9"/>
    <w:rsid w:val="6CA26263"/>
    <w:rsid w:val="6CA46B09"/>
    <w:rsid w:val="6CAA7E15"/>
    <w:rsid w:val="6CBD7129"/>
    <w:rsid w:val="6CD43B73"/>
    <w:rsid w:val="6CE47E94"/>
    <w:rsid w:val="6D2259C5"/>
    <w:rsid w:val="6D2615E5"/>
    <w:rsid w:val="6D343BD9"/>
    <w:rsid w:val="6D3B6E69"/>
    <w:rsid w:val="6D480793"/>
    <w:rsid w:val="6D6931ED"/>
    <w:rsid w:val="6D6FB819"/>
    <w:rsid w:val="6D76F920"/>
    <w:rsid w:val="6DA8E57F"/>
    <w:rsid w:val="6DACCE99"/>
    <w:rsid w:val="6DD3876C"/>
    <w:rsid w:val="6DE5F15E"/>
    <w:rsid w:val="6E1123C9"/>
    <w:rsid w:val="6E59BBDF"/>
    <w:rsid w:val="6E5ECCFC"/>
    <w:rsid w:val="6E78BF3F"/>
    <w:rsid w:val="6E82912A"/>
    <w:rsid w:val="6E9F190D"/>
    <w:rsid w:val="6EA8C9ED"/>
    <w:rsid w:val="6ECE36C4"/>
    <w:rsid w:val="6ED24828"/>
    <w:rsid w:val="6EFAC294"/>
    <w:rsid w:val="6F030673"/>
    <w:rsid w:val="6F0EA9EB"/>
    <w:rsid w:val="6F1602F0"/>
    <w:rsid w:val="6F20E499"/>
    <w:rsid w:val="6F24F1B4"/>
    <w:rsid w:val="6F33A974"/>
    <w:rsid w:val="6F3784D3"/>
    <w:rsid w:val="6F404534"/>
    <w:rsid w:val="6F53ED4D"/>
    <w:rsid w:val="6F6C420C"/>
    <w:rsid w:val="6F83B439"/>
    <w:rsid w:val="6F9848BD"/>
    <w:rsid w:val="6FA1937E"/>
    <w:rsid w:val="6FAD8FB0"/>
    <w:rsid w:val="6FDB422A"/>
    <w:rsid w:val="6FDBB52C"/>
    <w:rsid w:val="6FE90013"/>
    <w:rsid w:val="6FEC0E17"/>
    <w:rsid w:val="700DE1E7"/>
    <w:rsid w:val="7015FE55"/>
    <w:rsid w:val="70175EED"/>
    <w:rsid w:val="701A431A"/>
    <w:rsid w:val="701C46C4"/>
    <w:rsid w:val="7044DCD3"/>
    <w:rsid w:val="7048F014"/>
    <w:rsid w:val="704FA7CA"/>
    <w:rsid w:val="7056BDD3"/>
    <w:rsid w:val="70611940"/>
    <w:rsid w:val="70613EF4"/>
    <w:rsid w:val="7086D99C"/>
    <w:rsid w:val="7092E184"/>
    <w:rsid w:val="70A5526A"/>
    <w:rsid w:val="70B4EC29"/>
    <w:rsid w:val="70DA863F"/>
    <w:rsid w:val="70E9BA63"/>
    <w:rsid w:val="70EE783B"/>
    <w:rsid w:val="70F3C734"/>
    <w:rsid w:val="710ADE8D"/>
    <w:rsid w:val="710CCB90"/>
    <w:rsid w:val="71650E4F"/>
    <w:rsid w:val="71663A5F"/>
    <w:rsid w:val="719AAD0F"/>
    <w:rsid w:val="71AF6DBC"/>
    <w:rsid w:val="71C83E39"/>
    <w:rsid w:val="71D338DC"/>
    <w:rsid w:val="720DE24A"/>
    <w:rsid w:val="7239D2E2"/>
    <w:rsid w:val="725B1B74"/>
    <w:rsid w:val="725CFCD1"/>
    <w:rsid w:val="725F3942"/>
    <w:rsid w:val="7262639C"/>
    <w:rsid w:val="7286BF4C"/>
    <w:rsid w:val="728E5B38"/>
    <w:rsid w:val="72A61FD2"/>
    <w:rsid w:val="72B53A20"/>
    <w:rsid w:val="72C04C01"/>
    <w:rsid w:val="72C951B4"/>
    <w:rsid w:val="72DC259A"/>
    <w:rsid w:val="72EA53A3"/>
    <w:rsid w:val="72ECE5AE"/>
    <w:rsid w:val="72F493A1"/>
    <w:rsid w:val="72F6CFAC"/>
    <w:rsid w:val="730092CF"/>
    <w:rsid w:val="730D1E6D"/>
    <w:rsid w:val="73158F2E"/>
    <w:rsid w:val="732BB8E1"/>
    <w:rsid w:val="732DEA86"/>
    <w:rsid w:val="7337DBD2"/>
    <w:rsid w:val="733B5CA6"/>
    <w:rsid w:val="73488A67"/>
    <w:rsid w:val="737AFEEF"/>
    <w:rsid w:val="73870FA4"/>
    <w:rsid w:val="7393B2B3"/>
    <w:rsid w:val="739DEC34"/>
    <w:rsid w:val="73A821CE"/>
    <w:rsid w:val="73AD8DE2"/>
    <w:rsid w:val="73CDADAA"/>
    <w:rsid w:val="73D911BA"/>
    <w:rsid w:val="73D9AE35"/>
    <w:rsid w:val="73DE28A5"/>
    <w:rsid w:val="741B46F7"/>
    <w:rsid w:val="7433234C"/>
    <w:rsid w:val="745C0E9D"/>
    <w:rsid w:val="746FB6EB"/>
    <w:rsid w:val="7477B0FE"/>
    <w:rsid w:val="7482EEBA"/>
    <w:rsid w:val="7496B6FD"/>
    <w:rsid w:val="7499D357"/>
    <w:rsid w:val="74B64797"/>
    <w:rsid w:val="74B70C84"/>
    <w:rsid w:val="74BB5E39"/>
    <w:rsid w:val="74BCF8A7"/>
    <w:rsid w:val="74DB9EBA"/>
    <w:rsid w:val="74E090C8"/>
    <w:rsid w:val="74F6F318"/>
    <w:rsid w:val="74FE04C4"/>
    <w:rsid w:val="74FF021E"/>
    <w:rsid w:val="753B617E"/>
    <w:rsid w:val="753F36B5"/>
    <w:rsid w:val="755DAA79"/>
    <w:rsid w:val="75609DDD"/>
    <w:rsid w:val="7567FC2B"/>
    <w:rsid w:val="7578F359"/>
    <w:rsid w:val="7584023D"/>
    <w:rsid w:val="75A10E92"/>
    <w:rsid w:val="75F52A64"/>
    <w:rsid w:val="760690F5"/>
    <w:rsid w:val="762F7E0B"/>
    <w:rsid w:val="763AEE4B"/>
    <w:rsid w:val="7641DBAA"/>
    <w:rsid w:val="76443242"/>
    <w:rsid w:val="764AFA78"/>
    <w:rsid w:val="765485D2"/>
    <w:rsid w:val="765749AE"/>
    <w:rsid w:val="766084D3"/>
    <w:rsid w:val="766A39B7"/>
    <w:rsid w:val="766ADD8B"/>
    <w:rsid w:val="766DE6F6"/>
    <w:rsid w:val="76753629"/>
    <w:rsid w:val="76778C1C"/>
    <w:rsid w:val="76881D71"/>
    <w:rsid w:val="769376DA"/>
    <w:rsid w:val="769FDA89"/>
    <w:rsid w:val="76AC7653"/>
    <w:rsid w:val="76B270E0"/>
    <w:rsid w:val="76BCA518"/>
    <w:rsid w:val="76EE82E8"/>
    <w:rsid w:val="76F0AD3F"/>
    <w:rsid w:val="76F6CDD4"/>
    <w:rsid w:val="770304B4"/>
    <w:rsid w:val="77119A59"/>
    <w:rsid w:val="7721132C"/>
    <w:rsid w:val="77280D90"/>
    <w:rsid w:val="77380E09"/>
    <w:rsid w:val="7740107B"/>
    <w:rsid w:val="774745D9"/>
    <w:rsid w:val="774AD17A"/>
    <w:rsid w:val="777299DE"/>
    <w:rsid w:val="777AB5CB"/>
    <w:rsid w:val="777E3325"/>
    <w:rsid w:val="778EEE25"/>
    <w:rsid w:val="77CA7F6A"/>
    <w:rsid w:val="77CDF2E4"/>
    <w:rsid w:val="77DD9D76"/>
    <w:rsid w:val="77F18727"/>
    <w:rsid w:val="77F40A15"/>
    <w:rsid w:val="77F96B77"/>
    <w:rsid w:val="7815A27C"/>
    <w:rsid w:val="7819E3C8"/>
    <w:rsid w:val="781BCBA3"/>
    <w:rsid w:val="7840FBBC"/>
    <w:rsid w:val="784E06E9"/>
    <w:rsid w:val="7850B50F"/>
    <w:rsid w:val="78513A79"/>
    <w:rsid w:val="7853A042"/>
    <w:rsid w:val="7857DDC5"/>
    <w:rsid w:val="785DC0A6"/>
    <w:rsid w:val="78673FF8"/>
    <w:rsid w:val="786C1BBA"/>
    <w:rsid w:val="7889E20F"/>
    <w:rsid w:val="788C4614"/>
    <w:rsid w:val="788F017D"/>
    <w:rsid w:val="78A184AC"/>
    <w:rsid w:val="78A83A19"/>
    <w:rsid w:val="78D86BE8"/>
    <w:rsid w:val="78F47B8F"/>
    <w:rsid w:val="78FE7A70"/>
    <w:rsid w:val="790B2569"/>
    <w:rsid w:val="79122F9C"/>
    <w:rsid w:val="7920CC56"/>
    <w:rsid w:val="79250A4D"/>
    <w:rsid w:val="7927284D"/>
    <w:rsid w:val="793C9A75"/>
    <w:rsid w:val="794EAD20"/>
    <w:rsid w:val="7962F7B8"/>
    <w:rsid w:val="7973432C"/>
    <w:rsid w:val="79847153"/>
    <w:rsid w:val="798C7120"/>
    <w:rsid w:val="7993719D"/>
    <w:rsid w:val="799A9291"/>
    <w:rsid w:val="79C0606C"/>
    <w:rsid w:val="79D054DC"/>
    <w:rsid w:val="79DD613E"/>
    <w:rsid w:val="79DDE4B0"/>
    <w:rsid w:val="79E72259"/>
    <w:rsid w:val="79FB7B6E"/>
    <w:rsid w:val="7A004EC7"/>
    <w:rsid w:val="7A07E23E"/>
    <w:rsid w:val="7A0809BF"/>
    <w:rsid w:val="7A101629"/>
    <w:rsid w:val="7A106FF7"/>
    <w:rsid w:val="7A383606"/>
    <w:rsid w:val="7A3A5206"/>
    <w:rsid w:val="7A4A7112"/>
    <w:rsid w:val="7A8455A4"/>
    <w:rsid w:val="7A9672D1"/>
    <w:rsid w:val="7AAA874E"/>
    <w:rsid w:val="7AD66B95"/>
    <w:rsid w:val="7ADA49BD"/>
    <w:rsid w:val="7AE5D8F9"/>
    <w:rsid w:val="7AE9E757"/>
    <w:rsid w:val="7AEB0782"/>
    <w:rsid w:val="7B0D9CFD"/>
    <w:rsid w:val="7B13CAEC"/>
    <w:rsid w:val="7B3E780C"/>
    <w:rsid w:val="7B400000"/>
    <w:rsid w:val="7B53F85B"/>
    <w:rsid w:val="7B5CDDA4"/>
    <w:rsid w:val="7B621E64"/>
    <w:rsid w:val="7B7EF386"/>
    <w:rsid w:val="7B9CDCF0"/>
    <w:rsid w:val="7B9CE71C"/>
    <w:rsid w:val="7BAE2992"/>
    <w:rsid w:val="7BB0BB1B"/>
    <w:rsid w:val="7BE09785"/>
    <w:rsid w:val="7BF812F4"/>
    <w:rsid w:val="7C0DDACF"/>
    <w:rsid w:val="7C249A12"/>
    <w:rsid w:val="7C4439BD"/>
    <w:rsid w:val="7C484AF6"/>
    <w:rsid w:val="7C75F160"/>
    <w:rsid w:val="7C79CC32"/>
    <w:rsid w:val="7CBA4689"/>
    <w:rsid w:val="7CF99354"/>
    <w:rsid w:val="7D06C680"/>
    <w:rsid w:val="7D11D384"/>
    <w:rsid w:val="7D3AB5E8"/>
    <w:rsid w:val="7D49A85D"/>
    <w:rsid w:val="7D4E8F3E"/>
    <w:rsid w:val="7D8C62BB"/>
    <w:rsid w:val="7D9F92DE"/>
    <w:rsid w:val="7DB8F5E0"/>
    <w:rsid w:val="7DC09FE2"/>
    <w:rsid w:val="7DEE909C"/>
    <w:rsid w:val="7DF74A71"/>
    <w:rsid w:val="7E05CE31"/>
    <w:rsid w:val="7E079C95"/>
    <w:rsid w:val="7E170DFA"/>
    <w:rsid w:val="7E1CF5EE"/>
    <w:rsid w:val="7E3F57AE"/>
    <w:rsid w:val="7E4FB72C"/>
    <w:rsid w:val="7E5282F0"/>
    <w:rsid w:val="7E5E2165"/>
    <w:rsid w:val="7E96CF32"/>
    <w:rsid w:val="7EA44ED1"/>
    <w:rsid w:val="7ECB7633"/>
    <w:rsid w:val="7EE7A97B"/>
    <w:rsid w:val="7F06DF9A"/>
    <w:rsid w:val="7F10CE70"/>
    <w:rsid w:val="7F46FD2B"/>
    <w:rsid w:val="7F4CC440"/>
    <w:rsid w:val="7F56C353"/>
    <w:rsid w:val="7F5D7492"/>
    <w:rsid w:val="7F657241"/>
    <w:rsid w:val="7F69C33E"/>
    <w:rsid w:val="7F822585"/>
    <w:rsid w:val="7FBAEC5B"/>
    <w:rsid w:val="7FBB396F"/>
    <w:rsid w:val="7FCE6A1F"/>
    <w:rsid w:val="7FD39DDA"/>
    <w:rsid w:val="7FE8FA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99937"/>
  <w15:chartTrackingRefBased/>
  <w15:docId w15:val="{8187840B-0BCE-4613-8A55-76ADAE01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2289"/>
  </w:style>
  <w:style w:type="paragraph" w:styleId="Heading1">
    <w:name w:val="heading 1"/>
    <w:basedOn w:val="Normal"/>
    <w:next w:val="Normal"/>
    <w:link w:val="Heading1Char1"/>
    <w:qFormat/>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styleId="Heading2">
    <w:name w:val="heading 2"/>
    <w:basedOn w:val="Normal"/>
    <w:next w:val="Normal"/>
    <w:link w:val="Heading2Char1"/>
    <w:qFormat/>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1"/>
    <w:qFormat/>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Heading4">
    <w:name w:val="heading 4"/>
    <w:basedOn w:val="Normal"/>
    <w:next w:val="Normal"/>
    <w:link w:val="Heading4Char1"/>
    <w:qFormat/>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14E6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14E6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14E6D"/>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styleId="Title">
    <w:name w:val="Title"/>
    <w:basedOn w:val="Normal"/>
    <w:next w:val="Normal"/>
    <w:link w:val="TitleChar"/>
    <w:qFormat/>
    <w:pPr>
      <w:keepNext/>
      <w:keepLines/>
      <w:spacing w:before="480" w:after="120"/>
    </w:pPr>
    <w:rPr>
      <w:b/>
      <w:sz w:val="72"/>
      <w:szCs w:val="72"/>
    </w:rPr>
  </w:style>
  <w:style w:type="paragraph" w:customStyle="1" w:styleId="Normal0">
    <w:name w:val="Normal0"/>
    <w:uiPriority w:val="1"/>
  </w:style>
  <w:style w:type="paragraph" w:customStyle="1" w:styleId="heading10">
    <w:name w:val="heading 10"/>
    <w:basedOn w:val="Normal0"/>
    <w:next w:val="Normal0"/>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heading20">
    <w:name w:val="heading 20"/>
    <w:basedOn w:val="Normal0"/>
    <w:next w:val="Normal0"/>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heading30">
    <w:name w:val="heading 30"/>
    <w:basedOn w:val="Normal0"/>
    <w:next w:val="Normal0"/>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heading40">
    <w:name w:val="heading 40"/>
    <w:basedOn w:val="Normal0"/>
    <w:next w:val="Normal0"/>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heading50">
    <w:name w:val="heading 50"/>
    <w:basedOn w:val="Normal0"/>
    <w:next w:val="Normal0"/>
    <w:pPr>
      <w:keepNext/>
      <w:keepLines/>
      <w:spacing w:before="220" w:after="40"/>
      <w:outlineLvl w:val="4"/>
    </w:pPr>
    <w:rPr>
      <w:b/>
    </w:rPr>
  </w:style>
  <w:style w:type="paragraph" w:customStyle="1" w:styleId="heading60">
    <w:name w:val="heading 60"/>
    <w:basedOn w:val="Normal0"/>
    <w:next w:val="Normal0"/>
    <w:pPr>
      <w:keepNext/>
      <w:keepLines/>
      <w:spacing w:before="200" w:after="40"/>
      <w:outlineLvl w:val="5"/>
    </w:pPr>
    <w:rPr>
      <w:b/>
      <w:sz w:val="20"/>
      <w:szCs w:val="20"/>
    </w:rPr>
  </w:style>
  <w:style w:type="table" w:customStyle="1" w:styleId="NormalTable0">
    <w:name w:val="Normal Table0"/>
    <w:uiPriority w:val="99"/>
    <w:semiHidden/>
    <w:unhideWhenUsed/>
    <w:tblPr>
      <w:tblCellMar>
        <w:top w:w="0" w:type="dxa"/>
        <w:left w:w="0" w:type="dxa"/>
        <w:bottom w:w="0" w:type="dxa"/>
        <w:right w:w="0" w:type="dxa"/>
      </w:tblCellMar>
    </w:tblPr>
  </w:style>
  <w:style w:type="paragraph" w:customStyle="1" w:styleId="Title0">
    <w:name w:val="Title0"/>
    <w:basedOn w:val="Normal0"/>
    <w:next w:val="Normal0"/>
    <w:pPr>
      <w:keepNext/>
      <w:keepLines/>
      <w:spacing w:before="480" w:after="120"/>
    </w:pPr>
    <w:rPr>
      <w:b/>
      <w:sz w:val="72"/>
      <w:szCs w:val="72"/>
    </w:rPr>
  </w:style>
  <w:style w:type="paragraph" w:customStyle="1" w:styleId="Normal00">
    <w:name w:val="Normal00"/>
    <w:qFormat/>
  </w:style>
  <w:style w:type="paragraph" w:customStyle="1" w:styleId="heading100">
    <w:name w:val="heading 100"/>
    <w:basedOn w:val="Normal00"/>
    <w:next w:val="Text1"/>
    <w:link w:val="Heading1Char"/>
    <w:uiPriority w:val="9"/>
    <w:qFormat/>
    <w:pPr>
      <w:keepNext/>
      <w:tabs>
        <w:tab w:val="num" w:pos="720"/>
      </w:tabs>
      <w:spacing w:before="360" w:after="120" w:line="240" w:lineRule="auto"/>
      <w:ind w:left="720" w:hanging="720"/>
      <w:jc w:val="both"/>
      <w:outlineLvl w:val="0"/>
    </w:pPr>
    <w:rPr>
      <w:rFonts w:ascii="Times New Roman" w:eastAsiaTheme="majorEastAsia" w:hAnsi="Times New Roman" w:cs="Times New Roman"/>
      <w:b/>
      <w:bCs/>
      <w:smallCaps/>
      <w:sz w:val="24"/>
      <w:szCs w:val="28"/>
    </w:rPr>
  </w:style>
  <w:style w:type="paragraph" w:customStyle="1" w:styleId="heading200">
    <w:name w:val="heading 200"/>
    <w:basedOn w:val="Normal00"/>
    <w:next w:val="Text1"/>
    <w:link w:val="Heading2Char"/>
    <w:uiPriority w:val="9"/>
    <w:semiHidden/>
    <w:unhideWhenUsed/>
    <w:qFormat/>
    <w:pPr>
      <w:keepNext/>
      <w:tabs>
        <w:tab w:val="num" w:pos="1440"/>
      </w:tabs>
      <w:spacing w:before="120" w:after="120" w:line="240" w:lineRule="auto"/>
      <w:ind w:left="1440" w:hanging="720"/>
      <w:jc w:val="both"/>
      <w:outlineLvl w:val="1"/>
    </w:pPr>
    <w:rPr>
      <w:rFonts w:ascii="Times New Roman" w:eastAsiaTheme="majorEastAsia" w:hAnsi="Times New Roman" w:cs="Times New Roman"/>
      <w:b/>
      <w:bCs/>
      <w:sz w:val="24"/>
      <w:szCs w:val="26"/>
    </w:rPr>
  </w:style>
  <w:style w:type="paragraph" w:customStyle="1" w:styleId="heading300">
    <w:name w:val="heading 300"/>
    <w:basedOn w:val="Normal00"/>
    <w:next w:val="Text1"/>
    <w:link w:val="Heading3Char"/>
    <w:uiPriority w:val="9"/>
    <w:semiHidden/>
    <w:unhideWhenUsed/>
    <w:qFormat/>
    <w:pPr>
      <w:keepNext/>
      <w:tabs>
        <w:tab w:val="num" w:pos="2160"/>
      </w:tabs>
      <w:spacing w:before="120" w:after="120" w:line="240" w:lineRule="auto"/>
      <w:ind w:left="2160" w:hanging="720"/>
      <w:jc w:val="both"/>
      <w:outlineLvl w:val="2"/>
    </w:pPr>
    <w:rPr>
      <w:rFonts w:ascii="Times New Roman" w:eastAsiaTheme="majorEastAsia" w:hAnsi="Times New Roman" w:cs="Times New Roman"/>
      <w:bCs/>
      <w:i/>
      <w:sz w:val="24"/>
    </w:rPr>
  </w:style>
  <w:style w:type="paragraph" w:customStyle="1" w:styleId="heading400">
    <w:name w:val="heading 400"/>
    <w:basedOn w:val="Normal00"/>
    <w:next w:val="Text1"/>
    <w:link w:val="Heading4Char"/>
    <w:uiPriority w:val="9"/>
    <w:semiHidden/>
    <w:unhideWhenUsed/>
    <w:qFormat/>
    <w:pPr>
      <w:keepNext/>
      <w:tabs>
        <w:tab w:val="num" w:pos="2880"/>
      </w:tabs>
      <w:spacing w:before="120" w:after="120" w:line="240" w:lineRule="auto"/>
      <w:ind w:left="2880" w:hanging="720"/>
      <w:jc w:val="both"/>
      <w:outlineLvl w:val="3"/>
    </w:pPr>
    <w:rPr>
      <w:rFonts w:ascii="Times New Roman" w:eastAsiaTheme="majorEastAsia" w:hAnsi="Times New Roman" w:cs="Times New Roman"/>
      <w:bCs/>
      <w:iCs/>
      <w:sz w:val="24"/>
    </w:r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00"/>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00"/>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00"/>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00"/>
    <w:uiPriority w:val="9"/>
    <w:semiHidden/>
    <w:rPr>
      <w:rFonts w:ascii="Times New Roman" w:eastAsiaTheme="majorEastAsia" w:hAnsi="Times New Roman" w:cs="Times New Roman"/>
      <w:bCs/>
      <w:iCs/>
      <w:sz w:val="24"/>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00"/>
    <w:link w:val="CommentTextChar"/>
    <w:uiPriority w:val="99"/>
    <w:unhideWhenUse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00"/>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00"/>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2">
    <w:name w:val="List Bullet 2"/>
    <w:basedOn w:val="Normal00"/>
    <w:uiPriority w:val="99"/>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3">
    <w:name w:val="List Bullet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4">
    <w:name w:val="List Bullet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00"/>
    <w:next w:val="Normal00"/>
    <w:uiPriority w:val="35"/>
    <w:semiHidden/>
    <w:unhideWhenUsed/>
    <w:qFormat/>
    <w:pPr>
      <w:spacing w:line="240" w:lineRule="auto"/>
      <w:jc w:val="both"/>
    </w:pPr>
    <w:rPr>
      <w:rFonts w:ascii="Times New Roman" w:hAnsi="Times New Roman" w:cs="Times New Roman"/>
      <w:i/>
      <w:iCs/>
      <w:color w:val="1F497D" w:themeColor="text2"/>
      <w:sz w:val="18"/>
      <w:szCs w:val="18"/>
    </w:rPr>
  </w:style>
  <w:style w:type="paragraph" w:styleId="TableofFigures">
    <w:name w:val="table of figures"/>
    <w:basedOn w:val="Normal00"/>
    <w:next w:val="Normal00"/>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2">
    <w:name w:val="List Number 2"/>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3">
    <w:name w:val="List Number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4">
    <w:name w:val="List Number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00"/>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00"/>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00"/>
    <w:link w:val="FootnoteTextChar"/>
    <w:uiPriority w:val="99"/>
    <w:unhideWhenUse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TOCHeading">
    <w:name w:val="TOC Heading"/>
    <w:basedOn w:val="Normal00"/>
    <w:next w:val="Normal00"/>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00"/>
    <w:next w:val="Normal00"/>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00"/>
    <w:next w:val="Normal00"/>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00"/>
    <w:next w:val="Normal00"/>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00"/>
    <w:next w:val="Normal00"/>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00"/>
    <w:next w:val="Normal00"/>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0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0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A14CA"/>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00"/>
    <w:pPr>
      <w:spacing w:before="120" w:after="120" w:line="240" w:lineRule="auto"/>
      <w:ind w:left="850"/>
      <w:jc w:val="both"/>
    </w:pPr>
    <w:rPr>
      <w:rFonts w:ascii="Times New Roman" w:hAnsi="Times New Roman" w:cs="Times New Roman"/>
      <w:sz w:val="24"/>
    </w:rPr>
  </w:style>
  <w:style w:type="paragraph" w:customStyle="1" w:styleId="Text2">
    <w:name w:val="Text 2"/>
    <w:basedOn w:val="Normal00"/>
    <w:pPr>
      <w:spacing w:before="120" w:after="120" w:line="240" w:lineRule="auto"/>
      <w:ind w:left="1417"/>
      <w:jc w:val="both"/>
    </w:pPr>
    <w:rPr>
      <w:rFonts w:ascii="Times New Roman" w:hAnsi="Times New Roman" w:cs="Times New Roman"/>
      <w:sz w:val="24"/>
    </w:rPr>
  </w:style>
  <w:style w:type="paragraph" w:customStyle="1" w:styleId="Text3">
    <w:name w:val="Text 3"/>
    <w:basedOn w:val="Normal00"/>
    <w:pPr>
      <w:spacing w:before="120" w:after="120" w:line="240" w:lineRule="auto"/>
      <w:ind w:left="1984"/>
      <w:jc w:val="both"/>
    </w:pPr>
    <w:rPr>
      <w:rFonts w:ascii="Times New Roman" w:hAnsi="Times New Roman" w:cs="Times New Roman"/>
      <w:sz w:val="24"/>
    </w:rPr>
  </w:style>
  <w:style w:type="paragraph" w:customStyle="1" w:styleId="Text4">
    <w:name w:val="Text 4"/>
    <w:basedOn w:val="Normal0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00"/>
    <w:pPr>
      <w:spacing w:before="120" w:after="120" w:line="240" w:lineRule="auto"/>
      <w:jc w:val="center"/>
    </w:pPr>
    <w:rPr>
      <w:rFonts w:ascii="Times New Roman" w:hAnsi="Times New Roman" w:cs="Times New Roman"/>
      <w:sz w:val="24"/>
    </w:rPr>
  </w:style>
  <w:style w:type="paragraph" w:customStyle="1" w:styleId="NormalLeft">
    <w:name w:val="Normal Left"/>
    <w:basedOn w:val="Normal00"/>
    <w:pPr>
      <w:spacing w:before="120" w:after="120" w:line="240" w:lineRule="auto"/>
    </w:pPr>
    <w:rPr>
      <w:rFonts w:ascii="Times New Roman" w:hAnsi="Times New Roman" w:cs="Times New Roman"/>
      <w:sz w:val="24"/>
    </w:rPr>
  </w:style>
  <w:style w:type="paragraph" w:customStyle="1" w:styleId="NormalRight">
    <w:name w:val="Normal Right"/>
    <w:basedOn w:val="Normal00"/>
    <w:pPr>
      <w:spacing w:before="120" w:after="120" w:line="240" w:lineRule="auto"/>
      <w:jc w:val="right"/>
    </w:pPr>
    <w:rPr>
      <w:rFonts w:ascii="Times New Roman" w:hAnsi="Times New Roman" w:cs="Times New Roman"/>
      <w:sz w:val="24"/>
    </w:rPr>
  </w:style>
  <w:style w:type="paragraph" w:customStyle="1" w:styleId="QuotedText">
    <w:name w:val="Quoted Text"/>
    <w:basedOn w:val="Normal0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0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0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0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0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0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tabs>
        <w:tab w:val="num" w:pos="720"/>
      </w:tabs>
      <w:ind w:left="720" w:hanging="720"/>
    </w:pPr>
  </w:style>
  <w:style w:type="paragraph" w:customStyle="1" w:styleId="Tiret1">
    <w:name w:val="Tiret 1"/>
    <w:basedOn w:val="Point1"/>
    <w:pPr>
      <w:tabs>
        <w:tab w:val="num" w:pos="720"/>
      </w:tabs>
      <w:ind w:left="720" w:hanging="720"/>
    </w:pPr>
  </w:style>
  <w:style w:type="paragraph" w:customStyle="1" w:styleId="Tiret2">
    <w:name w:val="Tiret 2"/>
    <w:basedOn w:val="Point2"/>
    <w:pPr>
      <w:tabs>
        <w:tab w:val="num" w:pos="720"/>
      </w:tabs>
      <w:ind w:left="720" w:hanging="720"/>
    </w:pPr>
  </w:style>
  <w:style w:type="paragraph" w:customStyle="1" w:styleId="Tiret3">
    <w:name w:val="Tiret 3"/>
    <w:basedOn w:val="Point3"/>
    <w:pPr>
      <w:tabs>
        <w:tab w:val="num" w:pos="720"/>
      </w:tabs>
      <w:ind w:left="720" w:hanging="720"/>
    </w:pPr>
  </w:style>
  <w:style w:type="paragraph" w:customStyle="1" w:styleId="Tiret4">
    <w:name w:val="Tiret 4"/>
    <w:basedOn w:val="Point4"/>
    <w:pPr>
      <w:tabs>
        <w:tab w:val="num" w:pos="720"/>
      </w:tabs>
      <w:ind w:left="720" w:hanging="720"/>
    </w:pPr>
  </w:style>
  <w:style w:type="paragraph" w:customStyle="1" w:styleId="PointDouble0">
    <w:name w:val="PointDouble 0"/>
    <w:basedOn w:val="Normal0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0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0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0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0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0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0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0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0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0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00"/>
    <w:next w:val="Text1"/>
    <w:pPr>
      <w:tabs>
        <w:tab w:val="num" w:pos="720"/>
      </w:tabs>
      <w:spacing w:before="120" w:after="120" w:line="240" w:lineRule="auto"/>
      <w:ind w:left="720" w:hanging="720"/>
      <w:jc w:val="both"/>
    </w:pPr>
    <w:rPr>
      <w:rFonts w:ascii="Times New Roman" w:hAnsi="Times New Roman" w:cs="Times New Roman"/>
      <w:sz w:val="24"/>
    </w:rPr>
  </w:style>
  <w:style w:type="paragraph" w:customStyle="1" w:styleId="NumPar2">
    <w:name w:val="NumPar 2"/>
    <w:basedOn w:val="Normal00"/>
    <w:next w:val="Text1"/>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NumPar3">
    <w:name w:val="NumPar 3"/>
    <w:basedOn w:val="Normal00"/>
    <w:next w:val="Text1"/>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NumPar4">
    <w:name w:val="NumPar 4"/>
    <w:basedOn w:val="Normal00"/>
    <w:next w:val="Text1"/>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ManualNumPar1">
    <w:name w:val="Manual NumPar 1"/>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0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00"/>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00"/>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00"/>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00"/>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00"/>
    <w:next w:val="Normal0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00"/>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00"/>
    <w:next w:val="heading10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00"/>
    <w:next w:val="Normal0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7A34B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00"/>
    <w:pPr>
      <w:tabs>
        <w:tab w:val="num" w:pos="850"/>
      </w:tabs>
      <w:spacing w:before="120" w:after="120" w:line="240" w:lineRule="auto"/>
      <w:ind w:left="850" w:hanging="850"/>
      <w:jc w:val="both"/>
    </w:pPr>
    <w:rPr>
      <w:rFonts w:ascii="Times New Roman" w:hAnsi="Times New Roman" w:cs="Times New Roman"/>
      <w:sz w:val="24"/>
    </w:rPr>
  </w:style>
  <w:style w:type="paragraph" w:customStyle="1" w:styleId="Point1number">
    <w:name w:val="Point 1 (number)"/>
    <w:basedOn w:val="Normal00"/>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Point2number">
    <w:name w:val="Point 2 (number)"/>
    <w:basedOn w:val="Normal00"/>
    <w:pPr>
      <w:tabs>
        <w:tab w:val="num" w:pos="3600"/>
      </w:tabs>
      <w:spacing w:before="120" w:after="120" w:line="240" w:lineRule="auto"/>
      <w:ind w:left="3600" w:hanging="720"/>
      <w:jc w:val="both"/>
    </w:pPr>
    <w:rPr>
      <w:rFonts w:ascii="Times New Roman" w:hAnsi="Times New Roman" w:cs="Times New Roman"/>
      <w:sz w:val="24"/>
    </w:rPr>
  </w:style>
  <w:style w:type="paragraph" w:customStyle="1" w:styleId="Point3number">
    <w:name w:val="Point 3 (number)"/>
    <w:basedOn w:val="Normal00"/>
    <w:pPr>
      <w:tabs>
        <w:tab w:val="num" w:pos="5040"/>
      </w:tabs>
      <w:spacing w:before="120" w:after="120" w:line="240" w:lineRule="auto"/>
      <w:ind w:left="5040" w:hanging="720"/>
      <w:jc w:val="both"/>
    </w:pPr>
    <w:rPr>
      <w:rFonts w:ascii="Times New Roman" w:hAnsi="Times New Roman" w:cs="Times New Roman"/>
      <w:sz w:val="24"/>
    </w:rPr>
  </w:style>
  <w:style w:type="paragraph" w:customStyle="1" w:styleId="Point0letter">
    <w:name w:val="Point 0 (letter)"/>
    <w:basedOn w:val="Normal00"/>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Point1letter">
    <w:name w:val="Point 1 (letter)"/>
    <w:basedOn w:val="Normal00"/>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Point2letter">
    <w:name w:val="Point 2 (letter)"/>
    <w:basedOn w:val="Normal00"/>
    <w:pPr>
      <w:tabs>
        <w:tab w:val="num" w:pos="4320"/>
      </w:tabs>
      <w:spacing w:before="120" w:after="120" w:line="240" w:lineRule="auto"/>
      <w:ind w:left="4320" w:hanging="720"/>
      <w:jc w:val="both"/>
    </w:pPr>
    <w:rPr>
      <w:rFonts w:ascii="Times New Roman" w:hAnsi="Times New Roman" w:cs="Times New Roman"/>
      <w:sz w:val="24"/>
    </w:rPr>
  </w:style>
  <w:style w:type="paragraph" w:customStyle="1" w:styleId="Point3letter">
    <w:name w:val="Point 3 (letter)"/>
    <w:basedOn w:val="Normal00"/>
    <w:pPr>
      <w:tabs>
        <w:tab w:val="num" w:pos="5760"/>
      </w:tabs>
      <w:spacing w:before="120" w:after="120" w:line="240" w:lineRule="auto"/>
      <w:ind w:left="5760" w:hanging="720"/>
      <w:jc w:val="both"/>
    </w:pPr>
    <w:rPr>
      <w:rFonts w:ascii="Times New Roman" w:hAnsi="Times New Roman" w:cs="Times New Roman"/>
      <w:sz w:val="24"/>
    </w:rPr>
  </w:style>
  <w:style w:type="paragraph" w:customStyle="1" w:styleId="Point4letter">
    <w:name w:val="Point 4 (letter)"/>
    <w:basedOn w:val="Normal00"/>
    <w:pPr>
      <w:tabs>
        <w:tab w:val="num" w:pos="6480"/>
      </w:tabs>
      <w:spacing w:before="120" w:after="120" w:line="240" w:lineRule="auto"/>
      <w:ind w:left="6480" w:hanging="720"/>
      <w:jc w:val="both"/>
    </w:pPr>
    <w:rPr>
      <w:rFonts w:ascii="Times New Roman" w:hAnsi="Times New Roman" w:cs="Times New Roman"/>
      <w:sz w:val="24"/>
    </w:rPr>
  </w:style>
  <w:style w:type="paragraph" w:customStyle="1" w:styleId="Bullet0">
    <w:name w:val="Bullet 0"/>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1">
    <w:name w:val="Bullet 1"/>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2">
    <w:name w:val="Bullet 2"/>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3">
    <w:name w:val="Bullet 3"/>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4">
    <w:name w:val="Bullet 4"/>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Langue">
    <w:name w:val="Langue"/>
    <w:basedOn w:val="Normal00"/>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00"/>
    <w:next w:val="Emission"/>
    <w:pPr>
      <w:spacing w:after="0" w:line="240" w:lineRule="auto"/>
    </w:pPr>
    <w:rPr>
      <w:rFonts w:ascii="Arial" w:hAnsi="Arial" w:cs="Arial"/>
      <w:sz w:val="24"/>
    </w:rPr>
  </w:style>
  <w:style w:type="paragraph" w:customStyle="1" w:styleId="Emission">
    <w:name w:val="Emission"/>
    <w:basedOn w:val="Normal00"/>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00"/>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00"/>
    <w:next w:val="Normal00"/>
    <w:pPr>
      <w:spacing w:after="0" w:line="240" w:lineRule="auto"/>
      <w:jc w:val="both"/>
    </w:pPr>
    <w:rPr>
      <w:rFonts w:ascii="Times New Roman" w:hAnsi="Times New Roman" w:cs="Times New Roman"/>
      <w:sz w:val="24"/>
    </w:rPr>
  </w:style>
  <w:style w:type="paragraph" w:customStyle="1" w:styleId="Declassification">
    <w:name w:val="Declassification"/>
    <w:basedOn w:val="Normal00"/>
    <w:next w:val="Normal00"/>
    <w:pPr>
      <w:spacing w:after="0" w:line="240" w:lineRule="auto"/>
      <w:jc w:val="both"/>
    </w:pPr>
    <w:rPr>
      <w:rFonts w:ascii="Times New Roman" w:hAnsi="Times New Roman" w:cs="Times New Roman"/>
      <w:sz w:val="24"/>
    </w:rPr>
  </w:style>
  <w:style w:type="paragraph" w:customStyle="1" w:styleId="Disclaimer">
    <w:name w:val="Disclaimer"/>
    <w:basedOn w:val="Normal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A14CA"/>
    <w:pPr>
      <w:spacing w:after="0"/>
      <w:ind w:left="5103"/>
    </w:pPr>
    <w:rPr>
      <w:rFonts w:ascii="Times New Roman" w:eastAsiaTheme="minorHAnsi" w:hAnsi="Times New Roman" w:cs="Times New Roman"/>
      <w:sz w:val="28"/>
    </w:rPr>
  </w:style>
  <w:style w:type="paragraph" w:customStyle="1" w:styleId="DateMarking">
    <w:name w:val="DateMarking"/>
    <w:basedOn w:val="Normal"/>
    <w:rsid w:val="00CA14CA"/>
    <w:pPr>
      <w:spacing w:after="0"/>
      <w:ind w:left="5103"/>
    </w:pPr>
    <w:rPr>
      <w:rFonts w:ascii="Times New Roman" w:eastAsiaTheme="minorHAnsi" w:hAnsi="Times New Roman" w:cs="Times New Roman"/>
      <w:i/>
      <w:sz w:val="28"/>
    </w:rPr>
  </w:style>
  <w:style w:type="paragraph" w:customStyle="1" w:styleId="ReleasableTo">
    <w:name w:val="ReleasableTo"/>
    <w:basedOn w:val="Normal"/>
    <w:rsid w:val="00CA14CA"/>
    <w:pPr>
      <w:spacing w:after="0"/>
      <w:ind w:left="5103"/>
    </w:pPr>
    <w:rPr>
      <w:rFonts w:ascii="Times New Roman" w:eastAsiaTheme="minorHAnsi" w:hAnsi="Times New Roman" w:cs="Times New Roman"/>
      <w:i/>
      <w:sz w:val="28"/>
    </w:rPr>
  </w:style>
  <w:style w:type="paragraph" w:customStyle="1" w:styleId="Annexetitreexpos">
    <w:name w:val="Annexe titre (exposé)"/>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00"/>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00"/>
    <w:next w:val="Normal0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00"/>
    <w:next w:val="Normal0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00"/>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Corrigendum">
    <w:name w:val="Corrigendum"/>
    <w:basedOn w:val="Normal00"/>
    <w:next w:val="Normal00"/>
    <w:pPr>
      <w:spacing w:after="240" w:line="240" w:lineRule="auto"/>
    </w:pPr>
    <w:rPr>
      <w:rFonts w:ascii="Times New Roman" w:hAnsi="Times New Roman" w:cs="Times New Roman"/>
      <w:sz w:val="24"/>
    </w:rPr>
  </w:style>
  <w:style w:type="paragraph" w:customStyle="1" w:styleId="Datedadoption">
    <w:name w:val="Date d'adoption"/>
    <w:basedOn w:val="Normal00"/>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00"/>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00"/>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00"/>
    <w:next w:val="Normal0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00"/>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0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00"/>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00"/>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00"/>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00"/>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00"/>
    <w:next w:val="Normal0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00"/>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00"/>
    <w:next w:val="Normal0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00"/>
    <w:next w:val="Normal0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00"/>
    <w:next w:val="Normal0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A1628F"/>
    <w:pPr>
      <w:spacing w:before="360" w:after="240" w:line="240" w:lineRule="auto"/>
      <w:jc w:val="center"/>
    </w:pPr>
    <w:rPr>
      <w:rFonts w:ascii="Times New Roman" w:eastAsiaTheme="minorHAnsi" w:hAnsi="Times New Roman" w:cs="Times New Roman"/>
      <w:sz w:val="24"/>
    </w:rPr>
  </w:style>
  <w:style w:type="paragraph" w:customStyle="1" w:styleId="Rfrencecroise">
    <w:name w:val="Référence croisée"/>
    <w:basedOn w:val="Normal0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00"/>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A1628F"/>
    <w:pPr>
      <w:spacing w:after="0"/>
    </w:pPr>
  </w:style>
  <w:style w:type="paragraph" w:customStyle="1" w:styleId="Accompagnant">
    <w:name w:val="Accompagnant"/>
    <w:basedOn w:val="Normal00"/>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00"/>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00"/>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A1628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A1628F"/>
    <w:pPr>
      <w:spacing w:before="360" w:after="240" w:line="240" w:lineRule="auto"/>
      <w:jc w:val="center"/>
    </w:pPr>
    <w:rPr>
      <w:rFonts w:ascii="Times New Roman" w:eastAsiaTheme="minorHAnsi" w:hAnsi="Times New Roman" w:cs="Times New Roman"/>
      <w:sz w:val="24"/>
    </w:rPr>
  </w:style>
  <w:style w:type="table" w:styleId="TableGrid">
    <w:name w:val="Table Grid"/>
    <w:basedOn w:val="NormalTable00"/>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Subtitle">
    <w:name w:val="Subtitle"/>
    <w:basedOn w:val="Normal00"/>
    <w:next w:val="Normal00"/>
    <w:link w:val="SubtitleChar"/>
    <w:qFormat/>
    <w:pPr>
      <w:keepNext/>
      <w:keepLines/>
      <w:spacing w:before="360" w:after="80"/>
    </w:pPr>
    <w:rPr>
      <w:rFonts w:ascii="Georgia" w:eastAsia="Georgia" w:hAnsi="Georgia" w:cs="Georgia"/>
      <w:i/>
      <w:color w:val="666666"/>
      <w:sz w:val="48"/>
      <w:szCs w:val="48"/>
    </w:rPr>
  </w:style>
  <w:style w:type="table" w:customStyle="1" w:styleId="39">
    <w:name w:val="39"/>
    <w:basedOn w:val="NormalTable00"/>
    <w:tblPr/>
  </w:style>
  <w:style w:type="table" w:customStyle="1" w:styleId="38">
    <w:name w:val="38"/>
    <w:basedOn w:val="NormalTable00"/>
    <w:tblPr/>
  </w:style>
  <w:style w:type="table" w:customStyle="1" w:styleId="37">
    <w:name w:val="37"/>
    <w:basedOn w:val="NormalTable00"/>
    <w:tblPr/>
  </w:style>
  <w:style w:type="table" w:customStyle="1" w:styleId="36">
    <w:name w:val="36"/>
    <w:basedOn w:val="NormalTable00"/>
    <w:tblPr/>
  </w:style>
  <w:style w:type="table" w:customStyle="1" w:styleId="35">
    <w:name w:val="35"/>
    <w:basedOn w:val="NormalTable00"/>
    <w:tblPr/>
  </w:style>
  <w:style w:type="table" w:customStyle="1" w:styleId="34">
    <w:name w:val="34"/>
    <w:basedOn w:val="NormalTable00"/>
    <w:tblPr/>
  </w:style>
  <w:style w:type="table" w:customStyle="1" w:styleId="33">
    <w:name w:val="33"/>
    <w:basedOn w:val="NormalTable00"/>
    <w:tblPr/>
  </w:style>
  <w:style w:type="table" w:customStyle="1" w:styleId="32">
    <w:name w:val="32"/>
    <w:basedOn w:val="NormalTable00"/>
    <w:tblPr/>
  </w:style>
  <w:style w:type="table" w:customStyle="1" w:styleId="31">
    <w:name w:val="31"/>
    <w:basedOn w:val="NormalTable00"/>
    <w:tblPr/>
  </w:style>
  <w:style w:type="table" w:customStyle="1" w:styleId="30">
    <w:name w:val="30"/>
    <w:basedOn w:val="NormalTable00"/>
    <w:tblPr/>
  </w:style>
  <w:style w:type="table" w:customStyle="1" w:styleId="29">
    <w:name w:val="29"/>
    <w:basedOn w:val="NormalTable00"/>
    <w:tblPr/>
  </w:style>
  <w:style w:type="table" w:customStyle="1" w:styleId="28">
    <w:name w:val="28"/>
    <w:basedOn w:val="NormalTable00"/>
    <w:tblPr/>
  </w:style>
  <w:style w:type="table" w:customStyle="1" w:styleId="27">
    <w:name w:val="27"/>
    <w:basedOn w:val="NormalTable00"/>
    <w:tblPr/>
  </w:style>
  <w:style w:type="table" w:customStyle="1" w:styleId="26">
    <w:name w:val="26"/>
    <w:basedOn w:val="NormalTable00"/>
    <w:tblPr/>
  </w:style>
  <w:style w:type="table" w:customStyle="1" w:styleId="25">
    <w:name w:val="25"/>
    <w:basedOn w:val="NormalTable00"/>
    <w:tblPr/>
  </w:style>
  <w:style w:type="table" w:customStyle="1" w:styleId="24">
    <w:name w:val="24"/>
    <w:basedOn w:val="NormalTable00"/>
    <w:tblPr/>
  </w:style>
  <w:style w:type="table" w:customStyle="1" w:styleId="23">
    <w:name w:val="23"/>
    <w:basedOn w:val="NormalTable00"/>
    <w:tblPr/>
  </w:style>
  <w:style w:type="table" w:customStyle="1" w:styleId="22">
    <w:name w:val="22"/>
    <w:basedOn w:val="NormalTable00"/>
    <w:tblPr/>
  </w:style>
  <w:style w:type="table" w:customStyle="1" w:styleId="21">
    <w:name w:val="21"/>
    <w:basedOn w:val="NormalTable00"/>
    <w:tblPr/>
  </w:style>
  <w:style w:type="paragraph" w:customStyle="1" w:styleId="Subtitle0">
    <w:name w:val="Subtitle0"/>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0"/>
    <w:basedOn w:val="NormalTable0"/>
    <w:tblPr/>
  </w:style>
  <w:style w:type="table" w:customStyle="1" w:styleId="19">
    <w:name w:val="19"/>
    <w:basedOn w:val="NormalTable0"/>
    <w:tblPr/>
  </w:style>
  <w:style w:type="table" w:customStyle="1" w:styleId="18">
    <w:name w:val="18"/>
    <w:basedOn w:val="NormalTable0"/>
    <w:tblPr/>
  </w:style>
  <w:style w:type="table" w:customStyle="1" w:styleId="17">
    <w:name w:val="17"/>
    <w:basedOn w:val="NormalTable0"/>
    <w:tblPr/>
  </w:style>
  <w:style w:type="table" w:customStyle="1" w:styleId="16">
    <w:name w:val="16"/>
    <w:basedOn w:val="NormalTable0"/>
    <w:tblPr/>
  </w:style>
  <w:style w:type="table" w:customStyle="1" w:styleId="15">
    <w:name w:val="15"/>
    <w:basedOn w:val="NormalTable0"/>
    <w:tblPr/>
  </w:style>
  <w:style w:type="table" w:customStyle="1" w:styleId="14">
    <w:name w:val="14"/>
    <w:basedOn w:val="NormalTable0"/>
    <w:tblPr/>
  </w:style>
  <w:style w:type="table" w:customStyle="1" w:styleId="13">
    <w:name w:val="13"/>
    <w:basedOn w:val="NormalTable0"/>
    <w:tblPr/>
  </w:style>
  <w:style w:type="table" w:customStyle="1" w:styleId="12">
    <w:name w:val="12"/>
    <w:basedOn w:val="NormalTable0"/>
    <w:tblPr/>
  </w:style>
  <w:style w:type="table" w:customStyle="1" w:styleId="11">
    <w:name w:val="11"/>
    <w:basedOn w:val="NormalTable0"/>
    <w:tblPr/>
  </w:style>
  <w:style w:type="table" w:customStyle="1" w:styleId="10">
    <w:name w:val="10"/>
    <w:basedOn w:val="NormalTable0"/>
    <w:tblPr/>
  </w:style>
  <w:style w:type="table" w:customStyle="1" w:styleId="9">
    <w:name w:val="9"/>
    <w:basedOn w:val="NormalTable0"/>
    <w:tblPr/>
  </w:style>
  <w:style w:type="table" w:customStyle="1" w:styleId="8">
    <w:name w:val="8"/>
    <w:basedOn w:val="NormalTable0"/>
    <w:tblPr/>
  </w:style>
  <w:style w:type="table" w:customStyle="1" w:styleId="7">
    <w:name w:val="7"/>
    <w:basedOn w:val="NormalTable0"/>
    <w:tblPr/>
  </w:style>
  <w:style w:type="table" w:customStyle="1" w:styleId="6">
    <w:name w:val="6"/>
    <w:basedOn w:val="NormalTable0"/>
    <w:tblPr/>
  </w:style>
  <w:style w:type="table" w:customStyle="1" w:styleId="5">
    <w:name w:val="5"/>
    <w:basedOn w:val="NormalTable0"/>
    <w:tblPr/>
  </w:style>
  <w:style w:type="table" w:customStyle="1" w:styleId="4">
    <w:name w:val="4"/>
    <w:basedOn w:val="NormalTable0"/>
    <w:tblPr/>
  </w:style>
  <w:style w:type="table" w:customStyle="1" w:styleId="3">
    <w:name w:val="3"/>
    <w:basedOn w:val="NormalTable0"/>
    <w:tblPr/>
  </w:style>
  <w:style w:type="table" w:customStyle="1" w:styleId="1">
    <w:name w:val="1"/>
    <w:basedOn w:val="NormalTable0"/>
    <w:tblPr/>
  </w:style>
  <w:style w:type="character" w:customStyle="1" w:styleId="FootnoteCharacters">
    <w:name w:val="Footnote Characters"/>
    <w:rsid w:val="00C612C5"/>
    <w:rPr>
      <w:vertAlign w:val="superscript"/>
    </w:rPr>
  </w:style>
  <w:style w:type="character" w:customStyle="1" w:styleId="WW8Num2z0">
    <w:name w:val="WW8Num2z0"/>
    <w:rsid w:val="00463240"/>
    <w:rPr>
      <w:rFonts w:ascii="Wingdings" w:hAnsi="Wingdings" w:cs="Wingdings"/>
    </w:rPr>
  </w:style>
  <w:style w:type="character" w:customStyle="1" w:styleId="WW8Num1z1">
    <w:name w:val="WW8Num1z1"/>
    <w:rsid w:val="00D33DF2"/>
    <w:rPr>
      <w:rFonts w:ascii="Courier New" w:hAnsi="Courier New" w:cs="Courier New"/>
    </w:rPr>
  </w:style>
  <w:style w:type="character" w:customStyle="1" w:styleId="Mention2">
    <w:name w:val="Mention2"/>
    <w:basedOn w:val="DefaultParagraphFont"/>
    <w:uiPriority w:val="99"/>
    <w:unhideWhenUsed/>
    <w:rPr>
      <w:color w:val="2B579A"/>
      <w:shd w:val="clear" w:color="auto" w:fill="E6E6E6"/>
    </w:rPr>
  </w:style>
  <w:style w:type="paragraph" w:customStyle="1" w:styleId="paragraph">
    <w:name w:val="paragraph"/>
    <w:basedOn w:val="Normal"/>
    <w:rsid w:val="00D23F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23F6C"/>
  </w:style>
  <w:style w:type="character" w:customStyle="1" w:styleId="scxw147420095">
    <w:name w:val="scxw147420095"/>
    <w:basedOn w:val="DefaultParagraphFont"/>
    <w:rsid w:val="00D23F6C"/>
  </w:style>
  <w:style w:type="character" w:customStyle="1" w:styleId="eop">
    <w:name w:val="eop"/>
    <w:basedOn w:val="DefaultParagraphFont"/>
    <w:rsid w:val="00D23F6C"/>
  </w:style>
  <w:style w:type="character" w:customStyle="1" w:styleId="scxw52418636">
    <w:name w:val="scxw52418636"/>
    <w:basedOn w:val="DefaultParagraphFont"/>
    <w:rsid w:val="00D23F6C"/>
  </w:style>
  <w:style w:type="character" w:customStyle="1" w:styleId="scxw256459143">
    <w:name w:val="scxw256459143"/>
    <w:basedOn w:val="DefaultParagraphFont"/>
    <w:rsid w:val="00D23F6C"/>
  </w:style>
  <w:style w:type="paragraph" w:customStyle="1" w:styleId="TechnicalBlock">
    <w:name w:val="Technical Block"/>
    <w:basedOn w:val="Normal"/>
    <w:link w:val="TechnicalBlockChar"/>
    <w:rsid w:val="00A96869"/>
    <w:pPr>
      <w:spacing w:after="240" w:line="240" w:lineRule="auto"/>
      <w:jc w:val="center"/>
    </w:pPr>
  </w:style>
  <w:style w:type="character" w:customStyle="1" w:styleId="TechnicalBlockChar">
    <w:name w:val="Technical Block Char"/>
    <w:basedOn w:val="DefaultParagraphFont"/>
    <w:link w:val="TechnicalBlock"/>
    <w:rsid w:val="00A96869"/>
  </w:style>
  <w:style w:type="paragraph" w:customStyle="1" w:styleId="EntText">
    <w:name w:val="EntText"/>
    <w:basedOn w:val="Normal"/>
    <w:rsid w:val="007A34BF"/>
    <w:pPr>
      <w:spacing w:before="120" w:after="120" w:line="360" w:lineRule="auto"/>
    </w:pPr>
    <w:rPr>
      <w:rFonts w:ascii="Times New Roman" w:eastAsiaTheme="minorHAnsi" w:hAnsi="Times New Roman" w:cs="Times New Roman"/>
      <w:sz w:val="24"/>
    </w:rPr>
  </w:style>
  <w:style w:type="paragraph" w:customStyle="1" w:styleId="Lignefinal">
    <w:name w:val="Ligne final"/>
    <w:basedOn w:val="Normal"/>
    <w:next w:val="Normal"/>
    <w:rsid w:val="007A34BF"/>
    <w:pPr>
      <w:pBdr>
        <w:bottom w:val="single" w:sz="4" w:space="0" w:color="000000"/>
      </w:pBdr>
      <w:spacing w:before="360" w:after="120" w:line="360" w:lineRule="auto"/>
      <w:ind w:left="3400" w:right="3400"/>
      <w:jc w:val="center"/>
    </w:pPr>
    <w:rPr>
      <w:rFonts w:ascii="Times New Roman" w:eastAsiaTheme="minorHAnsi" w:hAnsi="Times New Roman" w:cs="Times New Roman"/>
      <w:b/>
      <w:sz w:val="24"/>
    </w:rPr>
  </w:style>
  <w:style w:type="paragraph" w:customStyle="1" w:styleId="pj">
    <w:name w:val="p.j."/>
    <w:basedOn w:val="Normal"/>
    <w:link w:val="pjChar"/>
    <w:rsid w:val="00A9686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96869"/>
    <w:rPr>
      <w:rFonts w:ascii="Times New Roman" w:hAnsi="Times New Roman" w:cs="Times New Roman"/>
      <w:sz w:val="24"/>
    </w:rPr>
  </w:style>
  <w:style w:type="paragraph" w:customStyle="1" w:styleId="nbbordered">
    <w:name w:val="nb bordered"/>
    <w:basedOn w:val="Normal"/>
    <w:link w:val="nbborderedChar"/>
    <w:rsid w:val="00A9686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96869"/>
    <w:rPr>
      <w:rFonts w:ascii="Times New Roman" w:hAnsi="Times New Roman" w:cs="Times New Roman"/>
      <w:b/>
      <w:sz w:val="24"/>
    </w:rPr>
  </w:style>
  <w:style w:type="paragraph" w:customStyle="1" w:styleId="HeaderCouncil">
    <w:name w:val="Header Council"/>
    <w:basedOn w:val="Normal"/>
    <w:link w:val="HeaderCouncilChar"/>
    <w:rsid w:val="00A1628F"/>
    <w:pPr>
      <w:spacing w:after="0"/>
    </w:pPr>
    <w:rPr>
      <w:rFonts w:ascii="Times New Roman" w:hAnsi="Times New Roman"/>
      <w:sz w:val="2"/>
    </w:rPr>
  </w:style>
  <w:style w:type="character" w:customStyle="1" w:styleId="HeaderCouncilChar">
    <w:name w:val="Header Council Char"/>
    <w:basedOn w:val="DefaultParagraphFont"/>
    <w:link w:val="HeaderCouncil"/>
    <w:rsid w:val="00A96869"/>
    <w:rPr>
      <w:rFonts w:ascii="Times New Roman" w:hAnsi="Times New Roman"/>
      <w:sz w:val="2"/>
    </w:rPr>
  </w:style>
  <w:style w:type="paragraph" w:customStyle="1" w:styleId="HeaderCouncilLarge">
    <w:name w:val="Header Council Large"/>
    <w:basedOn w:val="Normal"/>
    <w:link w:val="HeaderCouncilLargeChar"/>
    <w:rsid w:val="00A1628F"/>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A96869"/>
    <w:rPr>
      <w:rFonts w:ascii="Times New Roman" w:hAnsi="Times New Roman"/>
      <w:sz w:val="2"/>
    </w:rPr>
  </w:style>
  <w:style w:type="paragraph" w:customStyle="1" w:styleId="FooterCouncil">
    <w:name w:val="Footer Council"/>
    <w:basedOn w:val="Normal"/>
    <w:link w:val="FooterCouncilChar"/>
    <w:rsid w:val="00A1628F"/>
    <w:pPr>
      <w:spacing w:after="0"/>
    </w:pPr>
    <w:rPr>
      <w:rFonts w:ascii="Times New Roman" w:hAnsi="Times New Roman"/>
      <w:sz w:val="2"/>
    </w:rPr>
  </w:style>
  <w:style w:type="character" w:customStyle="1" w:styleId="FooterCouncilChar">
    <w:name w:val="Footer Council Char"/>
    <w:basedOn w:val="DefaultParagraphFont"/>
    <w:link w:val="FooterCouncil"/>
    <w:rsid w:val="00A96869"/>
    <w:rPr>
      <w:rFonts w:ascii="Times New Roman" w:hAnsi="Times New Roman"/>
      <w:sz w:val="2"/>
    </w:rPr>
  </w:style>
  <w:style w:type="paragraph" w:customStyle="1" w:styleId="FooterText">
    <w:name w:val="Footer Text"/>
    <w:basedOn w:val="Normal"/>
    <w:rsid w:val="00A1628F"/>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96869"/>
    <w:rPr>
      <w:color w:val="808080"/>
    </w:rPr>
  </w:style>
  <w:style w:type="paragraph" w:customStyle="1" w:styleId="P68B1DB1-Normalny54">
    <w:name w:val="P68B1DB1-Normalny54"/>
    <w:basedOn w:val="Normal"/>
    <w:uiPriority w:val="1"/>
    <w:rsid w:val="1C567393"/>
    <w:pPr>
      <w:spacing w:after="160"/>
      <w:jc w:val="both"/>
    </w:pPr>
    <w:rPr>
      <w:rFonts w:ascii="Times New Roman" w:eastAsia="Times New Roman" w:hAnsi="Times New Roman" w:cs="Times New Roman"/>
      <w:color w:val="FF0000"/>
    </w:rPr>
  </w:style>
  <w:style w:type="paragraph" w:customStyle="1" w:styleId="P68B1DB1-Normalny51">
    <w:name w:val="P68B1DB1-Normalny51"/>
    <w:basedOn w:val="Normal"/>
    <w:uiPriority w:val="1"/>
    <w:rsid w:val="1C567393"/>
    <w:pPr>
      <w:spacing w:after="160"/>
      <w:jc w:val="both"/>
    </w:pPr>
    <w:rPr>
      <w:rFonts w:ascii="Times New Roman" w:eastAsia="Times New Roman" w:hAnsi="Times New Roman" w:cs="Times New Roman"/>
    </w:rPr>
  </w:style>
  <w:style w:type="character" w:customStyle="1" w:styleId="Mention3">
    <w:name w:val="Mention3"/>
    <w:basedOn w:val="DefaultParagraphFont"/>
    <w:uiPriority w:val="99"/>
    <w:unhideWhenUsed/>
    <w:rsid w:val="002912C0"/>
    <w:rPr>
      <w:color w:val="2B579A"/>
      <w:shd w:val="clear" w:color="auto" w:fill="E1DFDD"/>
    </w:rPr>
  </w:style>
  <w:style w:type="character" w:customStyle="1" w:styleId="superscript">
    <w:name w:val="superscript"/>
    <w:basedOn w:val="DefaultParagraphFont"/>
    <w:rsid w:val="00394B30"/>
  </w:style>
  <w:style w:type="paragraph" w:customStyle="1" w:styleId="LegalNumPar">
    <w:name w:val="LegalNumPar"/>
    <w:basedOn w:val="Normal"/>
    <w:rsid w:val="00597EF0"/>
    <w:pPr>
      <w:numPr>
        <w:numId w:val="1"/>
      </w:numPr>
      <w:spacing w:line="360" w:lineRule="auto"/>
    </w:pPr>
    <w:rPr>
      <w:sz w:val="24"/>
    </w:rPr>
  </w:style>
  <w:style w:type="paragraph" w:customStyle="1" w:styleId="LegalNumPar2">
    <w:name w:val="LegalNumPar2"/>
    <w:basedOn w:val="Normal"/>
    <w:rsid w:val="00597EF0"/>
    <w:pPr>
      <w:numPr>
        <w:ilvl w:val="1"/>
        <w:numId w:val="1"/>
      </w:numPr>
      <w:spacing w:line="360" w:lineRule="auto"/>
    </w:pPr>
    <w:rPr>
      <w:sz w:val="24"/>
    </w:rPr>
  </w:style>
  <w:style w:type="paragraph" w:customStyle="1" w:styleId="LegalNumPar3">
    <w:name w:val="LegalNumPar3"/>
    <w:basedOn w:val="Normal"/>
    <w:rsid w:val="00597EF0"/>
    <w:pPr>
      <w:numPr>
        <w:ilvl w:val="2"/>
        <w:numId w:val="1"/>
      </w:numPr>
      <w:spacing w:line="360" w:lineRule="auto"/>
    </w:pPr>
    <w:rPr>
      <w:sz w:val="24"/>
    </w:rPr>
  </w:style>
  <w:style w:type="paragraph" w:styleId="NormalWeb">
    <w:name w:val="Normal (Web)"/>
    <w:basedOn w:val="Normal"/>
    <w:uiPriority w:val="99"/>
    <w:semiHidden/>
    <w:unhideWhenUsed/>
    <w:rsid w:val="001C6B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2F6D90"/>
  </w:style>
  <w:style w:type="paragraph" w:customStyle="1" w:styleId="P68B1DB1-Normal7">
    <w:name w:val="P68B1DB1-Normal7"/>
    <w:basedOn w:val="Normal"/>
    <w:uiPriority w:val="1"/>
    <w:rsid w:val="00B658E3"/>
    <w:pPr>
      <w:spacing w:after="160"/>
      <w:jc w:val="both"/>
    </w:pPr>
    <w:rPr>
      <w:rFonts w:ascii="Times New Roman" w:hAnsi="Times New Roman" w:cs="Times New Roman"/>
      <w:color w:val="202124"/>
      <w:sz w:val="24"/>
      <w:szCs w:val="24"/>
    </w:rPr>
  </w:style>
  <w:style w:type="paragraph" w:customStyle="1" w:styleId="P68B1DB1-Normal6">
    <w:name w:val="P68B1DB1-Normal6"/>
    <w:basedOn w:val="Normal"/>
    <w:uiPriority w:val="1"/>
    <w:rsid w:val="00B658E3"/>
    <w:pPr>
      <w:spacing w:after="160"/>
      <w:jc w:val="both"/>
    </w:pPr>
    <w:rPr>
      <w:rFonts w:ascii="Times New Roman" w:hAnsi="Times New Roman" w:cs="Times New Roman"/>
      <w:sz w:val="24"/>
      <w:szCs w:val="24"/>
    </w:rPr>
  </w:style>
  <w:style w:type="paragraph" w:customStyle="1" w:styleId="P68B1DB1-Normal8">
    <w:name w:val="P68B1DB1-Normal8"/>
    <w:basedOn w:val="Normal"/>
    <w:uiPriority w:val="1"/>
    <w:rsid w:val="00B658E3"/>
    <w:pPr>
      <w:spacing w:after="160"/>
      <w:jc w:val="both"/>
    </w:pPr>
    <w:rPr>
      <w:rFonts w:ascii="Times New Roman" w:hAnsi="Times New Roman" w:cs="Times New Roman"/>
      <w:color w:val="FF0000"/>
      <w:sz w:val="24"/>
      <w:szCs w:val="24"/>
    </w:rPr>
  </w:style>
  <w:style w:type="character" w:customStyle="1" w:styleId="Mention4">
    <w:name w:val="Mention4"/>
    <w:basedOn w:val="DefaultParagraphFont"/>
    <w:uiPriority w:val="99"/>
    <w:unhideWhenUsed/>
    <w:rPr>
      <w:color w:val="2B579A"/>
      <w:shd w:val="clear" w:color="auto" w:fill="E6E6E6"/>
    </w:rPr>
  </w:style>
  <w:style w:type="paragraph" w:customStyle="1" w:styleId="P68B1DB1-Normal12">
    <w:name w:val="P68B1DB1-Normal12"/>
    <w:basedOn w:val="Normal"/>
    <w:uiPriority w:val="1"/>
    <w:rsid w:val="521FCB43"/>
    <w:pPr>
      <w:spacing w:after="160"/>
      <w:jc w:val="both"/>
    </w:pPr>
    <w:rPr>
      <w:rFonts w:ascii="Times New Roman" w:eastAsia="Times New Roman" w:hAnsi="Times New Roman" w:cs="Times New Roman"/>
      <w:color w:val="FF0000"/>
      <w:sz w:val="24"/>
      <w:szCs w:val="24"/>
    </w:rPr>
  </w:style>
  <w:style w:type="paragraph" w:customStyle="1" w:styleId="P68B1DB1-Bezodstpw9">
    <w:name w:val="P68B1DB1-Bezodstpw9"/>
    <w:basedOn w:val="Normal"/>
    <w:uiPriority w:val="1"/>
    <w:rsid w:val="008E2D61"/>
    <w:pPr>
      <w:spacing w:after="0"/>
    </w:pPr>
  </w:style>
  <w:style w:type="paragraph" w:styleId="NoSpacing">
    <w:name w:val="No Spacing"/>
    <w:uiPriority w:val="1"/>
    <w:qFormat/>
    <w:rsid w:val="004226AB"/>
    <w:pPr>
      <w:spacing w:after="0" w:line="240" w:lineRule="auto"/>
    </w:pPr>
  </w:style>
  <w:style w:type="character" w:customStyle="1" w:styleId="UnresolvedMention1">
    <w:name w:val="Unresolved Mention1"/>
    <w:basedOn w:val="DefaultParagraphFont"/>
    <w:uiPriority w:val="99"/>
    <w:semiHidden/>
    <w:unhideWhenUsed/>
    <w:rsid w:val="00775AD6"/>
    <w:rPr>
      <w:color w:val="605E5C"/>
      <w:shd w:val="clear" w:color="auto" w:fill="E1DFDD"/>
    </w:rPr>
  </w:style>
  <w:style w:type="paragraph" w:customStyle="1" w:styleId="Default">
    <w:name w:val="Default"/>
    <w:rsid w:val="006168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305C68"/>
    <w:rPr>
      <w:rFonts w:ascii="Segoe UI" w:hAnsi="Segoe UI" w:cs="Segoe UI" w:hint="default"/>
      <w:sz w:val="18"/>
      <w:szCs w:val="18"/>
    </w:rPr>
  </w:style>
  <w:style w:type="paragraph" w:customStyle="1" w:styleId="footnotedescription">
    <w:name w:val="footnote description"/>
    <w:next w:val="Normal"/>
    <w:link w:val="footnotedescriptionChar"/>
    <w:hidden/>
    <w:rsid w:val="00F26353"/>
    <w:pPr>
      <w:spacing w:after="0" w:line="246" w:lineRule="auto"/>
      <w:ind w:right="3"/>
      <w:jc w:val="both"/>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F26353"/>
    <w:rPr>
      <w:rFonts w:ascii="Times New Roman" w:eastAsia="Times New Roman" w:hAnsi="Times New Roman" w:cs="Times New Roman"/>
      <w:color w:val="000000"/>
      <w:kern w:val="2"/>
      <w:sz w:val="18"/>
    </w:rPr>
  </w:style>
  <w:style w:type="character" w:customStyle="1" w:styleId="footnotemark">
    <w:name w:val="footnote mark"/>
    <w:hidden/>
    <w:rsid w:val="00F26353"/>
    <w:rPr>
      <w:rFonts w:ascii="Times New Roman" w:eastAsia="Times New Roman" w:hAnsi="Times New Roman" w:cs="Times New Roman"/>
      <w:color w:val="000000"/>
      <w:sz w:val="18"/>
      <w:vertAlign w:val="superscript"/>
    </w:rPr>
  </w:style>
  <w:style w:type="table" w:customStyle="1" w:styleId="TableGrid0">
    <w:name w:val="TableGrid"/>
    <w:rsid w:val="00F26353"/>
    <w:pPr>
      <w:spacing w:after="0" w:line="240" w:lineRule="auto"/>
    </w:pPr>
    <w:rPr>
      <w:rFonts w:asciiTheme="minorHAnsi" w:eastAsiaTheme="minorEastAsia" w:hAnsiTheme="minorHAnsi" w:cstheme="minorBidi"/>
      <w:kern w:val="2"/>
    </w:rPr>
    <w:tblPr>
      <w:tblCellMar>
        <w:top w:w="0" w:type="dxa"/>
        <w:left w:w="0" w:type="dxa"/>
        <w:bottom w:w="0" w:type="dxa"/>
        <w:right w:w="0" w:type="dxa"/>
      </w:tblCellMar>
    </w:tblPr>
  </w:style>
  <w:style w:type="character" w:customStyle="1" w:styleId="findhit">
    <w:name w:val="findhit"/>
    <w:basedOn w:val="DefaultParagraphFont"/>
    <w:rsid w:val="00CD7E10"/>
  </w:style>
  <w:style w:type="character" w:customStyle="1" w:styleId="Mention5">
    <w:name w:val="Mention5"/>
    <w:basedOn w:val="DefaultParagraphFont"/>
    <w:uiPriority w:val="99"/>
    <w:unhideWhenUsed/>
    <w:rsid w:val="00046683"/>
    <w:rPr>
      <w:color w:val="2B579A"/>
      <w:shd w:val="clear" w:color="auto" w:fill="E1DFDD"/>
    </w:rPr>
  </w:style>
  <w:style w:type="character" w:customStyle="1" w:styleId="UnresolvedMention2">
    <w:name w:val="Unresolved Mention2"/>
    <w:basedOn w:val="DefaultParagraphFont"/>
    <w:uiPriority w:val="99"/>
    <w:semiHidden/>
    <w:unhideWhenUsed/>
    <w:rsid w:val="006105BE"/>
    <w:rPr>
      <w:color w:val="605E5C"/>
      <w:shd w:val="clear" w:color="auto" w:fill="E1DFDD"/>
    </w:rPr>
  </w:style>
  <w:style w:type="paragraph" w:customStyle="1" w:styleId="P68B1DB1-Normalny2">
    <w:name w:val="P68B1DB1-Normalny2"/>
    <w:basedOn w:val="Normal"/>
    <w:rsid w:val="00953653"/>
    <w:pPr>
      <w:spacing w:after="160" w:line="257" w:lineRule="auto"/>
      <w:jc w:val="both"/>
    </w:pPr>
    <w:rPr>
      <w:rFonts w:ascii="Times New Roman" w:eastAsia="Times New Roman" w:hAnsi="Times New Roman" w:cs="Times New Roman"/>
    </w:rPr>
  </w:style>
  <w:style w:type="numbering" w:customStyle="1" w:styleId="NoList2">
    <w:name w:val="No List2"/>
    <w:next w:val="NoList"/>
    <w:uiPriority w:val="99"/>
    <w:semiHidden/>
    <w:unhideWhenUsed/>
    <w:rsid w:val="00FC738E"/>
  </w:style>
  <w:style w:type="paragraph" w:customStyle="1" w:styleId="msonormal0">
    <w:name w:val="msonormal"/>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FC738E"/>
  </w:style>
  <w:style w:type="character" w:customStyle="1" w:styleId="pagebreakblob">
    <w:name w:val="pagebreakblob"/>
    <w:basedOn w:val="DefaultParagraphFont"/>
    <w:rsid w:val="00FC738E"/>
  </w:style>
  <w:style w:type="character" w:customStyle="1" w:styleId="pagebreaktextspan">
    <w:name w:val="pagebreaktextspan"/>
    <w:basedOn w:val="DefaultParagraphFont"/>
    <w:rsid w:val="00FC738E"/>
  </w:style>
  <w:style w:type="character" w:customStyle="1" w:styleId="pagebreakborderspan">
    <w:name w:val="pagebreakborderspan"/>
    <w:basedOn w:val="DefaultParagraphFont"/>
    <w:rsid w:val="00FC738E"/>
  </w:style>
  <w:style w:type="character" w:customStyle="1" w:styleId="trackchangetextdeletionmarker">
    <w:name w:val="trackchangetextdeletionmarker"/>
    <w:basedOn w:val="DefaultParagraphFont"/>
    <w:rsid w:val="00FC738E"/>
  </w:style>
  <w:style w:type="character" w:customStyle="1" w:styleId="trackchangetextinsertion">
    <w:name w:val="trackchangetextinsertion"/>
    <w:basedOn w:val="DefaultParagraphFont"/>
    <w:rsid w:val="00FC738E"/>
  </w:style>
  <w:style w:type="character" w:customStyle="1" w:styleId="trackedchange">
    <w:name w:val="trackedchange"/>
    <w:basedOn w:val="DefaultParagraphFont"/>
    <w:rsid w:val="00FC738E"/>
  </w:style>
  <w:style w:type="paragraph" w:customStyle="1" w:styleId="outlineelement">
    <w:name w:val="outlineelement"/>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breakblob">
    <w:name w:val="linebreakblob"/>
    <w:basedOn w:val="DefaultParagraphFont"/>
    <w:rsid w:val="00FC738E"/>
  </w:style>
  <w:style w:type="character" w:customStyle="1" w:styleId="scxw139030638">
    <w:name w:val="scxw139030638"/>
    <w:basedOn w:val="DefaultParagraphFont"/>
    <w:rsid w:val="00FC738E"/>
  </w:style>
  <w:style w:type="character" w:customStyle="1" w:styleId="Mention6">
    <w:name w:val="Mention6"/>
    <w:basedOn w:val="DefaultParagraphFont"/>
    <w:uiPriority w:val="99"/>
    <w:unhideWhenUsed/>
    <w:rsid w:val="003C076B"/>
    <w:rPr>
      <w:color w:val="2B579A"/>
      <w:shd w:val="clear" w:color="auto" w:fill="E1DFDD"/>
    </w:rPr>
  </w:style>
  <w:style w:type="character" w:customStyle="1" w:styleId="UnresolvedMention3">
    <w:name w:val="Unresolved Mention3"/>
    <w:basedOn w:val="DefaultParagraphFont"/>
    <w:uiPriority w:val="99"/>
    <w:semiHidden/>
    <w:unhideWhenUsed/>
    <w:rsid w:val="0046630C"/>
    <w:rPr>
      <w:color w:val="605E5C"/>
      <w:shd w:val="clear" w:color="auto" w:fill="E1DFDD"/>
    </w:rPr>
  </w:style>
  <w:style w:type="character" w:customStyle="1" w:styleId="tabchar">
    <w:name w:val="tabchar"/>
    <w:basedOn w:val="DefaultParagraphFont"/>
    <w:rsid w:val="004746D5"/>
  </w:style>
  <w:style w:type="character" w:customStyle="1" w:styleId="scxw242372666">
    <w:name w:val="scxw242372666"/>
    <w:basedOn w:val="DefaultParagraphFont"/>
    <w:rsid w:val="004746D5"/>
  </w:style>
  <w:style w:type="character" w:customStyle="1" w:styleId="Heading7Char">
    <w:name w:val="Heading 7 Char"/>
    <w:basedOn w:val="DefaultParagraphFont"/>
    <w:link w:val="Heading7"/>
    <w:uiPriority w:val="9"/>
    <w:semiHidden/>
    <w:rsid w:val="00714E6D"/>
    <w:rPr>
      <w:rFonts w:asciiTheme="minorHAnsi" w:eastAsiaTheme="majorEastAsia" w:hAnsiTheme="minorHAnsi"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714E6D"/>
    <w:rPr>
      <w:rFonts w:asciiTheme="minorHAnsi" w:eastAsiaTheme="majorEastAsia" w:hAnsiTheme="minorHAnsi"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714E6D"/>
    <w:rPr>
      <w:rFonts w:asciiTheme="minorHAnsi" w:eastAsiaTheme="majorEastAsia" w:hAnsiTheme="minorHAnsi" w:cstheme="majorBidi"/>
      <w:color w:val="272727" w:themeColor="text1" w:themeTint="D8"/>
      <w:kern w:val="2"/>
      <w:sz w:val="24"/>
      <w:szCs w:val="24"/>
    </w:rPr>
  </w:style>
  <w:style w:type="character" w:customStyle="1" w:styleId="Heading5Char">
    <w:name w:val="Heading 5 Char"/>
    <w:basedOn w:val="DefaultParagraphFont"/>
    <w:link w:val="Heading5"/>
    <w:rsid w:val="00714E6D"/>
    <w:rPr>
      <w:b/>
    </w:rPr>
  </w:style>
  <w:style w:type="character" w:customStyle="1" w:styleId="Heading6Char">
    <w:name w:val="Heading 6 Char"/>
    <w:basedOn w:val="DefaultParagraphFont"/>
    <w:link w:val="Heading6"/>
    <w:rsid w:val="00714E6D"/>
    <w:rPr>
      <w:b/>
      <w:sz w:val="20"/>
      <w:szCs w:val="20"/>
    </w:rPr>
  </w:style>
  <w:style w:type="character" w:customStyle="1" w:styleId="TitleChar">
    <w:name w:val="Title Char"/>
    <w:basedOn w:val="DefaultParagraphFont"/>
    <w:link w:val="Title"/>
    <w:rsid w:val="00714E6D"/>
    <w:rPr>
      <w:b/>
      <w:sz w:val="72"/>
      <w:szCs w:val="72"/>
    </w:rPr>
  </w:style>
  <w:style w:type="character" w:customStyle="1" w:styleId="SubtitleChar">
    <w:name w:val="Subtitle Char"/>
    <w:basedOn w:val="DefaultParagraphFont"/>
    <w:link w:val="Subtitle"/>
    <w:rsid w:val="00714E6D"/>
    <w:rPr>
      <w:rFonts w:ascii="Georgia" w:eastAsia="Georgia" w:hAnsi="Georgia" w:cs="Georgia"/>
      <w:i/>
      <w:color w:val="666666"/>
      <w:sz w:val="48"/>
      <w:szCs w:val="48"/>
    </w:rPr>
  </w:style>
  <w:style w:type="paragraph" w:styleId="Quote">
    <w:name w:val="Quote"/>
    <w:basedOn w:val="Normal"/>
    <w:next w:val="Normal"/>
    <w:link w:val="QuoteChar"/>
    <w:uiPriority w:val="29"/>
    <w:qFormat/>
    <w:rsid w:val="00714E6D"/>
    <w:pPr>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14E6D"/>
    <w:rPr>
      <w:rFonts w:asciiTheme="minorHAnsi" w:eastAsiaTheme="minorHAnsi" w:hAnsiTheme="minorHAnsi" w:cstheme="minorBidi"/>
      <w:i/>
      <w:iCs/>
      <w:color w:val="404040" w:themeColor="text1" w:themeTint="BF"/>
      <w:kern w:val="2"/>
      <w:sz w:val="24"/>
      <w:szCs w:val="24"/>
    </w:rPr>
  </w:style>
  <w:style w:type="paragraph" w:styleId="IntenseQuote">
    <w:name w:val="Intense Quote"/>
    <w:basedOn w:val="Normal"/>
    <w:next w:val="Normal"/>
    <w:link w:val="IntenseQuoteChar"/>
    <w:uiPriority w:val="30"/>
    <w:qFormat/>
    <w:rsid w:val="00714E6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IntenseQuoteChar">
    <w:name w:val="Intense Quote Char"/>
    <w:basedOn w:val="DefaultParagraphFont"/>
    <w:link w:val="IntenseQuote"/>
    <w:uiPriority w:val="30"/>
    <w:rsid w:val="00714E6D"/>
    <w:rPr>
      <w:rFonts w:asciiTheme="minorHAnsi" w:eastAsiaTheme="minorHAnsi" w:hAnsiTheme="minorHAnsi" w:cstheme="minorBidi"/>
      <w:i/>
      <w:iCs/>
      <w:color w:val="365F91" w:themeColor="accent1" w:themeShade="BF"/>
      <w:kern w:val="2"/>
      <w:sz w:val="24"/>
      <w:szCs w:val="24"/>
    </w:rPr>
  </w:style>
  <w:style w:type="character" w:styleId="IntenseReference">
    <w:name w:val="Intense Reference"/>
    <w:basedOn w:val="DefaultParagraphFont"/>
    <w:uiPriority w:val="32"/>
    <w:qFormat/>
    <w:rsid w:val="00714E6D"/>
    <w:rPr>
      <w:b/>
      <w:bCs/>
      <w:smallCaps/>
      <w:color w:val="365F91" w:themeColor="accent1" w:themeShade="BF"/>
    </w:rPr>
  </w:style>
  <w:style w:type="numbering" w:customStyle="1" w:styleId="NoList11">
    <w:name w:val="No List11"/>
    <w:next w:val="NoList"/>
    <w:uiPriority w:val="99"/>
    <w:semiHidden/>
    <w:unhideWhenUsed/>
    <w:rsid w:val="00714E6D"/>
  </w:style>
  <w:style w:type="paragraph" w:customStyle="1" w:styleId="Caption1">
    <w:name w:val="Caption1"/>
    <w:basedOn w:val="Normal00"/>
    <w:next w:val="Normal00"/>
    <w:uiPriority w:val="35"/>
    <w:semiHidden/>
    <w:unhideWhenUsed/>
    <w:qFormat/>
    <w:rsid w:val="00714E6D"/>
    <w:pPr>
      <w:spacing w:line="240" w:lineRule="auto"/>
      <w:jc w:val="both"/>
    </w:pPr>
    <w:rPr>
      <w:rFonts w:ascii="Times New Roman" w:hAnsi="Times New Roman" w:cs="Times New Roman"/>
      <w:i/>
      <w:iCs/>
      <w:color w:val="1F497D"/>
      <w:sz w:val="18"/>
      <w:szCs w:val="18"/>
    </w:rPr>
  </w:style>
  <w:style w:type="character" w:customStyle="1" w:styleId="Hyperlink1">
    <w:name w:val="Hyperlink1"/>
    <w:basedOn w:val="DefaultParagraphFont"/>
    <w:uiPriority w:val="99"/>
    <w:unhideWhenUsed/>
    <w:rsid w:val="00714E6D"/>
    <w:rPr>
      <w:color w:val="0000FF"/>
      <w:u w:val="single"/>
    </w:rPr>
  </w:style>
  <w:style w:type="table" w:customStyle="1" w:styleId="TableGrid1">
    <w:name w:val="Table Grid1"/>
    <w:basedOn w:val="NormalTable00"/>
    <w:next w:val="TableGrid"/>
    <w:uiPriority w:val="59"/>
    <w:rsid w:val="00714E6D"/>
    <w:pPr>
      <w:spacing w:after="0" w:line="240" w:lineRule="auto"/>
    </w:pPr>
    <w:tblPr/>
  </w:style>
  <w:style w:type="character" w:customStyle="1" w:styleId="Heading1Char1">
    <w:name w:val="Heading 1 Char1"/>
    <w:basedOn w:val="DefaultParagraphFont"/>
    <w:link w:val="Heading1"/>
    <w:rsid w:val="008C4A4D"/>
    <w:rPr>
      <w:rFonts w:ascii="Times New Roman" w:eastAsia="Times New Roman" w:hAnsi="Times New Roman" w:cs="Times New Roman"/>
      <w:b/>
      <w:smallCaps/>
      <w:sz w:val="24"/>
      <w:szCs w:val="24"/>
    </w:rPr>
  </w:style>
  <w:style w:type="character" w:customStyle="1" w:styleId="Heading2Char1">
    <w:name w:val="Heading 2 Char1"/>
    <w:basedOn w:val="DefaultParagraphFont"/>
    <w:link w:val="Heading2"/>
    <w:rsid w:val="008C4A4D"/>
    <w:rPr>
      <w:rFonts w:ascii="Times New Roman" w:eastAsia="Times New Roman" w:hAnsi="Times New Roman" w:cs="Times New Roman"/>
      <w:b/>
      <w:sz w:val="24"/>
      <w:szCs w:val="24"/>
    </w:rPr>
  </w:style>
  <w:style w:type="character" w:customStyle="1" w:styleId="Heading3Char1">
    <w:name w:val="Heading 3 Char1"/>
    <w:basedOn w:val="DefaultParagraphFont"/>
    <w:link w:val="Heading3"/>
    <w:rsid w:val="008C4A4D"/>
    <w:rPr>
      <w:rFonts w:ascii="Times New Roman" w:eastAsia="Times New Roman" w:hAnsi="Times New Roman" w:cs="Times New Roman"/>
      <w:i/>
      <w:sz w:val="24"/>
      <w:szCs w:val="24"/>
    </w:rPr>
  </w:style>
  <w:style w:type="character" w:customStyle="1" w:styleId="Heading4Char1">
    <w:name w:val="Heading 4 Char1"/>
    <w:basedOn w:val="DefaultParagraphFont"/>
    <w:link w:val="Heading4"/>
    <w:rsid w:val="008C4A4D"/>
    <w:rPr>
      <w:rFonts w:ascii="Times New Roman" w:eastAsia="Times New Roman" w:hAnsi="Times New Roman" w:cs="Times New Roman"/>
      <w:sz w:val="24"/>
      <w:szCs w:val="24"/>
    </w:rPr>
  </w:style>
  <w:style w:type="table" w:customStyle="1" w:styleId="NormalTable01">
    <w:name w:val="Normal Table01"/>
    <w:uiPriority w:val="99"/>
    <w:semiHidden/>
    <w:unhideWhenUsed/>
    <w:rsid w:val="008C4A4D"/>
    <w:tblPr>
      <w:tblInd w:w="0" w:type="dxa"/>
      <w:tblCellMar>
        <w:top w:w="0" w:type="dxa"/>
        <w:left w:w="108" w:type="dxa"/>
        <w:bottom w:w="0" w:type="dxa"/>
        <w:right w:w="108" w:type="dxa"/>
      </w:tblCellMar>
    </w:tblPr>
  </w:style>
  <w:style w:type="table" w:customStyle="1" w:styleId="201">
    <w:name w:val="201"/>
    <w:basedOn w:val="NormalTable0"/>
    <w:rsid w:val="008C4A4D"/>
    <w:tblPr>
      <w:tblInd w:w="0" w:type="dxa"/>
      <w:tblCellMar>
        <w:left w:w="108" w:type="dxa"/>
        <w:right w:w="108" w:type="dxa"/>
      </w:tblCellMar>
    </w:tblPr>
  </w:style>
  <w:style w:type="table" w:customStyle="1" w:styleId="191">
    <w:name w:val="191"/>
    <w:basedOn w:val="NormalTable0"/>
    <w:rsid w:val="008C4A4D"/>
    <w:tblPr>
      <w:tblInd w:w="0" w:type="dxa"/>
      <w:tblCellMar>
        <w:left w:w="108" w:type="dxa"/>
        <w:right w:w="108" w:type="dxa"/>
      </w:tblCellMar>
    </w:tblPr>
  </w:style>
  <w:style w:type="table" w:customStyle="1" w:styleId="181">
    <w:name w:val="181"/>
    <w:basedOn w:val="NormalTable0"/>
    <w:rsid w:val="008C4A4D"/>
    <w:tblPr>
      <w:tblInd w:w="0" w:type="dxa"/>
      <w:tblCellMar>
        <w:left w:w="108" w:type="dxa"/>
        <w:right w:w="108" w:type="dxa"/>
      </w:tblCellMar>
    </w:tblPr>
  </w:style>
  <w:style w:type="table" w:customStyle="1" w:styleId="171">
    <w:name w:val="171"/>
    <w:basedOn w:val="NormalTable0"/>
    <w:rsid w:val="008C4A4D"/>
    <w:tblPr>
      <w:tblInd w:w="0" w:type="dxa"/>
      <w:tblCellMar>
        <w:left w:w="108" w:type="dxa"/>
        <w:right w:w="108" w:type="dxa"/>
      </w:tblCellMar>
    </w:tblPr>
  </w:style>
  <w:style w:type="table" w:customStyle="1" w:styleId="161">
    <w:name w:val="161"/>
    <w:basedOn w:val="NormalTable0"/>
    <w:rsid w:val="008C4A4D"/>
    <w:tblPr>
      <w:tblInd w:w="0" w:type="dxa"/>
      <w:tblCellMar>
        <w:left w:w="108" w:type="dxa"/>
        <w:right w:w="108" w:type="dxa"/>
      </w:tblCellMar>
    </w:tblPr>
  </w:style>
  <w:style w:type="table" w:customStyle="1" w:styleId="151">
    <w:name w:val="151"/>
    <w:basedOn w:val="NormalTable0"/>
    <w:rsid w:val="008C4A4D"/>
    <w:tblPr>
      <w:tblInd w:w="0" w:type="dxa"/>
      <w:tblCellMar>
        <w:left w:w="108" w:type="dxa"/>
        <w:right w:w="108" w:type="dxa"/>
      </w:tblCellMar>
    </w:tblPr>
  </w:style>
  <w:style w:type="table" w:customStyle="1" w:styleId="141">
    <w:name w:val="141"/>
    <w:basedOn w:val="NormalTable0"/>
    <w:rsid w:val="008C4A4D"/>
    <w:tblPr>
      <w:tblInd w:w="0" w:type="dxa"/>
      <w:tblCellMar>
        <w:left w:w="108" w:type="dxa"/>
        <w:right w:w="108" w:type="dxa"/>
      </w:tblCellMar>
    </w:tblPr>
  </w:style>
  <w:style w:type="table" w:customStyle="1" w:styleId="131">
    <w:name w:val="131"/>
    <w:basedOn w:val="NormalTable0"/>
    <w:rsid w:val="008C4A4D"/>
    <w:tblPr>
      <w:tblInd w:w="0" w:type="dxa"/>
      <w:tblCellMar>
        <w:left w:w="108" w:type="dxa"/>
        <w:right w:w="108" w:type="dxa"/>
      </w:tblCellMar>
    </w:tblPr>
  </w:style>
  <w:style w:type="table" w:customStyle="1" w:styleId="121">
    <w:name w:val="121"/>
    <w:basedOn w:val="NormalTable0"/>
    <w:rsid w:val="008C4A4D"/>
    <w:tblPr>
      <w:tblInd w:w="0" w:type="dxa"/>
      <w:tblCellMar>
        <w:left w:w="108" w:type="dxa"/>
        <w:right w:w="108" w:type="dxa"/>
      </w:tblCellMar>
    </w:tblPr>
  </w:style>
  <w:style w:type="table" w:customStyle="1" w:styleId="111">
    <w:name w:val="111"/>
    <w:basedOn w:val="NormalTable0"/>
    <w:rsid w:val="008C4A4D"/>
    <w:tblPr>
      <w:tblInd w:w="0" w:type="dxa"/>
      <w:tblCellMar>
        <w:left w:w="108" w:type="dxa"/>
        <w:right w:w="108" w:type="dxa"/>
      </w:tblCellMar>
    </w:tblPr>
  </w:style>
  <w:style w:type="table" w:customStyle="1" w:styleId="101">
    <w:name w:val="101"/>
    <w:basedOn w:val="NormalTable0"/>
    <w:rsid w:val="008C4A4D"/>
    <w:tblPr>
      <w:tblInd w:w="0" w:type="dxa"/>
      <w:tblCellMar>
        <w:left w:w="108" w:type="dxa"/>
        <w:right w:w="108" w:type="dxa"/>
      </w:tblCellMar>
    </w:tblPr>
  </w:style>
  <w:style w:type="table" w:customStyle="1" w:styleId="91">
    <w:name w:val="91"/>
    <w:basedOn w:val="NormalTable0"/>
    <w:rsid w:val="008C4A4D"/>
    <w:tblPr>
      <w:tblInd w:w="0" w:type="dxa"/>
      <w:tblCellMar>
        <w:left w:w="108" w:type="dxa"/>
        <w:right w:w="108" w:type="dxa"/>
      </w:tblCellMar>
    </w:tblPr>
  </w:style>
  <w:style w:type="table" w:customStyle="1" w:styleId="81">
    <w:name w:val="81"/>
    <w:basedOn w:val="NormalTable0"/>
    <w:rsid w:val="008C4A4D"/>
    <w:tblPr>
      <w:tblInd w:w="0" w:type="dxa"/>
      <w:tblCellMar>
        <w:left w:w="108" w:type="dxa"/>
        <w:right w:w="108" w:type="dxa"/>
      </w:tblCellMar>
    </w:tblPr>
  </w:style>
  <w:style w:type="table" w:customStyle="1" w:styleId="71">
    <w:name w:val="71"/>
    <w:basedOn w:val="NormalTable0"/>
    <w:rsid w:val="008C4A4D"/>
    <w:tblPr>
      <w:tblInd w:w="0" w:type="dxa"/>
      <w:tblCellMar>
        <w:left w:w="108" w:type="dxa"/>
        <w:right w:w="108" w:type="dxa"/>
      </w:tblCellMar>
    </w:tblPr>
  </w:style>
  <w:style w:type="table" w:customStyle="1" w:styleId="61">
    <w:name w:val="61"/>
    <w:basedOn w:val="NormalTable0"/>
    <w:rsid w:val="008C4A4D"/>
    <w:tblPr>
      <w:tblInd w:w="0" w:type="dxa"/>
      <w:tblCellMar>
        <w:left w:w="108" w:type="dxa"/>
        <w:right w:w="108" w:type="dxa"/>
      </w:tblCellMar>
    </w:tblPr>
  </w:style>
  <w:style w:type="table" w:customStyle="1" w:styleId="51">
    <w:name w:val="51"/>
    <w:basedOn w:val="NormalTable0"/>
    <w:rsid w:val="008C4A4D"/>
    <w:tblPr>
      <w:tblInd w:w="0" w:type="dxa"/>
      <w:tblCellMar>
        <w:left w:w="108" w:type="dxa"/>
        <w:right w:w="108" w:type="dxa"/>
      </w:tblCellMar>
    </w:tblPr>
  </w:style>
  <w:style w:type="table" w:customStyle="1" w:styleId="41">
    <w:name w:val="41"/>
    <w:basedOn w:val="NormalTable0"/>
    <w:rsid w:val="008C4A4D"/>
    <w:tblPr>
      <w:tblInd w:w="0" w:type="dxa"/>
      <w:tblCellMar>
        <w:left w:w="108" w:type="dxa"/>
        <w:right w:w="108" w:type="dxa"/>
      </w:tblCellMar>
    </w:tblPr>
  </w:style>
  <w:style w:type="table" w:customStyle="1" w:styleId="310">
    <w:name w:val="310"/>
    <w:basedOn w:val="NormalTable0"/>
    <w:rsid w:val="008C4A4D"/>
    <w:tblPr>
      <w:tblInd w:w="0" w:type="dxa"/>
      <w:tblCellMar>
        <w:left w:w="108" w:type="dxa"/>
        <w:right w:w="108" w:type="dxa"/>
      </w:tblCellMar>
    </w:tblPr>
  </w:style>
  <w:style w:type="table" w:customStyle="1" w:styleId="110">
    <w:name w:val="110"/>
    <w:basedOn w:val="NormalTable0"/>
    <w:rsid w:val="008C4A4D"/>
    <w:tblPr>
      <w:tblInd w:w="0" w:type="dxa"/>
      <w:tblCellMar>
        <w:left w:w="108" w:type="dxa"/>
        <w:right w:w="108" w:type="dxa"/>
      </w:tblCellMar>
    </w:tblPr>
  </w:style>
  <w:style w:type="character" w:customStyle="1" w:styleId="Wzmianka1">
    <w:name w:val="Wzmianka1"/>
    <w:basedOn w:val="DefaultParagraphFont"/>
    <w:uiPriority w:val="99"/>
    <w:unhideWhenUsed/>
    <w:rsid w:val="008C4A4D"/>
    <w:rPr>
      <w:color w:val="2B579A"/>
      <w:shd w:val="clear" w:color="auto" w:fill="E1DFDD"/>
    </w:rPr>
  </w:style>
  <w:style w:type="character" w:customStyle="1" w:styleId="Nierozpoznanawzmianka1">
    <w:name w:val="Nierozpoznana wzmianka1"/>
    <w:basedOn w:val="DefaultParagraphFont"/>
    <w:uiPriority w:val="99"/>
    <w:semiHidden/>
    <w:unhideWhenUsed/>
    <w:rsid w:val="008C4A4D"/>
    <w:rPr>
      <w:color w:val="605E5C"/>
      <w:shd w:val="clear" w:color="auto" w:fill="E1DFDD"/>
    </w:rPr>
  </w:style>
  <w:style w:type="character" w:customStyle="1" w:styleId="Mention7">
    <w:name w:val="Mention7"/>
    <w:basedOn w:val="DefaultParagraphFont"/>
    <w:uiPriority w:val="99"/>
    <w:unhideWhenUsed/>
    <w:rsid w:val="00904CFE"/>
    <w:rPr>
      <w:color w:val="2B579A"/>
      <w:shd w:val="clear" w:color="auto" w:fill="E1DFDD"/>
    </w:rPr>
  </w:style>
  <w:style w:type="character" w:customStyle="1" w:styleId="Mention">
    <w:name w:val="Mention"/>
    <w:basedOn w:val="DefaultParagraphFont"/>
    <w:uiPriority w:val="99"/>
    <w:unhideWhenUsed/>
    <w:rsid w:val="001C4EDC"/>
    <w:rPr>
      <w:color w:val="2B579A"/>
      <w:shd w:val="clear" w:color="auto" w:fill="E1DFDD"/>
    </w:rPr>
  </w:style>
  <w:style w:type="paragraph" w:customStyle="1" w:styleId="P68B1DB1-Text11">
    <w:name w:val="P68B1DB1-Text11"/>
    <w:basedOn w:val="Text1"/>
    <w:rPr>
      <w:b/>
      <w:smallCaps/>
      <w:color w:val="000000" w:themeColor="text1"/>
    </w:rPr>
  </w:style>
  <w:style w:type="paragraph" w:customStyle="1" w:styleId="P68B1DB1-Text12">
    <w:name w:val="P68B1DB1-Text12"/>
    <w:basedOn w:val="Text1"/>
    <w:rPr>
      <w:color w:val="000000" w:themeColor="text1"/>
    </w:rPr>
  </w:style>
  <w:style w:type="paragraph" w:customStyle="1" w:styleId="P68B1DB1-Text13">
    <w:name w:val="P68B1DB1-Text13"/>
    <w:basedOn w:val="Text1"/>
    <w:rPr>
      <w:b/>
    </w:rPr>
  </w:style>
  <w:style w:type="paragraph" w:customStyle="1" w:styleId="P68B1DB1-Text14">
    <w:name w:val="P68B1DB1-Text14"/>
    <w:basedOn w:val="Text1"/>
    <w:rPr>
      <w:b/>
      <w:color w:val="000000" w:themeColor="text1"/>
      <w:u w:val="single"/>
    </w:rPr>
  </w:style>
  <w:style w:type="paragraph" w:customStyle="1" w:styleId="P68B1DB1-Normal05">
    <w:name w:val="P68B1DB1-Normal05"/>
    <w:basedOn w:val="Normal0"/>
    <w:rPr>
      <w:rFonts w:ascii="Times New Roman" w:hAnsi="Times New Roman" w:cs="Times New Roman"/>
      <w:color w:val="000000" w:themeColor="text1"/>
      <w:sz w:val="24"/>
      <w:szCs w:val="24"/>
    </w:rPr>
  </w:style>
  <w:style w:type="paragraph" w:customStyle="1" w:styleId="P68B1DB1-Text16">
    <w:name w:val="P68B1DB1-Text16"/>
    <w:basedOn w:val="Text1"/>
    <w:rPr>
      <w:b/>
      <w:color w:val="000000" w:themeColor="text1"/>
    </w:rPr>
  </w:style>
  <w:style w:type="paragraph" w:customStyle="1" w:styleId="P68B1DB1-Text17">
    <w:name w:val="P68B1DB1-Text17"/>
    <w:basedOn w:val="Text1"/>
    <w:rPr>
      <w:rFonts w:eastAsia="Times New Roman"/>
      <w:color w:val="000000" w:themeColor="text1"/>
    </w:rPr>
  </w:style>
  <w:style w:type="paragraph" w:customStyle="1" w:styleId="P68B1DB1-Normal08">
    <w:name w:val="P68B1DB1-Normal08"/>
    <w:basedOn w:val="Normal0"/>
    <w:rPr>
      <w:rFonts w:ascii="Times New Roman" w:eastAsia="Times New Roman" w:hAnsi="Times New Roman" w:cs="Times New Roman"/>
      <w:color w:val="000000" w:themeColor="text1"/>
      <w:sz w:val="24"/>
      <w:szCs w:val="24"/>
    </w:rPr>
  </w:style>
  <w:style w:type="paragraph" w:customStyle="1" w:styleId="P68B1DB1-Normal9">
    <w:name w:val="P68B1DB1-Normal9"/>
    <w:basedOn w:val="Normal"/>
    <w:rPr>
      <w:color w:val="000000" w:themeColor="text1"/>
    </w:rPr>
  </w:style>
  <w:style w:type="paragraph" w:customStyle="1" w:styleId="P68B1DB1-Normal10">
    <w:name w:val="P68B1DB1-Normal10"/>
    <w:basedOn w:val="Normal"/>
    <w:rPr>
      <w:rFonts w:ascii="Times New Roman" w:eastAsia="Times New Roman" w:hAnsi="Times New Roman" w:cs="Times New Roman"/>
      <w:color w:val="000000" w:themeColor="text1"/>
      <w:sz w:val="24"/>
      <w:szCs w:val="24"/>
    </w:rPr>
  </w:style>
  <w:style w:type="paragraph" w:customStyle="1" w:styleId="P68B1DB1-Normal011">
    <w:name w:val="P68B1DB1-Normal011"/>
    <w:basedOn w:val="Normal0"/>
    <w:rPr>
      <w:rFonts w:ascii="Times New Roman" w:eastAsia="Times New Roman" w:hAnsi="Times New Roman" w:cs="Times New Roman"/>
      <w:b/>
      <w:color w:val="000000" w:themeColor="text1"/>
      <w:sz w:val="24"/>
      <w:szCs w:val="24"/>
      <w:u w:val="single"/>
    </w:rPr>
  </w:style>
  <w:style w:type="paragraph" w:customStyle="1" w:styleId="P68B1DB1-ListParagraph12">
    <w:name w:val="P68B1DB1-ListParagraph12"/>
    <w:basedOn w:val="ListParagraph"/>
    <w:rPr>
      <w:rFonts w:ascii="Times New Roman" w:eastAsia="Times New Roman" w:hAnsi="Times New Roman" w:cs="Times New Roman"/>
      <w:color w:val="000000" w:themeColor="text1"/>
      <w:sz w:val="24"/>
      <w:szCs w:val="24"/>
    </w:rPr>
  </w:style>
  <w:style w:type="paragraph" w:customStyle="1" w:styleId="P68B1DB1-Normal13">
    <w:name w:val="P68B1DB1-Normal13"/>
    <w:basedOn w:val="Normal"/>
    <w:rPr>
      <w:rFonts w:ascii="Times New Roman" w:eastAsia="Times New Roman" w:hAnsi="Times New Roman" w:cs="Times New Roman"/>
      <w:b/>
      <w:sz w:val="24"/>
      <w:szCs w:val="24"/>
    </w:rPr>
  </w:style>
  <w:style w:type="paragraph" w:customStyle="1" w:styleId="P68B1DB1-Normal14">
    <w:name w:val="P68B1DB1-Normal14"/>
    <w:basedOn w:val="Normal"/>
    <w:rPr>
      <w:rFonts w:ascii="Times New Roman" w:eastAsia="Times New Roman" w:hAnsi="Times New Roman" w:cs="Times New Roman"/>
      <w:b/>
      <w:u w:val="single"/>
    </w:rPr>
  </w:style>
  <w:style w:type="paragraph" w:customStyle="1" w:styleId="P68B1DB1-Normal15">
    <w:name w:val="P68B1DB1-Normal15"/>
    <w:basedOn w:val="Normal"/>
    <w:rPr>
      <w:rFonts w:ascii="Times New Roman" w:eastAsia="Times New Roman" w:hAnsi="Times New Roman" w:cs="Times New Roman"/>
      <w:sz w:val="24"/>
      <w:szCs w:val="24"/>
    </w:rPr>
  </w:style>
  <w:style w:type="paragraph" w:customStyle="1" w:styleId="P68B1DB1-Normal016">
    <w:name w:val="P68B1DB1-Normal016"/>
    <w:basedOn w:val="Normal0"/>
    <w:rPr>
      <w:rFonts w:ascii="Times New Roman" w:hAnsi="Times New Roman"/>
      <w:b/>
      <w:color w:val="000000"/>
      <w:sz w:val="24"/>
    </w:rPr>
  </w:style>
  <w:style w:type="paragraph" w:customStyle="1" w:styleId="P68B1DB1-Normal017">
    <w:name w:val="P68B1DB1-Normal017"/>
    <w:basedOn w:val="Normal0"/>
    <w:rPr>
      <w:rFonts w:ascii="Times New Roman" w:hAnsi="Times New Roman"/>
      <w:b/>
      <w:color w:val="000000"/>
      <w:sz w:val="18"/>
    </w:rPr>
  </w:style>
  <w:style w:type="paragraph" w:customStyle="1" w:styleId="P68B1DB1-Normal018">
    <w:name w:val="P68B1DB1-Normal018"/>
    <w:basedOn w:val="Normal0"/>
    <w:rPr>
      <w:rFonts w:ascii="Times New Roman" w:hAnsi="Times New Roman"/>
      <w:sz w:val="18"/>
      <w:szCs w:val="18"/>
    </w:rPr>
  </w:style>
  <w:style w:type="paragraph" w:customStyle="1" w:styleId="P68B1DB1-Normal019">
    <w:name w:val="P68B1DB1-Normal019"/>
    <w:basedOn w:val="Normal0"/>
    <w:rPr>
      <w:rFonts w:ascii="Times New Roman" w:hAnsi="Times New Roman"/>
      <w:color w:val="000000"/>
      <w:sz w:val="18"/>
    </w:rPr>
  </w:style>
  <w:style w:type="paragraph" w:customStyle="1" w:styleId="P68B1DB1-Normal020">
    <w:name w:val="P68B1DB1-Normal020"/>
    <w:basedOn w:val="Normal0"/>
    <w:rPr>
      <w:rFonts w:ascii="Times New Roman" w:hAnsi="Times New Roman"/>
      <w:color w:val="000000" w:themeColor="text1"/>
      <w:sz w:val="18"/>
      <w:szCs w:val="18"/>
    </w:rPr>
  </w:style>
  <w:style w:type="paragraph" w:customStyle="1" w:styleId="P68B1DB1-Normal021">
    <w:name w:val="P68B1DB1-Normal021"/>
    <w:basedOn w:val="Normal0"/>
    <w:rPr>
      <w:rFonts w:ascii="Times New Roman" w:hAnsi="Times New Roman" w:cs="Times New Roman"/>
      <w:sz w:val="18"/>
      <w:szCs w:val="18"/>
    </w:rPr>
  </w:style>
  <w:style w:type="paragraph" w:customStyle="1" w:styleId="P68B1DB1-Normal22">
    <w:name w:val="P68B1DB1-Normal22"/>
    <w:basedOn w:val="Normal"/>
    <w:rPr>
      <w:rFonts w:ascii="Times New Roman" w:hAnsi="Times New Roman" w:cs="Times New Roman"/>
      <w:sz w:val="18"/>
      <w:szCs w:val="18"/>
    </w:rPr>
  </w:style>
  <w:style w:type="paragraph" w:customStyle="1" w:styleId="P68B1DB1-Normal023">
    <w:name w:val="P68B1DB1-Normal023"/>
    <w:basedOn w:val="Normal0"/>
    <w:rPr>
      <w:rFonts w:ascii="Times New Roman" w:hAnsi="Times New Roman"/>
      <w:sz w:val="18"/>
    </w:rPr>
  </w:style>
  <w:style w:type="paragraph" w:customStyle="1" w:styleId="P68B1DB1-Normal024">
    <w:name w:val="P68B1DB1-Normal024"/>
    <w:basedOn w:val="Normal0"/>
    <w:rPr>
      <w:sz w:val="18"/>
      <w:szCs w:val="18"/>
    </w:rPr>
  </w:style>
  <w:style w:type="paragraph" w:customStyle="1" w:styleId="P68B1DB1-Normal025">
    <w:name w:val="P68B1DB1-Normal025"/>
    <w:basedOn w:val="Normal0"/>
    <w:rPr>
      <w:rFonts w:ascii="Times New Roman" w:eastAsia="Times New Roman" w:hAnsi="Times New Roman" w:cs="Times New Roman"/>
      <w:sz w:val="18"/>
      <w:szCs w:val="18"/>
    </w:rPr>
  </w:style>
  <w:style w:type="paragraph" w:customStyle="1" w:styleId="P68B1DB1-Normal26">
    <w:name w:val="P68B1DB1-Normal26"/>
    <w:basedOn w:val="Normal"/>
    <w:rPr>
      <w:rFonts w:ascii="Times New Roman" w:hAnsi="Times New Roman"/>
      <w:color w:val="000000" w:themeColor="text1"/>
      <w:sz w:val="18"/>
      <w:szCs w:val="18"/>
    </w:rPr>
  </w:style>
  <w:style w:type="paragraph" w:customStyle="1" w:styleId="P68B1DB1-Normal27">
    <w:name w:val="P68B1DB1-Normal27"/>
    <w:basedOn w:val="Normal"/>
    <w:rPr>
      <w:rFonts w:ascii="Times New Roman" w:hAnsi="Times New Roman"/>
      <w:b/>
      <w:color w:val="000000"/>
      <w:sz w:val="24"/>
      <w:u w:val="single"/>
    </w:rPr>
  </w:style>
  <w:style w:type="paragraph" w:customStyle="1" w:styleId="P68B1DB1-Text128">
    <w:name w:val="P68B1DB1-Text128"/>
    <w:basedOn w:val="Text1"/>
    <w:rPr>
      <w:rFonts w:cs="Calibri"/>
      <w:color w:val="000000" w:themeColor="text1"/>
      <w:sz w:val="18"/>
      <w:szCs w:val="18"/>
    </w:rPr>
  </w:style>
  <w:style w:type="paragraph" w:customStyle="1" w:styleId="P68B1DB1-Normal029">
    <w:name w:val="P68B1DB1-Normal029"/>
    <w:basedOn w:val="Normal0"/>
    <w:rPr>
      <w:rFonts w:ascii="Times New Roman" w:eastAsia="Times New Roman" w:hAnsi="Times New Roman" w:cs="Times New Roman"/>
      <w:color w:val="000000" w:themeColor="text1"/>
      <w:sz w:val="18"/>
      <w:szCs w:val="18"/>
    </w:rPr>
  </w:style>
  <w:style w:type="paragraph" w:customStyle="1" w:styleId="P68B1DB1-Normal30">
    <w:name w:val="P68B1DB1-Normal30"/>
    <w:basedOn w:val="Normal"/>
    <w:rPr>
      <w:rFonts w:ascii="Times New Roman" w:eastAsia="Aptos" w:hAnsi="Times New Roman" w:cs="Arial"/>
      <w:color w:val="000000"/>
      <w:sz w:val="18"/>
      <w:szCs w:val="18"/>
    </w:rPr>
  </w:style>
  <w:style w:type="paragraph" w:customStyle="1" w:styleId="P68B1DB1-Normal31">
    <w:name w:val="P68B1DB1-Normal31"/>
    <w:basedOn w:val="Normal"/>
    <w:rPr>
      <w:rFonts w:ascii="Times New Roman" w:hAnsi="Times New Roman"/>
      <w:color w:val="000000"/>
      <w:kern w:val="2"/>
      <w:sz w:val="18"/>
      <w:szCs w:val="18"/>
      <w14:ligatures w14:val="standardContextual"/>
    </w:rPr>
  </w:style>
  <w:style w:type="paragraph" w:customStyle="1" w:styleId="P68B1DB1-Normal32">
    <w:name w:val="P68B1DB1-Normal32"/>
    <w:basedOn w:val="Normal"/>
    <w:rPr>
      <w:color w:val="000000"/>
      <w:sz w:val="18"/>
      <w:szCs w:val="18"/>
    </w:rPr>
  </w:style>
  <w:style w:type="paragraph" w:customStyle="1" w:styleId="P68B1DB1-Normal033">
    <w:name w:val="P68B1DB1-Normal033"/>
    <w:basedOn w:val="Normal0"/>
    <w:rPr>
      <w:rFonts w:ascii="Times New Roman" w:eastAsia="Aptos" w:hAnsi="Times New Roman" w:cs="Arial"/>
      <w:color w:val="000000" w:themeColor="text1"/>
      <w:sz w:val="18"/>
      <w:szCs w:val="18"/>
    </w:rPr>
  </w:style>
  <w:style w:type="paragraph" w:customStyle="1" w:styleId="P68B1DB1-Normal34">
    <w:name w:val="P68B1DB1-Normal34"/>
    <w:basedOn w:val="Normal"/>
    <w:rPr>
      <w:rFonts w:ascii="Times New Roman" w:hAnsi="Times New Roman" w:cs="Times New Roman"/>
      <w:color w:val="000000" w:themeColor="text1"/>
      <w:sz w:val="18"/>
      <w:szCs w:val="18"/>
    </w:rPr>
  </w:style>
  <w:style w:type="paragraph" w:customStyle="1" w:styleId="P68B1DB1-Normal035">
    <w:name w:val="P68B1DB1-Normal035"/>
    <w:basedOn w:val="Normal0"/>
    <w:rPr>
      <w:color w:val="000000" w:themeColor="text1"/>
      <w:sz w:val="18"/>
      <w:szCs w:val="18"/>
    </w:rPr>
  </w:style>
  <w:style w:type="paragraph" w:customStyle="1" w:styleId="P68B1DB1-Normal036">
    <w:name w:val="P68B1DB1-Normal036"/>
    <w:basedOn w:val="Normal0"/>
    <w:rPr>
      <w:rFonts w:ascii="Times New Roman" w:hAnsi="Times New Roman"/>
      <w:b/>
      <w:color w:val="000000" w:themeColor="text1"/>
      <w:sz w:val="24"/>
      <w:szCs w:val="24"/>
      <w:u w:val="single"/>
    </w:rPr>
  </w:style>
  <w:style w:type="paragraph" w:customStyle="1" w:styleId="P68B1DB1-Normal037">
    <w:name w:val="P68B1DB1-Normal037"/>
    <w:basedOn w:val="Normal0"/>
    <w:rPr>
      <w:rFonts w:ascii="Times New Roman" w:hAnsi="Times New Roman"/>
      <w:color w:val="000000" w:themeColor="text1"/>
      <w:sz w:val="24"/>
      <w:szCs w:val="24"/>
    </w:rPr>
  </w:style>
  <w:style w:type="paragraph" w:customStyle="1" w:styleId="P68B1DB1-Normal38">
    <w:name w:val="P68B1DB1-Normal38"/>
    <w:basedOn w:val="Normal"/>
    <w:rPr>
      <w:rFonts w:ascii="Times New Roman" w:hAnsi="Times New Roman"/>
      <w:color w:val="000000" w:themeColor="text1"/>
      <w:sz w:val="24"/>
      <w:szCs w:val="24"/>
    </w:rPr>
  </w:style>
  <w:style w:type="paragraph" w:customStyle="1" w:styleId="P68B1DB1-Normal39">
    <w:name w:val="P68B1DB1-Normal39"/>
    <w:basedOn w:val="Normal"/>
    <w:rPr>
      <w:rFonts w:ascii="Times New Roman" w:hAnsi="Times New Roman"/>
      <w:b/>
      <w:color w:val="000000" w:themeColor="text1"/>
      <w:sz w:val="24"/>
      <w:szCs w:val="24"/>
      <w:u w:val="single"/>
    </w:rPr>
  </w:style>
  <w:style w:type="paragraph" w:customStyle="1" w:styleId="P68B1DB1-Normal40">
    <w:name w:val="P68B1DB1-Normal40"/>
    <w:basedOn w:val="Normal"/>
    <w:rPr>
      <w:rFonts w:ascii="Times New Roman" w:eastAsia="Times New Roman" w:hAnsi="Times New Roman" w:cs="Times New Roman"/>
      <w:b/>
      <w:sz w:val="24"/>
      <w:szCs w:val="24"/>
      <w:u w:val="single"/>
    </w:rPr>
  </w:style>
  <w:style w:type="paragraph" w:customStyle="1" w:styleId="P68B1DB1-Normal41">
    <w:name w:val="P68B1DB1-Normal41"/>
    <w:basedOn w:val="Normal"/>
    <w:rPr>
      <w:rFonts w:ascii="Times New Roman" w:hAnsi="Times New Roman" w:cs="Times New Roman"/>
      <w:sz w:val="24"/>
      <w:szCs w:val="24"/>
    </w:rPr>
  </w:style>
  <w:style w:type="paragraph" w:customStyle="1" w:styleId="P68B1DB1-ListParagraph42">
    <w:name w:val="P68B1DB1-ListParagraph42"/>
    <w:basedOn w:val="ListParagraph"/>
    <w:rPr>
      <w:rFonts w:ascii="Times New Roman" w:hAnsi="Times New Roman" w:cs="Times New Roman"/>
      <w:sz w:val="24"/>
      <w:szCs w:val="24"/>
    </w:rPr>
  </w:style>
  <w:style w:type="paragraph" w:customStyle="1" w:styleId="P68B1DB1-LegalNumPar343">
    <w:name w:val="P68B1DB1-LegalNumPar343"/>
    <w:basedOn w:val="LegalNumPar3"/>
    <w:rPr>
      <w:rFonts w:ascii="Times New Roman" w:hAnsi="Times New Roman" w:cs="Times New Roman"/>
    </w:rPr>
  </w:style>
  <w:style w:type="paragraph" w:customStyle="1" w:styleId="P68B1DB1-Normal44">
    <w:name w:val="P68B1DB1-Normal44"/>
    <w:basedOn w:val="Normal"/>
    <w:rPr>
      <w:rFonts w:ascii="Times New Roman" w:hAnsi="Times New Roman"/>
      <w:color w:val="000000" w:themeColor="text1"/>
      <w:sz w:val="18"/>
    </w:rPr>
  </w:style>
  <w:style w:type="paragraph" w:customStyle="1" w:styleId="P68B1DB1-Normal45">
    <w:name w:val="P68B1DB1-Normal45"/>
    <w:basedOn w:val="Normal"/>
    <w:rPr>
      <w:rFonts w:ascii="Times New Roman" w:hAnsi="Times New Roman"/>
      <w:sz w:val="18"/>
      <w:szCs w:val="18"/>
    </w:rPr>
  </w:style>
  <w:style w:type="paragraph" w:customStyle="1" w:styleId="P68B1DB1-Normal046">
    <w:name w:val="P68B1DB1-Normal046"/>
    <w:basedOn w:val="Normal0"/>
    <w:rPr>
      <w:rFonts w:ascii="Times New Roman" w:hAnsi="Times New Roman"/>
      <w:b/>
      <w:smallCaps/>
      <w:color w:val="000000" w:themeColor="text1"/>
      <w:sz w:val="24"/>
      <w:szCs w:val="24"/>
    </w:rPr>
  </w:style>
  <w:style w:type="paragraph" w:customStyle="1" w:styleId="P68B1DB1-Normal047">
    <w:name w:val="P68B1DB1-Normal047"/>
    <w:basedOn w:val="Normal0"/>
    <w:rPr>
      <w:rFonts w:ascii="Times New Roman" w:hAnsi="Times New Roman"/>
      <w:color w:val="000000" w:themeColor="text1"/>
      <w:sz w:val="24"/>
    </w:rPr>
  </w:style>
  <w:style w:type="paragraph" w:customStyle="1" w:styleId="P68B1DB1-Normal048">
    <w:name w:val="P68B1DB1-Normal048"/>
    <w:basedOn w:val="Normal0"/>
    <w:rPr>
      <w:rFonts w:ascii="Times New Roman" w:hAnsi="Times New Roman"/>
      <w:b/>
      <w:color w:val="000000"/>
      <w:sz w:val="24"/>
      <w:u w:val="single"/>
    </w:rPr>
  </w:style>
  <w:style w:type="paragraph" w:customStyle="1" w:styleId="P68B1DB1-Normal049">
    <w:name w:val="P68B1DB1-Normal049"/>
    <w:basedOn w:val="Normal0"/>
    <w:rPr>
      <w:rFonts w:ascii="Times New Roman" w:hAnsi="Times New Roman"/>
      <w:sz w:val="24"/>
    </w:rPr>
  </w:style>
  <w:style w:type="paragraph" w:customStyle="1" w:styleId="P68B1DB1-Normal050">
    <w:name w:val="P68B1DB1-Normal050"/>
    <w:basedOn w:val="Normal0"/>
    <w:rPr>
      <w:rFonts w:ascii="Times New Roman" w:hAnsi="Times New Roman"/>
      <w:sz w:val="24"/>
      <w:szCs w:val="24"/>
    </w:rPr>
  </w:style>
  <w:style w:type="paragraph" w:customStyle="1" w:styleId="P68B1DB1-Normal051">
    <w:name w:val="P68B1DB1-Normal051"/>
    <w:basedOn w:val="Normal0"/>
    <w:rPr>
      <w:rFonts w:ascii="Times New Roman" w:hAnsi="Times New Roman"/>
      <w:b/>
      <w:sz w:val="24"/>
      <w:u w:val="single"/>
    </w:rPr>
  </w:style>
  <w:style w:type="paragraph" w:customStyle="1" w:styleId="P68B1DB1-Normal052">
    <w:name w:val="P68B1DB1-Normal052"/>
    <w:basedOn w:val="Normal0"/>
    <w:rPr>
      <w:rFonts w:ascii="Times New Roman" w:hAnsi="Times New Roman"/>
    </w:rPr>
  </w:style>
  <w:style w:type="paragraph" w:customStyle="1" w:styleId="P68B1DB1-paragraph53">
    <w:name w:val="P68B1DB1-paragraph53"/>
    <w:basedOn w:val="paragraph"/>
    <w:rPr>
      <w:rFonts w:eastAsia="Calibri" w:cs="Calibri"/>
      <w:color w:val="000000" w:themeColor="text1"/>
    </w:rPr>
  </w:style>
  <w:style w:type="paragraph" w:customStyle="1" w:styleId="P68B1DB1-paragraph54">
    <w:name w:val="P68B1DB1-paragraph54"/>
    <w:basedOn w:val="paragraph"/>
    <w:rPr>
      <w:rFonts w:ascii="Times" w:hAnsi="Times"/>
    </w:rPr>
  </w:style>
  <w:style w:type="paragraph" w:customStyle="1" w:styleId="P68B1DB1-ListParagraph55">
    <w:name w:val="P68B1DB1-ListParagraph55"/>
    <w:basedOn w:val="ListParagraph"/>
    <w:rPr>
      <w:rFonts w:ascii="Times" w:hAnsi="Times"/>
      <w:sz w:val="24"/>
      <w:szCs w:val="24"/>
    </w:rPr>
  </w:style>
  <w:style w:type="paragraph" w:customStyle="1" w:styleId="P68B1DB1-Normal56">
    <w:name w:val="P68B1DB1-Normal56"/>
    <w:basedOn w:val="Normal"/>
    <w:rPr>
      <w:rFonts w:ascii="Times New Roman" w:hAnsi="Times New Roman"/>
      <w:sz w:val="24"/>
    </w:rPr>
  </w:style>
  <w:style w:type="paragraph" w:customStyle="1" w:styleId="P68B1DB1-Normal57">
    <w:name w:val="P68B1DB1-Normal57"/>
    <w:basedOn w:val="Normal"/>
    <w:rPr>
      <w:rFonts w:ascii="Times New Roman" w:hAnsi="Times New Roman"/>
      <w:sz w:val="24"/>
      <w:szCs w:val="24"/>
    </w:rPr>
  </w:style>
  <w:style w:type="paragraph" w:customStyle="1" w:styleId="P68B1DB1-Normal058">
    <w:name w:val="P68B1DB1-Normal058"/>
    <w:basedOn w:val="Normal0"/>
    <w:rPr>
      <w:rFonts w:ascii="Times New Roman" w:hAnsi="Times New Roman"/>
      <w:b/>
      <w:smallCaps/>
      <w:color w:val="000000"/>
      <w:sz w:val="24"/>
    </w:rPr>
  </w:style>
  <w:style w:type="paragraph" w:customStyle="1" w:styleId="P68B1DB1-Normal059">
    <w:name w:val="P68B1DB1-Normal059"/>
    <w:basedOn w:val="Normal0"/>
    <w:rPr>
      <w:color w:val="000000" w:themeColor="text1"/>
      <w:sz w:val="18"/>
    </w:rPr>
  </w:style>
  <w:style w:type="paragraph" w:customStyle="1" w:styleId="P68B1DB1-Normal60">
    <w:name w:val="P68B1DB1-Normal60"/>
    <w:basedOn w:val="Normal"/>
    <w:rPr>
      <w:rFonts w:ascii="Times New Roman" w:hAnsi="Times New Roman"/>
      <w:color w:val="000000" w:themeColor="text1"/>
      <w:sz w:val="24"/>
    </w:rPr>
  </w:style>
  <w:style w:type="paragraph" w:customStyle="1" w:styleId="P68B1DB1-Normal061">
    <w:name w:val="P68B1DB1-Normal061"/>
    <w:basedOn w:val="Normal0"/>
    <w:rPr>
      <w:rFonts w:ascii="Times New Roman" w:hAnsi="Times New Roman" w:cs="Times New Roman"/>
      <w:b/>
      <w:color w:val="000000"/>
      <w:sz w:val="18"/>
      <w:szCs w:val="18"/>
    </w:rPr>
  </w:style>
  <w:style w:type="paragraph" w:customStyle="1" w:styleId="P68B1DB1-Normal062">
    <w:name w:val="P68B1DB1-Normal062"/>
    <w:basedOn w:val="Normal0"/>
    <w:rPr>
      <w:rFonts w:ascii="Times New Roman" w:hAnsi="Times New Roman" w:cs="Times New Roman"/>
      <w:color w:val="000000"/>
      <w:sz w:val="18"/>
      <w:szCs w:val="18"/>
    </w:rPr>
  </w:style>
  <w:style w:type="paragraph" w:customStyle="1" w:styleId="P68B1DB1-Normal063">
    <w:name w:val="P68B1DB1-Normal063"/>
    <w:basedOn w:val="Normal0"/>
    <w:rPr>
      <w:rFonts w:ascii="Times New Roman" w:hAnsi="Times New Roman"/>
      <w:color w:val="000000" w:themeColor="text1"/>
    </w:rPr>
  </w:style>
  <w:style w:type="paragraph" w:customStyle="1" w:styleId="P68B1DB1-Normal064">
    <w:name w:val="P68B1DB1-Normal064"/>
    <w:basedOn w:val="Normal0"/>
    <w:rPr>
      <w:rFonts w:ascii="Times New Roman" w:eastAsia="Times New Roman" w:hAnsi="Times New Roman" w:cs="Times New Roman"/>
      <w:sz w:val="24"/>
      <w:szCs w:val="24"/>
    </w:rPr>
  </w:style>
  <w:style w:type="paragraph" w:customStyle="1" w:styleId="P68B1DB1-NoSpacing65">
    <w:name w:val="P68B1DB1-NoSpacing65"/>
    <w:basedOn w:val="NoSpacing"/>
    <w:rPr>
      <w:sz w:val="18"/>
      <w:szCs w:val="18"/>
    </w:rPr>
  </w:style>
  <w:style w:type="paragraph" w:customStyle="1" w:styleId="P68B1DB1-Normal66">
    <w:name w:val="P68B1DB1-Normal66"/>
    <w:basedOn w:val="Normal"/>
    <w:rPr>
      <w:sz w:val="18"/>
      <w:szCs w:val="18"/>
    </w:rPr>
  </w:style>
  <w:style w:type="paragraph" w:customStyle="1" w:styleId="P68B1DB1-Normal67">
    <w:name w:val="P68B1DB1-Normal67"/>
    <w:basedOn w:val="Normal"/>
    <w:rPr>
      <w:rFonts w:ascii="Times New Roman" w:eastAsia="Times New Roman" w:hAnsi="Times New Roman" w:cs="Times New Roman"/>
      <w:b/>
      <w:color w:val="000000" w:themeColor="text1"/>
      <w:sz w:val="24"/>
      <w:szCs w:val="24"/>
      <w:u w:val="single"/>
    </w:rPr>
  </w:style>
  <w:style w:type="paragraph" w:customStyle="1" w:styleId="P68B1DB1-ListParagraph68">
    <w:name w:val="P68B1DB1-ListParagraph68"/>
    <w:basedOn w:val="ListParagraph"/>
    <w:rPr>
      <w:rFonts w:ascii="Times New Roman" w:eastAsia="Times New Roman" w:hAnsi="Times New Roman" w:cs="Times New Roman"/>
      <w:sz w:val="24"/>
      <w:szCs w:val="24"/>
    </w:rPr>
  </w:style>
  <w:style w:type="paragraph" w:customStyle="1" w:styleId="P68B1DB1-Normal69">
    <w:name w:val="P68B1DB1-Normal69"/>
    <w:basedOn w:val="Normal"/>
    <w:rPr>
      <w:sz w:val="24"/>
      <w:szCs w:val="24"/>
    </w:rPr>
  </w:style>
  <w:style w:type="paragraph" w:customStyle="1" w:styleId="P68B1DB1-Normal70">
    <w:name w:val="P68B1DB1-Normal70"/>
    <w:basedOn w:val="Normal"/>
    <w:rPr>
      <w:rFonts w:ascii="Times New Roman" w:hAnsi="Times New Roman"/>
      <w:b/>
      <w:color w:val="000000"/>
    </w:rPr>
  </w:style>
  <w:style w:type="paragraph" w:customStyle="1" w:styleId="P68B1DB1-Normal71">
    <w:name w:val="P68B1DB1-Normal71"/>
    <w:basedOn w:val="Normal"/>
    <w:rPr>
      <w:rFonts w:ascii="Times New Roman" w:hAnsi="Times New Roman"/>
      <w:color w:val="000000"/>
    </w:rPr>
  </w:style>
  <w:style w:type="paragraph" w:customStyle="1" w:styleId="P68B1DB1-Normal72">
    <w:name w:val="P68B1DB1-Normal72"/>
    <w:basedOn w:val="Normal"/>
    <w:rPr>
      <w:rFonts w:ascii="Times New Roman" w:hAnsi="Times New Roman"/>
      <w:b/>
      <w:color w:val="000000" w:themeColor="text1"/>
      <w:u w:val="single"/>
    </w:rPr>
  </w:style>
  <w:style w:type="paragraph" w:customStyle="1" w:styleId="P68B1DB1-Normal73">
    <w:name w:val="P68B1DB1-Normal73"/>
    <w:basedOn w:val="Normal"/>
    <w:rPr>
      <w:rFonts w:ascii="Times New Roman" w:hAnsi="Times New Roman"/>
      <w:color w:val="000000" w:themeColor="text1"/>
      <w:u w:val="single"/>
    </w:rPr>
  </w:style>
  <w:style w:type="paragraph" w:customStyle="1" w:styleId="P68B1DB1-Normal74">
    <w:name w:val="P68B1DB1-Normal74"/>
    <w:basedOn w:val="Normal"/>
    <w:rPr>
      <w:rFonts w:ascii="Times New Roman" w:hAnsi="Times New Roman"/>
      <w:b/>
      <w:color w:val="000000"/>
      <w:sz w:val="18"/>
      <w:szCs w:val="18"/>
    </w:rPr>
  </w:style>
  <w:style w:type="paragraph" w:customStyle="1" w:styleId="P68B1DB1-Normal75">
    <w:name w:val="P68B1DB1-Normal75"/>
    <w:basedOn w:val="Normal"/>
    <w:rPr>
      <w:rFonts w:ascii="Times New Roman" w:eastAsia="Times New Roman" w:hAnsi="Times New Roman" w:cs="Times New Roman"/>
      <w:color w:val="000000"/>
      <w:sz w:val="18"/>
      <w:szCs w:val="18"/>
    </w:rPr>
  </w:style>
  <w:style w:type="paragraph" w:customStyle="1" w:styleId="P68B1DB1-ListParagraph76">
    <w:name w:val="P68B1DB1-ListParagraph76"/>
    <w:basedOn w:val="ListParagraph"/>
    <w:rPr>
      <w:rFonts w:ascii="Times New Roman" w:eastAsia="Times New Roman" w:hAnsi="Times New Roman" w:cs="Times New Roman"/>
      <w:color w:val="000000" w:themeColor="text1"/>
      <w:sz w:val="18"/>
      <w:szCs w:val="18"/>
    </w:rPr>
  </w:style>
  <w:style w:type="paragraph" w:customStyle="1" w:styleId="P68B1DB1-Normal077">
    <w:name w:val="P68B1DB1-Normal077"/>
    <w:basedOn w:val="Normal0"/>
    <w:rPr>
      <w:rFonts w:ascii="Times" w:hAnsi="Times" w:cs="Times"/>
      <w:b/>
      <w:color w:val="000000" w:themeColor="text1"/>
      <w:sz w:val="24"/>
      <w:szCs w:val="24"/>
      <w:u w:val="single"/>
    </w:rPr>
  </w:style>
  <w:style w:type="paragraph" w:customStyle="1" w:styleId="P68B1DB1-paragraph78">
    <w:name w:val="P68B1DB1-paragraph78"/>
    <w:basedOn w:val="paragraph"/>
    <w:rPr>
      <w:sz w:val="18"/>
      <w:szCs w:val="18"/>
    </w:rPr>
  </w:style>
  <w:style w:type="paragraph" w:customStyle="1" w:styleId="P68B1DB1-P68B1DB1-Normalny279">
    <w:name w:val="P68B1DB1-P68B1DB1-Normalny279"/>
    <w:basedOn w:val="P68B1DB1-Normalny2"/>
    <w:rPr>
      <w:sz w:val="18"/>
      <w:szCs w:val="18"/>
    </w:rPr>
  </w:style>
  <w:style w:type="paragraph" w:customStyle="1" w:styleId="P68B1DB1-Normal080">
    <w:name w:val="P68B1DB1-Normal080"/>
    <w:basedOn w:val="Normal0"/>
    <w:rPr>
      <w:rFonts w:ascii="Times New Roman" w:hAnsi="Times New Roman"/>
      <w:sz w:val="24"/>
      <w:u w:val="single"/>
    </w:rPr>
  </w:style>
  <w:style w:type="paragraph" w:customStyle="1" w:styleId="P68B1DB1-Normal081">
    <w:name w:val="P68B1DB1-Normal081"/>
    <w:basedOn w:val="Normal0"/>
    <w:rPr>
      <w:rFonts w:ascii="Times New Roman" w:hAnsi="Times New Roman"/>
      <w:b/>
      <w:sz w:val="24"/>
      <w:szCs w:val="24"/>
      <w:u w:val="single"/>
    </w:rPr>
  </w:style>
  <w:style w:type="paragraph" w:customStyle="1" w:styleId="P68B1DB1-Normal82">
    <w:name w:val="P68B1DB1-Normal82"/>
    <w:basedOn w:val="Normal"/>
    <w:rPr>
      <w:rFonts w:ascii="Times New Roman" w:eastAsia="Times New Roman" w:hAnsi="Times New Roman" w:cs="Times New Roman"/>
      <w:sz w:val="18"/>
      <w:szCs w:val="18"/>
    </w:rPr>
  </w:style>
  <w:style w:type="paragraph" w:customStyle="1" w:styleId="P68B1DB1-ListParagraph83">
    <w:name w:val="P68B1DB1-ListParagraph83"/>
    <w:basedOn w:val="ListParagraph"/>
    <w:rPr>
      <w:rFonts w:ascii="Times New Roman" w:eastAsia="Times New Roman" w:hAnsi="Times New Roman" w:cs="Times New Roman"/>
      <w:sz w:val="18"/>
      <w:szCs w:val="18"/>
    </w:rPr>
  </w:style>
  <w:style w:type="paragraph" w:customStyle="1" w:styleId="P68B1DB1-Normal84">
    <w:name w:val="P68B1DB1-Normal84"/>
    <w:basedOn w:val="Normal"/>
    <w:rPr>
      <w:rFonts w:ascii="Times New Roman" w:hAnsi="Times New Roman"/>
      <w:b/>
      <w:smallCaps/>
      <w:color w:val="000000"/>
    </w:rPr>
  </w:style>
  <w:style w:type="paragraph" w:customStyle="1" w:styleId="P68B1DB1-Normal85">
    <w:name w:val="P68B1DB1-Normal85"/>
    <w:basedOn w:val="Normal"/>
    <w:rPr>
      <w:rFonts w:ascii="Times New Roman" w:hAnsi="Times New Roman"/>
    </w:rPr>
  </w:style>
  <w:style w:type="paragraph" w:customStyle="1" w:styleId="P68B1DB1-Normal86">
    <w:name w:val="P68B1DB1-Normal86"/>
    <w:basedOn w:val="Normal"/>
    <w:rPr>
      <w:rFonts w:ascii="Times New Roman" w:hAnsi="Times New Roman"/>
      <w:b/>
      <w:u w:val="single"/>
    </w:rPr>
  </w:style>
  <w:style w:type="paragraph" w:customStyle="1" w:styleId="P68B1DB1-Normal87">
    <w:name w:val="P68B1DB1-Normal87"/>
    <w:basedOn w:val="Normal"/>
    <w:rPr>
      <w:rFonts w:ascii="Times New Roman" w:eastAsia="Times New Roman" w:hAnsi="Times New Roman" w:cs="Times New Roman"/>
    </w:rPr>
  </w:style>
  <w:style w:type="paragraph" w:customStyle="1" w:styleId="P68B1DB1-Normal88">
    <w:name w:val="P68B1DB1-Normal88"/>
    <w:basedOn w:val="Normal"/>
    <w:rPr>
      <w:rFonts w:ascii="Times New Roman" w:hAnsi="Times New Roman"/>
      <w:b/>
      <w:color w:val="000000"/>
      <w:sz w:val="18"/>
    </w:rPr>
  </w:style>
  <w:style w:type="paragraph" w:customStyle="1" w:styleId="P68B1DB1-Normal89">
    <w:name w:val="P68B1DB1-Normal89"/>
    <w:basedOn w:val="Normal"/>
    <w:rPr>
      <w:rFonts w:ascii="Times New Roman" w:hAnsi="Times New Roman"/>
      <w:sz w:val="18"/>
    </w:rPr>
  </w:style>
  <w:style w:type="paragraph" w:customStyle="1" w:styleId="P68B1DB1-Normal90">
    <w:name w:val="P68B1DB1-Normal90"/>
    <w:basedOn w:val="Normal"/>
    <w:rPr>
      <w:rFonts w:ascii="Times New Roman" w:hAnsi="Times New Roman" w:cs="Times New Roman"/>
      <w:b/>
      <w:smallCaps/>
    </w:rPr>
  </w:style>
  <w:style w:type="paragraph" w:customStyle="1" w:styleId="P68B1DB1-Normal91">
    <w:name w:val="P68B1DB1-Normal91"/>
    <w:basedOn w:val="Normal"/>
    <w:rPr>
      <w:rFonts w:ascii="Times New Roman" w:hAnsi="Times New Roman" w:cs="Times New Roman"/>
    </w:rPr>
  </w:style>
  <w:style w:type="paragraph" w:customStyle="1" w:styleId="P68B1DB1-Normal92">
    <w:name w:val="P68B1DB1-Normal92"/>
    <w:basedOn w:val="Normal"/>
    <w:rPr>
      <w:rFonts w:ascii="Times New Roman" w:hAnsi="Times New Roman" w:cs="Times New Roman"/>
      <w:b/>
      <w:u w:val="single"/>
    </w:rPr>
  </w:style>
  <w:style w:type="paragraph" w:customStyle="1" w:styleId="P68B1DB1-Normal93">
    <w:name w:val="P68B1DB1-Normal93"/>
    <w:basedOn w:val="Normal"/>
    <w:rPr>
      <w:rFonts w:ascii="Times New Roman" w:hAnsi="Times New Roman" w:cs="Times New Roman"/>
      <w:b/>
    </w:rPr>
  </w:style>
  <w:style w:type="paragraph" w:customStyle="1" w:styleId="P68B1DB1-Normal94">
    <w:name w:val="P68B1DB1-Normal94"/>
    <w:basedOn w:val="Normal"/>
    <w:rPr>
      <w:rFonts w:ascii="Times New Roman" w:hAnsi="Times New Roman" w:cs="Times New Roman"/>
      <w:b/>
      <w:sz w:val="18"/>
      <w:szCs w:val="18"/>
    </w:rPr>
  </w:style>
  <w:style w:type="paragraph" w:customStyle="1" w:styleId="P68B1DB1-Normal95">
    <w:name w:val="P68B1DB1-Normal95"/>
    <w:basedOn w:val="Normal"/>
    <w:rPr>
      <w:rFonts w:ascii="Times New Roman" w:hAnsi="Times New Roman" w:cs="Times New Roman"/>
      <w:b/>
      <w:color w:val="000000"/>
      <w:sz w:val="18"/>
      <w:szCs w:val="18"/>
    </w:rPr>
  </w:style>
  <w:style w:type="paragraph" w:customStyle="1" w:styleId="P68B1DB1-Normal96">
    <w:name w:val="P68B1DB1-Normal96"/>
    <w:basedOn w:val="Normal"/>
    <w:rPr>
      <w:rFonts w:ascii="Times New Roman" w:hAnsi="Times New Roman"/>
      <w:b/>
      <w:sz w:val="18"/>
    </w:rPr>
  </w:style>
  <w:style w:type="paragraph" w:customStyle="1" w:styleId="P68B1DB1-ListParagraph97">
    <w:name w:val="P68B1DB1-ListParagraph97"/>
    <w:basedOn w:val="ListParagraph"/>
    <w:rPr>
      <w:rFonts w:ascii="Times New Roman" w:hAnsi="Times New Roman"/>
      <w:sz w:val="18"/>
      <w:szCs w:val="18"/>
    </w:rPr>
  </w:style>
  <w:style w:type="paragraph" w:customStyle="1" w:styleId="P68B1DB1-Normal98">
    <w:name w:val="P68B1DB1-Normal98"/>
    <w:basedOn w:val="Normal"/>
    <w:rPr>
      <w:rFonts w:ascii="Times New Roman" w:hAnsi="Times New Roman" w:cs="Times New Roman"/>
      <w:color w:val="000000"/>
    </w:rPr>
  </w:style>
  <w:style w:type="paragraph" w:customStyle="1" w:styleId="P68B1DB1-Normal99">
    <w:name w:val="P68B1DB1-Normal99"/>
    <w:basedOn w:val="Normal"/>
    <w:rPr>
      <w:rFonts w:ascii="Times New Roman" w:hAnsi="Times New Roman"/>
      <w:b/>
    </w:rPr>
  </w:style>
  <w:style w:type="paragraph" w:customStyle="1" w:styleId="P68B1DB1-Normal100">
    <w:name w:val="P68B1DB1-Normal100"/>
    <w:basedOn w:val="Normal"/>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966353">
      <w:bodyDiv w:val="1"/>
      <w:marLeft w:val="0"/>
      <w:marRight w:val="0"/>
      <w:marTop w:val="0"/>
      <w:marBottom w:val="0"/>
      <w:divBdr>
        <w:top w:val="none" w:sz="0" w:space="0" w:color="auto"/>
        <w:left w:val="none" w:sz="0" w:space="0" w:color="auto"/>
        <w:bottom w:val="none" w:sz="0" w:space="0" w:color="auto"/>
        <w:right w:val="none" w:sz="0" w:space="0" w:color="auto"/>
      </w:divBdr>
    </w:div>
    <w:div w:id="1562401158">
      <w:bodyDiv w:val="1"/>
      <w:marLeft w:val="0"/>
      <w:marRight w:val="0"/>
      <w:marTop w:val="0"/>
      <w:marBottom w:val="0"/>
      <w:divBdr>
        <w:top w:val="none" w:sz="0" w:space="0" w:color="auto"/>
        <w:left w:val="none" w:sz="0" w:space="0" w:color="auto"/>
        <w:bottom w:val="none" w:sz="0" w:space="0" w:color="auto"/>
        <w:right w:val="none" w:sz="0" w:space="0" w:color="auto"/>
      </w:divBdr>
      <w:divsChild>
        <w:div w:id="1300645009">
          <w:marLeft w:val="0"/>
          <w:marRight w:val="0"/>
          <w:marTop w:val="0"/>
          <w:marBottom w:val="0"/>
          <w:divBdr>
            <w:top w:val="none" w:sz="0" w:space="0" w:color="auto"/>
            <w:left w:val="none" w:sz="0" w:space="0" w:color="auto"/>
            <w:bottom w:val="none" w:sz="0" w:space="0" w:color="auto"/>
            <w:right w:val="none" w:sz="0" w:space="0" w:color="auto"/>
          </w:divBdr>
          <w:divsChild>
            <w:div w:id="506020423">
              <w:marLeft w:val="0"/>
              <w:marRight w:val="0"/>
              <w:marTop w:val="0"/>
              <w:marBottom w:val="0"/>
              <w:divBdr>
                <w:top w:val="none" w:sz="0" w:space="0" w:color="auto"/>
                <w:left w:val="none" w:sz="0" w:space="0" w:color="auto"/>
                <w:bottom w:val="none" w:sz="0" w:space="0" w:color="auto"/>
                <w:right w:val="none" w:sz="0" w:space="0" w:color="auto"/>
              </w:divBdr>
            </w:div>
            <w:div w:id="691302183">
              <w:marLeft w:val="0"/>
              <w:marRight w:val="0"/>
              <w:marTop w:val="0"/>
              <w:marBottom w:val="0"/>
              <w:divBdr>
                <w:top w:val="none" w:sz="0" w:space="0" w:color="auto"/>
                <w:left w:val="none" w:sz="0" w:space="0" w:color="auto"/>
                <w:bottom w:val="none" w:sz="0" w:space="0" w:color="auto"/>
                <w:right w:val="none" w:sz="0" w:space="0" w:color="auto"/>
              </w:divBdr>
            </w:div>
            <w:div w:id="957368900">
              <w:marLeft w:val="0"/>
              <w:marRight w:val="0"/>
              <w:marTop w:val="0"/>
              <w:marBottom w:val="0"/>
              <w:divBdr>
                <w:top w:val="none" w:sz="0" w:space="0" w:color="auto"/>
                <w:left w:val="none" w:sz="0" w:space="0" w:color="auto"/>
                <w:bottom w:val="none" w:sz="0" w:space="0" w:color="auto"/>
                <w:right w:val="none" w:sz="0" w:space="0" w:color="auto"/>
              </w:divBdr>
            </w:div>
            <w:div w:id="1300721713">
              <w:marLeft w:val="0"/>
              <w:marRight w:val="0"/>
              <w:marTop w:val="0"/>
              <w:marBottom w:val="0"/>
              <w:divBdr>
                <w:top w:val="none" w:sz="0" w:space="0" w:color="auto"/>
                <w:left w:val="none" w:sz="0" w:space="0" w:color="auto"/>
                <w:bottom w:val="none" w:sz="0" w:space="0" w:color="auto"/>
                <w:right w:val="none" w:sz="0" w:space="0" w:color="auto"/>
              </w:divBdr>
            </w:div>
            <w:div w:id="1324971880">
              <w:marLeft w:val="0"/>
              <w:marRight w:val="0"/>
              <w:marTop w:val="0"/>
              <w:marBottom w:val="0"/>
              <w:divBdr>
                <w:top w:val="none" w:sz="0" w:space="0" w:color="auto"/>
                <w:left w:val="none" w:sz="0" w:space="0" w:color="auto"/>
                <w:bottom w:val="none" w:sz="0" w:space="0" w:color="auto"/>
                <w:right w:val="none" w:sz="0" w:space="0" w:color="auto"/>
              </w:divBdr>
            </w:div>
            <w:div w:id="1422524538">
              <w:marLeft w:val="0"/>
              <w:marRight w:val="0"/>
              <w:marTop w:val="0"/>
              <w:marBottom w:val="0"/>
              <w:divBdr>
                <w:top w:val="none" w:sz="0" w:space="0" w:color="auto"/>
                <w:left w:val="none" w:sz="0" w:space="0" w:color="auto"/>
                <w:bottom w:val="none" w:sz="0" w:space="0" w:color="auto"/>
                <w:right w:val="none" w:sz="0" w:space="0" w:color="auto"/>
              </w:divBdr>
            </w:div>
            <w:div w:id="1431118124">
              <w:marLeft w:val="0"/>
              <w:marRight w:val="0"/>
              <w:marTop w:val="0"/>
              <w:marBottom w:val="0"/>
              <w:divBdr>
                <w:top w:val="none" w:sz="0" w:space="0" w:color="auto"/>
                <w:left w:val="none" w:sz="0" w:space="0" w:color="auto"/>
                <w:bottom w:val="none" w:sz="0" w:space="0" w:color="auto"/>
                <w:right w:val="none" w:sz="0" w:space="0" w:color="auto"/>
              </w:divBdr>
            </w:div>
            <w:div w:id="1724209054">
              <w:marLeft w:val="0"/>
              <w:marRight w:val="0"/>
              <w:marTop w:val="0"/>
              <w:marBottom w:val="0"/>
              <w:divBdr>
                <w:top w:val="none" w:sz="0" w:space="0" w:color="auto"/>
                <w:left w:val="none" w:sz="0" w:space="0" w:color="auto"/>
                <w:bottom w:val="none" w:sz="0" w:space="0" w:color="auto"/>
                <w:right w:val="none" w:sz="0" w:space="0" w:color="auto"/>
              </w:divBdr>
            </w:div>
            <w:div w:id="18031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edGCI xmlns="7e867e16-cd10-4d7c-af76-521234807006">false</ReviewedGCI>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2216-7E05-4FDB-8C94-030FDC3955CF}">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2.xml><?xml version="1.0" encoding="utf-8"?>
<ds:datastoreItem xmlns:ds="http://schemas.openxmlformats.org/officeDocument/2006/customXml" ds:itemID="{7669E647-AB77-4011-86B0-2BBD7EC4A584}">
  <ds:schemaRefs>
    <ds:schemaRef ds:uri="http://schemas.microsoft.com/sharepoint/v3/contenttype/forms"/>
  </ds:schemaRefs>
</ds:datastoreItem>
</file>

<file path=customXml/itemProps3.xml><?xml version="1.0" encoding="utf-8"?>
<ds:datastoreItem xmlns:ds="http://schemas.openxmlformats.org/officeDocument/2006/customXml" ds:itemID="{EA27CEBF-B1AF-4809-B8C8-A45CE5754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0A9B38-ADC0-45A2-871A-B2ACA1CAF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10</Pages>
  <Words>63882</Words>
  <Characters>364128</Characters>
  <Application>Microsoft Office Word</Application>
  <DocSecurity>0</DocSecurity>
  <Lines>3034</Lines>
  <Paragraphs>854</Paragraphs>
  <ScaleCrop>false</ScaleCrop>
  <Manager/>
  <Company/>
  <LinksUpToDate>false</LinksUpToDate>
  <CharactersWithSpaces>427156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2026-08-11T11:30:00Z</dcterms:created>
  <dcterms:modified xsi:type="dcterms:W3CDTF">2026-08-14T09:51:00Z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Last annex">
    <vt:lpwstr>1</vt:lpwstr>
  </property>
  <property fmtid="{D5CDD505-2E9C-101B-9397-08002B2CF9AE}" pid="5" name="MSIP_Label_6bd9ddd1-4d20-43f6-abfa-fc3c07406f94_Name">
    <vt:lpwstr>Commission Use</vt:lpwstr>
  </property>
  <property fmtid="{D5CDD505-2E9C-101B-9397-08002B2CF9AE}" pid="6" name="Part">
    <vt:lpwstr>1</vt:lpwstr>
  </property>
  <property fmtid="{D5CDD505-2E9C-101B-9397-08002B2CF9AE}" pid="7" name="MediaServiceImageTags">
    <vt:lpwstr/>
  </property>
  <property fmtid="{D5CDD505-2E9C-101B-9397-08002B2CF9AE}" pid="8" name="MSIP_Label_6bd9ddd1-4d20-43f6-abfa-fc3c07406f94_ContentBits">
    <vt:lpwstr>0</vt:lpwstr>
  </property>
  <property fmtid="{D5CDD505-2E9C-101B-9397-08002B2CF9AE}" pid="9" name="ContentTypeId">
    <vt:lpwstr>0x010100957260E13F24EE47816D0F26A43638A4</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af60b174-6478-47f9-866e-33f097bb6603_SiteId">
    <vt:lpwstr>03ad1c97-0a4d-4e82-8f93-27291a6a0767</vt:lpwstr>
  </property>
  <property fmtid="{D5CDD505-2E9C-101B-9397-08002B2CF9AE}" pid="13" name="MSIP_Label_6bd9ddd1-4d20-43f6-abfa-fc3c07406f94_Enabled">
    <vt:lpwstr>true</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Created using">
    <vt:lpwstr>LW 9.2, Build 20250828</vt:lpwstr>
  </property>
  <property fmtid="{D5CDD505-2E9C-101B-9397-08002B2CF9AE}" pid="17" name="Total parts">
    <vt:lpwstr>1</vt:lpwstr>
  </property>
  <property fmtid="{D5CDD505-2E9C-101B-9397-08002B2CF9AE}" pid="18" name="Unique annex">
    <vt:lpwstr>1</vt:lpwstr>
  </property>
  <property fmtid="{D5CDD505-2E9C-101B-9397-08002B2CF9AE}" pid="19" name="MSIP_Label_af60b174-6478-47f9-866e-33f097bb6603_Name">
    <vt:lpwstr>GSCEU - PUBLIC Label</vt:lpwstr>
  </property>
  <property fmtid="{D5CDD505-2E9C-101B-9397-08002B2CF9AE}" pid="20" name="MSIP_Label_6bd9ddd1-4d20-43f6-abfa-fc3c07406f94_SetDate">
    <vt:lpwstr>2026-05-11T11:32:40Z</vt:lpwstr>
  </property>
  <property fmtid="{D5CDD505-2E9C-101B-9397-08002B2CF9AE}" pid="21" name="First annex">
    <vt:lpwstr>1</vt:lpwstr>
  </property>
  <property fmtid="{D5CDD505-2E9C-101B-9397-08002B2CF9AE}" pid="22" name="Level of sensitivity">
    <vt:lpwstr>Standard treatment</vt:lpwstr>
  </property>
  <property fmtid="{D5CDD505-2E9C-101B-9397-08002B2CF9AE}" pid="23" name="MSIP_Label_af60b174-6478-47f9-866e-33f097bb6603_Enabled">
    <vt:lpwstr>true</vt:lpwstr>
  </property>
  <property fmtid="{D5CDD505-2E9C-101B-9397-08002B2CF9AE}" pid="24" name="MSIP_Label_6bd9ddd1-4d20-43f6-abfa-fc3c07406f94_ActionId">
    <vt:lpwstr>876e9aed-dee2-4202-ac4f-eba488ab2999</vt:lpwstr>
  </property>
  <property fmtid="{D5CDD505-2E9C-101B-9397-08002B2CF9AE}" pid="25" name="CPTemplateID">
    <vt:lpwstr>CP-036</vt:lpwstr>
  </property>
  <property fmtid="{D5CDD505-2E9C-101B-9397-08002B2CF9AE}" pid="26" name="MSIP_Label_6bd9ddd1-4d20-43f6-abfa-fc3c07406f94_Tag">
    <vt:lpwstr>10, 3, 0, 1</vt:lpwstr>
  </property>
  <property fmtid="{D5CDD505-2E9C-101B-9397-08002B2CF9AE}" pid="27" name="MSIP_Label_af60b174-6478-47f9-866e-33f097bb6603_ActionId">
    <vt:lpwstr>084F11E1-6C8D-4405-B782-C0714F842605</vt:lpwstr>
  </property>
  <property fmtid="{D5CDD505-2E9C-101B-9397-08002B2CF9AE}" pid="28" name="MSIP_Label_af60b174-6478-47f9-866e-33f097bb6603_SetDate">
    <vt:lpwstr>2025-12-04T12:05:11Z</vt:lpwstr>
  </property>
</Properties>
</file>